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beforeAutospacing="0" w:afterAutospacing="0" w:line="560" w:lineRule="exact"/>
        <w:textAlignment w:val="auto"/>
        <w:rPr>
          <w:rFonts w:hint="default" w:ascii="Times New Roman" w:hAnsi="Times New Roman" w:eastAsia="方正小标宋简体" w:cs="Times New Roman"/>
          <w:color w:val="auto"/>
          <w:sz w:val="32"/>
          <w:szCs w:val="32"/>
          <w:u w:val="none"/>
        </w:rPr>
      </w:pPr>
    </w:p>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center"/>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川政</w:t>
      </w:r>
      <w:r>
        <w:rPr>
          <w:rFonts w:hint="default" w:ascii="Times New Roman" w:hAnsi="Times New Roman" w:eastAsia="仿宋_GB2312" w:cs="Times New Roman"/>
          <w:color w:val="auto"/>
          <w:sz w:val="32"/>
          <w:szCs w:val="32"/>
          <w:u w:val="none"/>
          <w:lang w:eastAsia="zh-CN"/>
        </w:rPr>
        <w:t>字</w:t>
      </w:r>
      <w:r>
        <w:rPr>
          <w:rFonts w:hint="default" w:ascii="Times New Roman" w:hAnsi="Times New Roman" w:eastAsia="仿宋_GB2312" w:cs="Times New Roman"/>
          <w:color w:val="auto"/>
          <w:sz w:val="32"/>
          <w:szCs w:val="32"/>
          <w:u w:val="none"/>
        </w:rPr>
        <w:t>〔2019〕</w:t>
      </w:r>
      <w:r>
        <w:rPr>
          <w:rFonts w:hint="eastAsia" w:ascii="Times New Roman" w:hAnsi="Times New Roman" w:eastAsia="仿宋_GB2312" w:cs="Times New Roman"/>
          <w:color w:val="auto"/>
          <w:sz w:val="32"/>
          <w:szCs w:val="32"/>
          <w:u w:val="none"/>
          <w:lang w:val="en-US" w:eastAsia="zh-CN"/>
        </w:rPr>
        <w:t>55</w:t>
      </w:r>
      <w:r>
        <w:rPr>
          <w:rFonts w:hint="default" w:ascii="Times New Roman" w:hAnsi="Times New Roman" w:eastAsia="仿宋_GB2312" w:cs="Times New Roman"/>
          <w:color w:val="auto"/>
          <w:sz w:val="32"/>
          <w:szCs w:val="32"/>
          <w:u w:val="none"/>
        </w:rPr>
        <w:t>号</w:t>
      </w:r>
    </w:p>
    <w:p>
      <w:pPr>
        <w:keepNext w:val="0"/>
        <w:keepLines w:val="0"/>
        <w:pageBreakBefore w:val="0"/>
        <w:widowControl/>
        <w:kinsoku/>
        <w:wordWrap/>
        <w:overflowPunct/>
        <w:topLinePunct w:val="0"/>
        <w:autoSpaceDE/>
        <w:autoSpaceDN/>
        <w:bidi w:val="0"/>
        <w:spacing w:beforeAutospacing="0" w:after="0" w:afterAutospacing="0" w:line="560" w:lineRule="exact"/>
        <w:jc w:val="center"/>
        <w:textAlignment w:val="auto"/>
        <w:rPr>
          <w:rFonts w:hint="default" w:ascii="Times New Roman" w:hAnsi="Times New Roman" w:eastAsia="方正小标宋简体" w:cs="Times New Roman"/>
          <w:color w:val="auto"/>
          <w:sz w:val="44"/>
          <w:szCs w:val="44"/>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center"/>
        <w:textAlignment w:val="auto"/>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淄川区人民政府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13"/>
          <w:rFonts w:hint="default" w:ascii="Times New Roman" w:hAnsi="Times New Roman" w:eastAsia="方正小标宋简体" w:cs="Times New Roman"/>
          <w:b w:val="0"/>
          <w:bCs w:val="0"/>
          <w:color w:val="auto"/>
          <w:sz w:val="44"/>
          <w:szCs w:val="44"/>
          <w:u w:val="none"/>
        </w:rPr>
      </w:pPr>
      <w:r>
        <w:rPr>
          <w:rStyle w:val="13"/>
          <w:rFonts w:hint="default" w:ascii="Times New Roman" w:hAnsi="Times New Roman" w:eastAsia="方正小标宋简体" w:cs="Times New Roman"/>
          <w:b w:val="0"/>
          <w:bCs w:val="0"/>
          <w:color w:val="auto"/>
          <w:sz w:val="44"/>
          <w:szCs w:val="44"/>
          <w:u w:val="none"/>
        </w:rPr>
        <w:t>关于</w:t>
      </w:r>
      <w:r>
        <w:rPr>
          <w:rStyle w:val="13"/>
          <w:rFonts w:hint="default" w:ascii="Times New Roman" w:hAnsi="Times New Roman" w:eastAsia="方正小标宋简体" w:cs="Times New Roman"/>
          <w:b w:val="0"/>
          <w:bCs w:val="0"/>
          <w:color w:val="auto"/>
          <w:sz w:val="44"/>
          <w:szCs w:val="44"/>
          <w:u w:val="none"/>
          <w:lang w:eastAsia="zh-CN"/>
        </w:rPr>
        <w:t>印发淄川区</w:t>
      </w:r>
      <w:r>
        <w:rPr>
          <w:rStyle w:val="13"/>
          <w:rFonts w:hint="default" w:ascii="Times New Roman" w:hAnsi="Times New Roman" w:eastAsia="方正小标宋简体" w:cs="Times New Roman"/>
          <w:b w:val="0"/>
          <w:bCs w:val="0"/>
          <w:color w:val="auto"/>
          <w:sz w:val="44"/>
          <w:szCs w:val="44"/>
          <w:u w:val="none"/>
        </w:rPr>
        <w:t>危险废物污染防治</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13"/>
          <w:rFonts w:hint="default" w:ascii="Times New Roman" w:hAnsi="Times New Roman" w:eastAsia="方正小标宋简体" w:cs="Times New Roman"/>
          <w:b w:val="0"/>
          <w:bCs w:val="0"/>
          <w:color w:val="auto"/>
          <w:sz w:val="44"/>
          <w:szCs w:val="44"/>
          <w:u w:val="none"/>
        </w:rPr>
      </w:pPr>
      <w:r>
        <w:rPr>
          <w:rStyle w:val="13"/>
          <w:rFonts w:hint="default" w:ascii="Times New Roman" w:hAnsi="Times New Roman" w:eastAsia="方正小标宋简体" w:cs="Times New Roman"/>
          <w:b w:val="0"/>
          <w:bCs w:val="0"/>
          <w:color w:val="auto"/>
          <w:sz w:val="44"/>
          <w:szCs w:val="44"/>
          <w:u w:val="none"/>
        </w:rPr>
        <w:t>攻坚方案的通知</w:t>
      </w:r>
    </w:p>
    <w:p>
      <w:pPr>
        <w:pStyle w:val="10"/>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jc w:val="both"/>
        <w:textAlignment w:val="auto"/>
        <w:rPr>
          <w:rStyle w:val="13"/>
          <w:rFonts w:hint="default" w:ascii="Times New Roman" w:hAnsi="Times New Roman" w:eastAsia="仿宋_GB2312" w:cs="Times New Roman"/>
          <w:b w:val="0"/>
          <w:bCs w:val="0"/>
          <w:color w:val="auto"/>
          <w:sz w:val="32"/>
          <w:szCs w:val="32"/>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Style w:val="13"/>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color w:val="auto"/>
          <w:sz w:val="32"/>
          <w:szCs w:val="32"/>
          <w:u w:val="none"/>
        </w:rPr>
        <w:t>各镇人民政府，各街道办事处，开发区管委会，区政府有关部门，有关单位：</w:t>
      </w:r>
    </w:p>
    <w:p>
      <w:pPr>
        <w:keepNext w:val="0"/>
        <w:keepLines w:val="0"/>
        <w:pageBreakBefore w:val="0"/>
        <w:widowControl/>
        <w:kinsoku/>
        <w:wordWrap/>
        <w:overflowPunct/>
        <w:topLinePunct w:val="0"/>
        <w:autoSpaceDE/>
        <w:autoSpaceDN/>
        <w:bidi w:val="0"/>
        <w:spacing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u w:val="none"/>
        </w:rPr>
      </w:pPr>
      <w:r>
        <w:rPr>
          <w:rStyle w:val="13"/>
          <w:rFonts w:hint="default" w:ascii="Times New Roman" w:hAnsi="Times New Roman" w:eastAsia="仿宋_GB2312" w:cs="Times New Roman"/>
          <w:b w:val="0"/>
          <w:bCs w:val="0"/>
          <w:color w:val="auto"/>
          <w:sz w:val="32"/>
          <w:szCs w:val="32"/>
          <w:u w:val="none"/>
          <w:lang w:eastAsia="zh-CN"/>
        </w:rPr>
        <w:t>《淄川区</w:t>
      </w:r>
      <w:r>
        <w:rPr>
          <w:rStyle w:val="13"/>
          <w:rFonts w:hint="default" w:ascii="Times New Roman" w:hAnsi="Times New Roman" w:eastAsia="仿宋_GB2312" w:cs="Times New Roman"/>
          <w:b w:val="0"/>
          <w:bCs w:val="0"/>
          <w:color w:val="auto"/>
          <w:sz w:val="32"/>
          <w:szCs w:val="32"/>
          <w:u w:val="none"/>
        </w:rPr>
        <w:t>危险废物污染防治攻坚方案</w:t>
      </w:r>
      <w:r>
        <w:rPr>
          <w:rStyle w:val="13"/>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color w:val="auto"/>
          <w:sz w:val="32"/>
          <w:szCs w:val="32"/>
          <w:u w:val="none"/>
        </w:rPr>
        <w:t>已经区政府同意，现印发给你们，请认真组织实施。</w:t>
      </w:r>
    </w:p>
    <w:p>
      <w:pPr>
        <w:keepNext w:val="0"/>
        <w:keepLines w:val="0"/>
        <w:pageBreakBefore w:val="0"/>
        <w:widowControl/>
        <w:kinsoku/>
        <w:wordWrap/>
        <w:overflowPunct/>
        <w:topLinePunct w:val="0"/>
        <w:autoSpaceDE/>
        <w:autoSpaceDN/>
        <w:bidi w:val="0"/>
        <w:spacing w:beforeAutospacing="0" w:after="0" w:afterAutospacing="0" w:line="560" w:lineRule="exact"/>
        <w:ind w:firstLine="640" w:firstLineChars="200"/>
        <w:textAlignment w:val="auto"/>
        <w:rPr>
          <w:rFonts w:hint="default" w:ascii="Times New Roman" w:hAnsi="Times New Roman" w:eastAsia="仿宋_GB2312" w:cs="Times New Roman"/>
          <w:color w:val="auto"/>
          <w:spacing w:val="20"/>
          <w:sz w:val="32"/>
          <w:szCs w:val="32"/>
          <w:u w:val="none"/>
        </w:rPr>
      </w:pPr>
      <w:r>
        <w:rPr>
          <w:rFonts w:hint="default" w:ascii="Times New Roman" w:hAnsi="Times New Roman" w:eastAsia="仿宋_GB2312" w:cs="Times New Roman"/>
          <w:color w:val="auto"/>
          <w:sz w:val="32"/>
          <w:szCs w:val="32"/>
          <w:u w:val="none"/>
        </w:rPr>
        <w:t xml:space="preserve">                    </w:t>
      </w:r>
    </w:p>
    <w:p>
      <w:pPr>
        <w:keepNext w:val="0"/>
        <w:keepLines w:val="0"/>
        <w:pageBreakBefore w:val="0"/>
        <w:widowControl/>
        <w:kinsoku/>
        <w:wordWrap/>
        <w:overflowPunct/>
        <w:topLinePunct w:val="0"/>
        <w:autoSpaceDE/>
        <w:autoSpaceDN/>
        <w:bidi w:val="0"/>
        <w:spacing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 xml:space="preserve"> </w:t>
      </w:r>
    </w:p>
    <w:p>
      <w:pPr>
        <w:keepNext w:val="0"/>
        <w:keepLines w:val="0"/>
        <w:pageBreakBefore w:val="0"/>
        <w:widowControl/>
        <w:kinsoku/>
        <w:wordWrap/>
        <w:overflowPunct/>
        <w:topLinePunct w:val="0"/>
        <w:autoSpaceDE/>
        <w:autoSpaceDN/>
        <w:bidi w:val="0"/>
        <w:spacing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kinsoku/>
        <w:wordWrap/>
        <w:overflowPunct/>
        <w:topLinePunct w:val="0"/>
        <w:autoSpaceDE/>
        <w:autoSpaceDN/>
        <w:bidi w:val="0"/>
        <w:spacing w:beforeAutospacing="0" w:after="0" w:afterAutospacing="0" w:line="560" w:lineRule="exact"/>
        <w:ind w:firstLine="5120" w:firstLineChars="16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淄川区人民政府</w:t>
      </w:r>
    </w:p>
    <w:p>
      <w:pPr>
        <w:keepNext w:val="0"/>
        <w:keepLines w:val="0"/>
        <w:pageBreakBefore w:val="0"/>
        <w:widowControl/>
        <w:kinsoku/>
        <w:wordWrap/>
        <w:overflowPunct/>
        <w:topLinePunct w:val="0"/>
        <w:autoSpaceDE/>
        <w:autoSpaceDN/>
        <w:bidi w:val="0"/>
        <w:spacing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 xml:space="preserve">    2019年</w:t>
      </w:r>
      <w:r>
        <w:rPr>
          <w:rFonts w:hint="default" w:ascii="Times New Roman" w:hAnsi="Times New Roman" w:eastAsia="仿宋_GB2312" w:cs="Times New Roman"/>
          <w:color w:val="auto"/>
          <w:sz w:val="32"/>
          <w:szCs w:val="32"/>
          <w:u w:val="none"/>
          <w:lang w:val="en-US" w:eastAsia="zh-CN"/>
        </w:rPr>
        <w:t>1</w:t>
      </w: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日</w:t>
      </w:r>
    </w:p>
    <w:p>
      <w:pPr>
        <w:pStyle w:val="10"/>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Style w:val="13"/>
          <w:rFonts w:hint="default" w:ascii="Times New Roman" w:hAnsi="Times New Roman" w:eastAsia="方正小标宋简体" w:cs="Times New Roman"/>
          <w:color w:val="auto"/>
          <w:sz w:val="44"/>
          <w:szCs w:val="44"/>
          <w:u w:val="none"/>
        </w:rPr>
      </w:pPr>
      <w:r>
        <w:rPr>
          <w:rStyle w:val="13"/>
          <w:rFonts w:hint="default" w:ascii="Times New Roman" w:hAnsi="Times New Roman" w:eastAsia="仿宋_GB2312" w:cs="Times New Roman"/>
          <w:b w:val="0"/>
          <w:bCs w:val="0"/>
          <w:color w:val="auto"/>
          <w:sz w:val="32"/>
          <w:szCs w:val="32"/>
          <w:u w:val="none"/>
          <w:lang w:eastAsia="zh-CN"/>
        </w:rPr>
        <w:t>（此件公开发布）</w:t>
      </w: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jc w:val="center"/>
        <w:textAlignment w:val="auto"/>
        <w:rPr>
          <w:rStyle w:val="13"/>
          <w:rFonts w:hint="default" w:ascii="Times New Roman" w:hAnsi="Times New Roman" w:eastAsia="方正小标宋简体" w:cs="Times New Roman"/>
          <w:b w:val="0"/>
          <w:bCs w:val="0"/>
          <w:color w:val="auto"/>
          <w:sz w:val="44"/>
          <w:szCs w:val="44"/>
          <w:u w:val="none"/>
        </w:rPr>
      </w:pPr>
      <w:r>
        <w:rPr>
          <w:rStyle w:val="13"/>
          <w:rFonts w:hint="default" w:ascii="Times New Roman" w:hAnsi="Times New Roman" w:eastAsia="方正小标宋简体" w:cs="Times New Roman"/>
          <w:b w:val="0"/>
          <w:bCs w:val="0"/>
          <w:color w:val="auto"/>
          <w:sz w:val="44"/>
          <w:szCs w:val="44"/>
          <w:u w:val="none"/>
        </w:rPr>
        <w:t>淄川区危险废物污染防治攻坚方案</w:t>
      </w: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jc w:val="center"/>
        <w:textAlignment w:val="auto"/>
        <w:rPr>
          <w:rStyle w:val="13"/>
          <w:rFonts w:hint="default" w:ascii="Times New Roman" w:hAnsi="Times New Roman" w:eastAsia="方正小标宋简体" w:cs="Times New Roman"/>
          <w:b w:val="0"/>
          <w:bCs w:val="0"/>
          <w:color w:val="auto"/>
          <w:sz w:val="44"/>
          <w:szCs w:val="44"/>
          <w:u w:val="none"/>
        </w:rPr>
      </w:pP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eastAsia="zh-CN"/>
        </w:rPr>
        <w:t>为贯彻落实国家关于</w:t>
      </w:r>
      <w:r>
        <w:rPr>
          <w:rFonts w:hint="default" w:ascii="Times New Roman" w:hAnsi="Times New Roman" w:eastAsia="仿宋_GB2312" w:cs="Times New Roman"/>
          <w:b w:val="0"/>
          <w:bCs w:val="0"/>
          <w:color w:val="auto"/>
          <w:sz w:val="32"/>
          <w:szCs w:val="32"/>
          <w:u w:val="none"/>
        </w:rPr>
        <w:t>打好污染防治攻坚战决策部署</w:t>
      </w:r>
      <w:r>
        <w:rPr>
          <w:rFonts w:hint="default" w:ascii="Times New Roman" w:hAnsi="Times New Roman" w:eastAsia="仿宋_GB2312" w:cs="Times New Roman"/>
          <w:b w:val="0"/>
          <w:bCs w:val="0"/>
          <w:color w:val="auto"/>
          <w:sz w:val="32"/>
          <w:szCs w:val="32"/>
          <w:u w:val="none"/>
          <w:lang w:eastAsia="zh-CN"/>
        </w:rPr>
        <w:t>和省市有关要求</w:t>
      </w:r>
      <w:r>
        <w:rPr>
          <w:rFonts w:hint="default" w:ascii="Times New Roman" w:hAnsi="Times New Roman" w:eastAsia="仿宋_GB2312" w:cs="Times New Roman"/>
          <w:b w:val="0"/>
          <w:bCs w:val="0"/>
          <w:color w:val="auto"/>
          <w:sz w:val="32"/>
          <w:szCs w:val="32"/>
          <w:u w:val="none"/>
        </w:rPr>
        <w:t>，积极推进生态淄川建设，进一步加强我区危险废物污染防治工作，</w:t>
      </w:r>
      <w:r>
        <w:rPr>
          <w:rFonts w:hint="default" w:ascii="Times New Roman" w:hAnsi="Times New Roman" w:eastAsia="仿宋_GB2312" w:cs="Times New Roman"/>
          <w:b w:val="0"/>
          <w:bCs w:val="0"/>
          <w:color w:val="auto"/>
          <w:sz w:val="32"/>
          <w:szCs w:val="32"/>
          <w:u w:val="none"/>
          <w:lang w:eastAsia="zh-CN"/>
        </w:rPr>
        <w:t>根据市政府《</w:t>
      </w:r>
      <w:r>
        <w:rPr>
          <w:rStyle w:val="13"/>
          <w:rFonts w:hint="default" w:ascii="Times New Roman" w:hAnsi="Times New Roman" w:eastAsia="仿宋_GB2312" w:cs="Times New Roman"/>
          <w:b w:val="0"/>
          <w:bCs w:val="0"/>
          <w:color w:val="auto"/>
          <w:sz w:val="32"/>
          <w:szCs w:val="32"/>
          <w:u w:val="none"/>
        </w:rPr>
        <w:t>关于印发</w:t>
      </w:r>
      <w:r>
        <w:rPr>
          <w:rStyle w:val="13"/>
          <w:rFonts w:hint="default" w:ascii="Times New Roman" w:hAnsi="Times New Roman" w:eastAsia="仿宋_GB2312" w:cs="Times New Roman"/>
          <w:b w:val="0"/>
          <w:bCs w:val="0"/>
          <w:color w:val="auto"/>
          <w:sz w:val="32"/>
          <w:szCs w:val="32"/>
          <w:u w:val="none"/>
          <w:lang w:eastAsia="zh-CN"/>
        </w:rPr>
        <w:t>淄博市</w:t>
      </w:r>
      <w:r>
        <w:rPr>
          <w:rStyle w:val="13"/>
          <w:rFonts w:hint="default" w:ascii="Times New Roman" w:hAnsi="Times New Roman" w:eastAsia="仿宋_GB2312" w:cs="Times New Roman"/>
          <w:b w:val="0"/>
          <w:bCs w:val="0"/>
          <w:color w:val="auto"/>
          <w:sz w:val="32"/>
          <w:szCs w:val="32"/>
          <w:u w:val="none"/>
        </w:rPr>
        <w:t>危险废物污染防治攻坚方案</w:t>
      </w:r>
      <w:r>
        <w:rPr>
          <w:rStyle w:val="13"/>
          <w:rFonts w:hint="eastAsia" w:ascii="Times New Roman" w:hAnsi="Times New Roman" w:eastAsia="仿宋_GB2312" w:cs="Times New Roman"/>
          <w:b w:val="0"/>
          <w:bCs w:val="0"/>
          <w:color w:val="auto"/>
          <w:sz w:val="32"/>
          <w:szCs w:val="32"/>
          <w:u w:val="none"/>
          <w:lang w:eastAsia="zh-CN"/>
        </w:rPr>
        <w:t>（</w:t>
      </w:r>
      <w:r>
        <w:rPr>
          <w:rStyle w:val="13"/>
          <w:rFonts w:hint="eastAsia" w:ascii="Times New Roman" w:hAnsi="Times New Roman" w:eastAsia="仿宋_GB2312" w:cs="Times New Roman"/>
          <w:b w:val="0"/>
          <w:bCs w:val="0"/>
          <w:color w:val="auto"/>
          <w:sz w:val="32"/>
          <w:szCs w:val="32"/>
          <w:u w:val="none"/>
          <w:lang w:val="en-US" w:eastAsia="zh-CN"/>
        </w:rPr>
        <w:t>2018—2020年</w:t>
      </w:r>
      <w:r>
        <w:rPr>
          <w:rStyle w:val="13"/>
          <w:rFonts w:hint="eastAsia" w:ascii="Times New Roman" w:hAnsi="Times New Roman" w:eastAsia="仿宋_GB2312" w:cs="Times New Roman"/>
          <w:b w:val="0"/>
          <w:bCs w:val="0"/>
          <w:color w:val="auto"/>
          <w:sz w:val="32"/>
          <w:szCs w:val="32"/>
          <w:u w:val="none"/>
          <w:lang w:eastAsia="zh-CN"/>
        </w:rPr>
        <w:t>）</w:t>
      </w:r>
      <w:r>
        <w:rPr>
          <w:rStyle w:val="13"/>
          <w:rFonts w:hint="default" w:ascii="Times New Roman" w:hAnsi="Times New Roman" w:eastAsia="仿宋_GB2312" w:cs="Times New Roman"/>
          <w:b w:val="0"/>
          <w:bCs w:val="0"/>
          <w:color w:val="auto"/>
          <w:sz w:val="32"/>
          <w:szCs w:val="32"/>
          <w:u w:val="none"/>
        </w:rPr>
        <w:t>的通知</w:t>
      </w:r>
      <w:r>
        <w:rPr>
          <w:rFonts w:hint="default" w:ascii="Times New Roman" w:hAnsi="Times New Roman" w:eastAsia="仿宋_GB2312" w:cs="Times New Roman"/>
          <w:b w:val="0"/>
          <w:bCs w:val="0"/>
          <w:color w:val="auto"/>
          <w:sz w:val="32"/>
          <w:szCs w:val="32"/>
          <w:u w:val="none"/>
          <w:lang w:eastAsia="zh-CN"/>
        </w:rPr>
        <w:t>》淄政字〔</w:t>
      </w:r>
      <w:r>
        <w:rPr>
          <w:rFonts w:hint="default" w:ascii="Times New Roman" w:hAnsi="Times New Roman" w:eastAsia="仿宋_GB2312" w:cs="Times New Roman"/>
          <w:b w:val="0"/>
          <w:bCs w:val="0"/>
          <w:color w:val="auto"/>
          <w:sz w:val="32"/>
          <w:szCs w:val="32"/>
          <w:u w:val="none"/>
          <w:lang w:val="en-US" w:eastAsia="zh-CN"/>
        </w:rPr>
        <w:t>2018</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73</w:t>
      </w:r>
      <w:r>
        <w:rPr>
          <w:rFonts w:hint="default" w:ascii="Times New Roman" w:hAnsi="Times New Roman" w:eastAsia="仿宋_GB2312" w:cs="Times New Roman"/>
          <w:b w:val="0"/>
          <w:bCs w:val="0"/>
          <w:color w:val="auto"/>
          <w:sz w:val="32"/>
          <w:szCs w:val="32"/>
          <w:u w:val="none"/>
          <w:lang w:eastAsia="zh-CN"/>
        </w:rPr>
        <w:t>号精神，</w:t>
      </w:r>
      <w:r>
        <w:rPr>
          <w:rFonts w:hint="default" w:ascii="Times New Roman" w:hAnsi="Times New Roman" w:eastAsia="仿宋_GB2312" w:cs="Times New Roman"/>
          <w:b w:val="0"/>
          <w:bCs w:val="0"/>
          <w:color w:val="auto"/>
          <w:sz w:val="32"/>
          <w:szCs w:val="32"/>
          <w:u w:val="none"/>
        </w:rPr>
        <w:t>结合</w:t>
      </w:r>
      <w:r>
        <w:rPr>
          <w:rFonts w:hint="default" w:ascii="Times New Roman" w:hAnsi="Times New Roman" w:eastAsia="仿宋_GB2312" w:cs="Times New Roman"/>
          <w:b w:val="0"/>
          <w:bCs w:val="0"/>
          <w:color w:val="auto"/>
          <w:sz w:val="32"/>
          <w:szCs w:val="32"/>
          <w:u w:val="none"/>
          <w:lang w:eastAsia="zh-CN"/>
        </w:rPr>
        <w:t>我区</w:t>
      </w:r>
      <w:r>
        <w:rPr>
          <w:rFonts w:hint="default" w:ascii="Times New Roman" w:hAnsi="Times New Roman" w:eastAsia="仿宋_GB2312" w:cs="Times New Roman"/>
          <w:b w:val="0"/>
          <w:bCs w:val="0"/>
          <w:color w:val="auto"/>
          <w:sz w:val="32"/>
          <w:szCs w:val="32"/>
          <w:u w:val="none"/>
        </w:rPr>
        <w:t>实际，制定本方案。</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val="0"/>
          <w:color w:val="auto"/>
          <w:sz w:val="32"/>
          <w:szCs w:val="32"/>
          <w:u w:val="none"/>
        </w:rPr>
      </w:pPr>
      <w:r>
        <w:rPr>
          <w:rFonts w:hint="eastAsia" w:ascii="Times New Roman" w:hAnsi="Times New Roman" w:eastAsia="黑体" w:cs="Times New Roman"/>
          <w:b w:val="0"/>
          <w:bCs w:val="0"/>
          <w:color w:val="auto"/>
          <w:sz w:val="32"/>
          <w:szCs w:val="32"/>
          <w:u w:val="none"/>
          <w:lang w:eastAsia="zh-CN"/>
        </w:rPr>
        <w:t>一、</w:t>
      </w:r>
      <w:r>
        <w:rPr>
          <w:rFonts w:hint="default" w:ascii="Times New Roman" w:hAnsi="Times New Roman" w:eastAsia="黑体" w:cs="Times New Roman"/>
          <w:b w:val="0"/>
          <w:bCs w:val="0"/>
          <w:color w:val="auto"/>
          <w:sz w:val="32"/>
          <w:szCs w:val="32"/>
          <w:u w:val="none"/>
        </w:rPr>
        <w:t>危险废物产生、处置现状及问题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shd w:val="clear" w:color="auto" w:fill="FFFFFF"/>
        </w:rPr>
      </w:pPr>
      <w:r>
        <w:rPr>
          <w:rFonts w:hint="eastAsia" w:ascii="楷体_GB2312" w:hAnsi="楷体_GB2312" w:eastAsia="楷体_GB2312" w:cs="楷体_GB2312"/>
          <w:b w:val="0"/>
          <w:bCs w:val="0"/>
          <w:color w:val="auto"/>
          <w:sz w:val="32"/>
          <w:szCs w:val="32"/>
          <w:u w:val="none"/>
          <w:shd w:val="clear" w:color="auto" w:fill="FFFFFF"/>
        </w:rPr>
        <w:t>（一）危险废物产生情况。</w:t>
      </w:r>
      <w:r>
        <w:rPr>
          <w:rFonts w:hint="default" w:ascii="Times New Roman" w:hAnsi="Times New Roman" w:eastAsia="仿宋_GB2312" w:cs="Times New Roman"/>
          <w:b w:val="0"/>
          <w:bCs w:val="0"/>
          <w:color w:val="auto"/>
          <w:sz w:val="32"/>
          <w:szCs w:val="32"/>
          <w:u w:val="none"/>
          <w:shd w:val="clear" w:color="auto" w:fill="FFFFFF"/>
        </w:rPr>
        <w:t>我区是以化工、</w:t>
      </w:r>
      <w:r>
        <w:rPr>
          <w:rFonts w:hint="eastAsia" w:ascii="Times New Roman" w:hAnsi="Times New Roman" w:eastAsia="仿宋_GB2312" w:cs="Times New Roman"/>
          <w:b w:val="0"/>
          <w:bCs w:val="0"/>
          <w:color w:val="auto"/>
          <w:sz w:val="32"/>
          <w:szCs w:val="32"/>
          <w:u w:val="none"/>
          <w:shd w:val="clear" w:color="auto" w:fill="FFFFFF"/>
          <w:lang w:eastAsia="zh-CN"/>
        </w:rPr>
        <w:t>医药</w:t>
      </w:r>
      <w:r>
        <w:rPr>
          <w:rFonts w:hint="default" w:ascii="Times New Roman" w:hAnsi="Times New Roman" w:eastAsia="仿宋_GB2312" w:cs="Times New Roman"/>
          <w:b w:val="0"/>
          <w:bCs w:val="0"/>
          <w:color w:val="auto"/>
          <w:sz w:val="32"/>
          <w:szCs w:val="32"/>
          <w:u w:val="none"/>
          <w:shd w:val="clear" w:color="auto" w:fill="FFFFFF"/>
        </w:rPr>
        <w:t>、建陶为主要行业的老工业基地，危险废物产生量一直居高不下。</w:t>
      </w:r>
      <w:r>
        <w:rPr>
          <w:rFonts w:hint="default" w:ascii="Times New Roman" w:hAnsi="Times New Roman" w:eastAsia="仿宋_GB2312" w:cs="Times New Roman"/>
          <w:b w:val="0"/>
          <w:bCs w:val="0"/>
          <w:color w:val="auto"/>
          <w:sz w:val="32"/>
          <w:szCs w:val="32"/>
          <w:u w:val="none"/>
        </w:rPr>
        <w:t>根据</w:t>
      </w:r>
      <w:r>
        <w:rPr>
          <w:rFonts w:hint="default" w:ascii="Times New Roman" w:hAnsi="Times New Roman" w:eastAsia="仿宋_GB2312" w:cs="Times New Roman"/>
          <w:b w:val="0"/>
          <w:bCs w:val="0"/>
          <w:color w:val="auto"/>
          <w:sz w:val="32"/>
          <w:szCs w:val="32"/>
          <w:u w:val="none"/>
          <w:lang w:val="en-US" w:eastAsia="zh-CN"/>
        </w:rPr>
        <w:t>2019年危险废物</w:t>
      </w:r>
      <w:r>
        <w:rPr>
          <w:rFonts w:hint="default" w:ascii="Times New Roman" w:hAnsi="Times New Roman" w:eastAsia="仿宋_GB2312" w:cs="Times New Roman"/>
          <w:b w:val="0"/>
          <w:bCs w:val="0"/>
          <w:color w:val="auto"/>
          <w:sz w:val="32"/>
          <w:szCs w:val="32"/>
          <w:u w:val="none"/>
        </w:rPr>
        <w:t>申报登记结果，全区共</w:t>
      </w:r>
      <w:r>
        <w:rPr>
          <w:rFonts w:hint="default" w:ascii="Times New Roman" w:hAnsi="Times New Roman" w:eastAsia="仿宋_GB2312" w:cs="Times New Roman"/>
          <w:b w:val="0"/>
          <w:bCs w:val="0"/>
          <w:color w:val="auto"/>
          <w:sz w:val="32"/>
          <w:szCs w:val="32"/>
          <w:u w:val="none"/>
          <w:lang w:eastAsia="zh-CN"/>
        </w:rPr>
        <w:t>有</w:t>
      </w:r>
      <w:r>
        <w:rPr>
          <w:rFonts w:hint="default" w:ascii="Times New Roman" w:hAnsi="Times New Roman" w:eastAsia="仿宋_GB2312" w:cs="Times New Roman"/>
          <w:b w:val="0"/>
          <w:bCs w:val="0"/>
          <w:color w:val="auto"/>
          <w:sz w:val="32"/>
          <w:szCs w:val="32"/>
          <w:u w:val="none"/>
        </w:rPr>
        <w:t>2</w:t>
      </w:r>
      <w:r>
        <w:rPr>
          <w:rFonts w:hint="default" w:ascii="Times New Roman" w:hAnsi="Times New Roman" w:eastAsia="仿宋_GB2312" w:cs="Times New Roman"/>
          <w:b w:val="0"/>
          <w:bCs w:val="0"/>
          <w:color w:val="auto"/>
          <w:sz w:val="32"/>
          <w:szCs w:val="32"/>
          <w:u w:val="none"/>
          <w:lang w:val="en-US" w:eastAsia="zh-CN"/>
        </w:rPr>
        <w:t>4</w:t>
      </w:r>
      <w:r>
        <w:rPr>
          <w:rFonts w:hint="default" w:ascii="Times New Roman" w:hAnsi="Times New Roman" w:eastAsia="仿宋_GB2312" w:cs="Times New Roman"/>
          <w:b w:val="0"/>
          <w:bCs w:val="0"/>
          <w:color w:val="auto"/>
          <w:sz w:val="32"/>
          <w:szCs w:val="32"/>
          <w:u w:val="none"/>
        </w:rPr>
        <w:t>2家危险废物产生单位，涉及29个行业小类，19类危险废物，产生总量为</w:t>
      </w:r>
      <w:r>
        <w:rPr>
          <w:rFonts w:hint="default" w:ascii="Times New Roman" w:hAnsi="Times New Roman" w:eastAsia="仿宋_GB2312" w:cs="Times New Roman"/>
          <w:b w:val="0"/>
          <w:bCs w:val="0"/>
          <w:color w:val="auto"/>
          <w:sz w:val="32"/>
          <w:szCs w:val="32"/>
          <w:u w:val="none"/>
          <w:lang w:val="en-US" w:eastAsia="zh-CN"/>
        </w:rPr>
        <w:t>10</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46</w:t>
      </w:r>
      <w:r>
        <w:rPr>
          <w:rFonts w:hint="default" w:ascii="Times New Roman" w:hAnsi="Times New Roman" w:eastAsia="仿宋_GB2312" w:cs="Times New Roman"/>
          <w:b w:val="0"/>
          <w:bCs w:val="0"/>
          <w:color w:val="auto"/>
          <w:sz w:val="32"/>
          <w:szCs w:val="32"/>
          <w:u w:val="none"/>
        </w:rPr>
        <w:t>万吨。</w:t>
      </w:r>
      <w:r>
        <w:rPr>
          <w:rFonts w:hint="default" w:ascii="Times New Roman" w:hAnsi="Times New Roman" w:eastAsia="仿宋_GB2312" w:cs="Times New Roman"/>
          <w:b w:val="0"/>
          <w:bCs w:val="0"/>
          <w:color w:val="auto"/>
          <w:sz w:val="32"/>
          <w:szCs w:val="32"/>
          <w:u w:val="none"/>
          <w:shd w:val="clear" w:color="auto" w:fill="FFFFFF"/>
        </w:rPr>
        <w:t>主要危废种类有</w:t>
      </w:r>
      <w:r>
        <w:rPr>
          <w:rFonts w:hint="default" w:ascii="Times New Roman" w:hAnsi="Times New Roman" w:eastAsia="仿宋_GB2312" w:cs="Times New Roman"/>
          <w:b w:val="0"/>
          <w:bCs w:val="0"/>
          <w:color w:val="auto"/>
          <w:sz w:val="32"/>
          <w:szCs w:val="32"/>
          <w:u w:val="none"/>
        </w:rPr>
        <w:t>垃圾焚烧飞灰、</w:t>
      </w:r>
      <w:r>
        <w:rPr>
          <w:rFonts w:hint="default" w:ascii="Times New Roman" w:hAnsi="Times New Roman" w:eastAsia="仿宋_GB2312" w:cs="Times New Roman"/>
          <w:b w:val="0"/>
          <w:bCs w:val="0"/>
          <w:color w:val="auto"/>
          <w:sz w:val="32"/>
          <w:szCs w:val="32"/>
          <w:u w:val="none"/>
          <w:shd w:val="clear" w:color="auto" w:fill="FFFFFF"/>
        </w:rPr>
        <w:t>废酸、医药废物、焚烧处置残渣、精馏残渣、废矿物油。</w:t>
      </w:r>
      <w:r>
        <w:rPr>
          <w:rFonts w:hint="default" w:ascii="Times New Roman" w:hAnsi="Times New Roman" w:eastAsia="仿宋_GB2312" w:cs="Times New Roman"/>
          <w:b w:val="0"/>
          <w:bCs w:val="0"/>
          <w:color w:val="auto"/>
          <w:sz w:val="32"/>
          <w:szCs w:val="32"/>
          <w:u w:val="none"/>
        </w:rPr>
        <w:t>其中产生量在10吨以上的企业</w:t>
      </w:r>
      <w:r>
        <w:rPr>
          <w:rFonts w:hint="default" w:ascii="Times New Roman" w:hAnsi="Times New Roman" w:eastAsia="仿宋_GB2312" w:cs="Times New Roman"/>
          <w:b w:val="0"/>
          <w:bCs w:val="0"/>
          <w:color w:val="auto"/>
          <w:sz w:val="32"/>
          <w:szCs w:val="32"/>
          <w:u w:val="none"/>
          <w:lang w:val="en-US" w:eastAsia="zh-CN"/>
        </w:rPr>
        <w:t>20</w:t>
      </w:r>
      <w:r>
        <w:rPr>
          <w:rFonts w:hint="default" w:ascii="Times New Roman" w:hAnsi="Times New Roman" w:eastAsia="仿宋_GB2312" w:cs="Times New Roman"/>
          <w:b w:val="0"/>
          <w:bCs w:val="0"/>
          <w:color w:val="auto"/>
          <w:sz w:val="32"/>
          <w:szCs w:val="32"/>
          <w:u w:val="none"/>
        </w:rPr>
        <w:t>家，有</w:t>
      </w:r>
      <w:r>
        <w:rPr>
          <w:rFonts w:hint="default" w:ascii="Times New Roman" w:hAnsi="Times New Roman" w:eastAsia="仿宋_GB2312" w:cs="Times New Roman"/>
          <w:b w:val="0"/>
          <w:bCs w:val="0"/>
          <w:color w:val="auto"/>
          <w:sz w:val="32"/>
          <w:szCs w:val="32"/>
          <w:u w:val="none"/>
          <w:lang w:val="en-US" w:eastAsia="zh-CN"/>
        </w:rPr>
        <w:t>20</w:t>
      </w:r>
      <w:r>
        <w:rPr>
          <w:rFonts w:hint="default" w:ascii="Times New Roman" w:hAnsi="Times New Roman" w:eastAsia="仿宋_GB2312" w:cs="Times New Roman"/>
          <w:b w:val="0"/>
          <w:bCs w:val="0"/>
          <w:color w:val="auto"/>
          <w:sz w:val="32"/>
          <w:szCs w:val="32"/>
          <w:u w:val="none"/>
        </w:rPr>
        <w:t>家企业被列为市级重点产废单位。</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r>
        <w:rPr>
          <w:rFonts w:hint="eastAsia" w:ascii="楷体_GB2312" w:hAnsi="楷体_GB2312" w:eastAsia="楷体_GB2312" w:cs="楷体_GB2312"/>
          <w:b w:val="0"/>
          <w:bCs w:val="0"/>
          <w:color w:val="auto"/>
          <w:sz w:val="32"/>
          <w:szCs w:val="32"/>
          <w:u w:val="none"/>
        </w:rPr>
        <w:t>（二）危险废物处置能力。</w:t>
      </w:r>
      <w:r>
        <w:rPr>
          <w:rFonts w:hint="default" w:ascii="Times New Roman" w:hAnsi="Times New Roman" w:eastAsia="仿宋_GB2312" w:cs="Times New Roman"/>
          <w:b w:val="0"/>
          <w:bCs w:val="0"/>
          <w:color w:val="auto"/>
          <w:sz w:val="32"/>
          <w:szCs w:val="32"/>
          <w:u w:val="none"/>
        </w:rPr>
        <w:t>目前全区共有危险废物经营单位</w:t>
      </w:r>
      <w:r>
        <w:rPr>
          <w:rFonts w:hint="default" w:ascii="Times New Roman" w:hAnsi="Times New Roman" w:eastAsia="仿宋_GB2312" w:cs="Times New Roman"/>
          <w:b w:val="0"/>
          <w:bCs w:val="0"/>
          <w:color w:val="auto"/>
          <w:sz w:val="32"/>
          <w:szCs w:val="32"/>
          <w:u w:val="none"/>
          <w:lang w:val="en-US" w:eastAsia="zh-CN"/>
        </w:rPr>
        <w:t>5</w:t>
      </w:r>
      <w:r>
        <w:rPr>
          <w:rFonts w:hint="default" w:ascii="Times New Roman" w:hAnsi="Times New Roman" w:eastAsia="仿宋_GB2312" w:cs="Times New Roman"/>
          <w:b w:val="0"/>
          <w:bCs w:val="0"/>
          <w:color w:val="auto"/>
          <w:sz w:val="32"/>
          <w:szCs w:val="32"/>
          <w:u w:val="none"/>
        </w:rPr>
        <w:t>家，总处置能力约为</w:t>
      </w:r>
      <w:r>
        <w:rPr>
          <w:rFonts w:hint="default" w:ascii="Times New Roman" w:hAnsi="Times New Roman" w:eastAsia="仿宋_GB2312" w:cs="Times New Roman"/>
          <w:b w:val="0"/>
          <w:bCs w:val="0"/>
          <w:color w:val="auto"/>
          <w:sz w:val="32"/>
          <w:szCs w:val="32"/>
          <w:u w:val="none"/>
          <w:lang w:val="en-US" w:eastAsia="zh-CN"/>
        </w:rPr>
        <w:t>27</w:t>
      </w:r>
      <w:r>
        <w:rPr>
          <w:rFonts w:hint="default" w:ascii="Times New Roman" w:hAnsi="Times New Roman" w:eastAsia="仿宋_GB2312" w:cs="Times New Roman"/>
          <w:b w:val="0"/>
          <w:bCs w:val="0"/>
          <w:color w:val="auto"/>
          <w:sz w:val="32"/>
          <w:szCs w:val="32"/>
          <w:u w:val="none"/>
        </w:rPr>
        <w:t>万吨/年，其中危险废物综合利用单位</w:t>
      </w:r>
      <w:r>
        <w:rPr>
          <w:rFonts w:hint="default" w:ascii="Times New Roman" w:hAnsi="Times New Roman" w:eastAsia="仿宋_GB2312" w:cs="Times New Roman"/>
          <w:b w:val="0"/>
          <w:bCs w:val="0"/>
          <w:color w:val="auto"/>
          <w:sz w:val="32"/>
          <w:szCs w:val="32"/>
          <w:u w:val="none"/>
          <w:lang w:val="en-US" w:eastAsia="zh-CN"/>
        </w:rPr>
        <w:t>2</w:t>
      </w:r>
      <w:r>
        <w:rPr>
          <w:rFonts w:hint="default" w:ascii="Times New Roman" w:hAnsi="Times New Roman" w:eastAsia="仿宋_GB2312" w:cs="Times New Roman"/>
          <w:b w:val="0"/>
          <w:bCs w:val="0"/>
          <w:color w:val="auto"/>
          <w:sz w:val="32"/>
          <w:szCs w:val="32"/>
          <w:u w:val="none"/>
        </w:rPr>
        <w:t>家，</w:t>
      </w:r>
      <w:r>
        <w:rPr>
          <w:rFonts w:hint="default" w:ascii="Times New Roman" w:hAnsi="Times New Roman" w:eastAsia="仿宋_GB2312" w:cs="Times New Roman"/>
          <w:b w:val="0"/>
          <w:bCs w:val="0"/>
          <w:color w:val="auto"/>
          <w:sz w:val="32"/>
          <w:szCs w:val="32"/>
          <w:u w:val="none"/>
          <w:lang w:eastAsia="zh-CN"/>
        </w:rPr>
        <w:t>分别是</w:t>
      </w:r>
      <w:r>
        <w:rPr>
          <w:rFonts w:hint="default" w:ascii="Times New Roman" w:hAnsi="Times New Roman" w:eastAsia="仿宋_GB2312" w:cs="Times New Roman"/>
          <w:b w:val="0"/>
          <w:bCs w:val="0"/>
          <w:color w:val="auto"/>
          <w:sz w:val="32"/>
          <w:szCs w:val="32"/>
          <w:u w:val="none"/>
        </w:rPr>
        <w:t>15万吨/年</w:t>
      </w:r>
      <w:r>
        <w:rPr>
          <w:rFonts w:hint="default" w:ascii="Times New Roman" w:hAnsi="Times New Roman" w:eastAsia="仿宋_GB2312" w:cs="Times New Roman"/>
          <w:b w:val="0"/>
          <w:bCs w:val="0"/>
          <w:color w:val="auto"/>
          <w:sz w:val="32"/>
          <w:szCs w:val="32"/>
          <w:u w:val="none"/>
          <w:lang w:eastAsia="zh-CN"/>
        </w:rPr>
        <w:t>利用</w:t>
      </w:r>
      <w:r>
        <w:rPr>
          <w:rFonts w:hint="default" w:ascii="Times New Roman" w:hAnsi="Times New Roman" w:eastAsia="仿宋_GB2312" w:cs="Times New Roman"/>
          <w:b w:val="0"/>
          <w:bCs w:val="0"/>
          <w:color w:val="auto"/>
          <w:sz w:val="32"/>
          <w:szCs w:val="32"/>
          <w:u w:val="none"/>
        </w:rPr>
        <w:t>煤焦油</w:t>
      </w:r>
      <w:r>
        <w:rPr>
          <w:rFonts w:hint="default" w:ascii="Times New Roman" w:hAnsi="Times New Roman" w:eastAsia="仿宋_GB2312" w:cs="Times New Roman"/>
          <w:b w:val="0"/>
          <w:bCs w:val="0"/>
          <w:color w:val="auto"/>
          <w:sz w:val="32"/>
          <w:szCs w:val="32"/>
          <w:u w:val="none"/>
          <w:lang w:eastAsia="zh-CN"/>
        </w:rPr>
        <w:t>项目、</w:t>
      </w:r>
      <w:r>
        <w:rPr>
          <w:rFonts w:hint="default" w:ascii="Times New Roman" w:hAnsi="Times New Roman" w:eastAsia="仿宋_GB2312" w:cs="Times New Roman"/>
          <w:b w:val="0"/>
          <w:bCs w:val="0"/>
          <w:color w:val="auto"/>
          <w:sz w:val="32"/>
          <w:szCs w:val="32"/>
          <w:u w:val="none"/>
          <w:lang w:val="en-US" w:eastAsia="zh-CN"/>
        </w:rPr>
        <w:t>2万立方米/年废烟气脱硝催化剂项目</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危险废物综合处置单位</w:t>
      </w:r>
      <w:r>
        <w:rPr>
          <w:rFonts w:hint="default" w:ascii="Times New Roman" w:hAnsi="Times New Roman" w:eastAsia="仿宋_GB2312" w:cs="Times New Roman"/>
          <w:b w:val="0"/>
          <w:bCs w:val="0"/>
          <w:color w:val="auto"/>
          <w:sz w:val="32"/>
          <w:szCs w:val="32"/>
          <w:u w:val="none"/>
          <w:lang w:val="en-US" w:eastAsia="zh-CN"/>
        </w:rPr>
        <w:t>3</w:t>
      </w:r>
      <w:r>
        <w:rPr>
          <w:rFonts w:hint="default" w:ascii="Times New Roman" w:hAnsi="Times New Roman" w:eastAsia="仿宋_GB2312" w:cs="Times New Roman"/>
          <w:b w:val="0"/>
          <w:bCs w:val="0"/>
          <w:color w:val="auto"/>
          <w:sz w:val="32"/>
          <w:szCs w:val="32"/>
          <w:u w:val="none"/>
        </w:rPr>
        <w:t>家，处置能力为</w:t>
      </w:r>
      <w:r>
        <w:rPr>
          <w:rFonts w:hint="default" w:ascii="Times New Roman" w:hAnsi="Times New Roman" w:eastAsia="仿宋_GB2312" w:cs="Times New Roman"/>
          <w:b w:val="0"/>
          <w:bCs w:val="0"/>
          <w:color w:val="auto"/>
          <w:sz w:val="32"/>
          <w:szCs w:val="32"/>
          <w:u w:val="none"/>
          <w:lang w:val="en-US" w:eastAsia="zh-CN"/>
        </w:rPr>
        <w:t>10</w:t>
      </w:r>
      <w:r>
        <w:rPr>
          <w:rFonts w:hint="default" w:ascii="Times New Roman" w:hAnsi="Times New Roman" w:eastAsia="仿宋_GB2312" w:cs="Times New Roman"/>
          <w:b w:val="0"/>
          <w:bCs w:val="0"/>
          <w:color w:val="auto"/>
          <w:sz w:val="32"/>
          <w:szCs w:val="32"/>
          <w:u w:val="none"/>
        </w:rPr>
        <w:t>万吨/年。</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r>
        <w:rPr>
          <w:rFonts w:hint="eastAsia" w:ascii="楷体_GB2312" w:hAnsi="楷体_GB2312" w:eastAsia="楷体_GB2312" w:cs="楷体_GB2312"/>
          <w:b w:val="0"/>
          <w:bCs w:val="0"/>
          <w:color w:val="auto"/>
          <w:sz w:val="32"/>
          <w:szCs w:val="32"/>
          <w:u w:val="none"/>
        </w:rPr>
        <w:t>（三）存在的突出问题。</w:t>
      </w:r>
      <w:r>
        <w:rPr>
          <w:rFonts w:hint="default" w:ascii="Times New Roman" w:hAnsi="Times New Roman" w:eastAsia="仿宋_GB2312" w:cs="Times New Roman"/>
          <w:b w:val="0"/>
          <w:bCs w:val="0"/>
          <w:color w:val="auto"/>
          <w:sz w:val="32"/>
          <w:szCs w:val="32"/>
          <w:u w:val="none"/>
          <w:lang w:eastAsia="zh-CN"/>
        </w:rPr>
        <w:t>一</w:t>
      </w:r>
      <w:r>
        <w:rPr>
          <w:rFonts w:hint="default" w:ascii="Times New Roman" w:hAnsi="Times New Roman" w:eastAsia="仿宋_GB2312" w:cs="Times New Roman"/>
          <w:b w:val="0"/>
          <w:bCs w:val="0"/>
          <w:color w:val="auto"/>
          <w:sz w:val="32"/>
          <w:szCs w:val="32"/>
          <w:u w:val="none"/>
        </w:rPr>
        <w:t>是危废重点建设项目进展较为缓慢，医疗废物处置设施超负荷运行，乡村卫生院、卫生室、诊所等产生的医疗废物收集体系不健全，未实现全部集中处置；</w:t>
      </w:r>
      <w:r>
        <w:rPr>
          <w:rFonts w:hint="default" w:ascii="Times New Roman" w:hAnsi="Times New Roman" w:eastAsia="仿宋_GB2312" w:cs="Times New Roman"/>
          <w:b w:val="0"/>
          <w:bCs w:val="0"/>
          <w:color w:val="auto"/>
          <w:sz w:val="32"/>
          <w:szCs w:val="32"/>
          <w:u w:val="none"/>
          <w:lang w:eastAsia="zh-CN"/>
        </w:rPr>
        <w:t>二</w:t>
      </w:r>
      <w:r>
        <w:rPr>
          <w:rFonts w:hint="default" w:ascii="Times New Roman" w:hAnsi="Times New Roman" w:eastAsia="仿宋_GB2312" w:cs="Times New Roman"/>
          <w:b w:val="0"/>
          <w:bCs w:val="0"/>
          <w:color w:val="auto"/>
          <w:sz w:val="32"/>
          <w:szCs w:val="32"/>
          <w:u w:val="none"/>
        </w:rPr>
        <w:t>是部分企业对危险废物危害性的认识不足，对管理重视程度不高，环境安全主体责任落实不到位；</w:t>
      </w:r>
      <w:r>
        <w:rPr>
          <w:rFonts w:hint="default" w:ascii="Times New Roman" w:hAnsi="Times New Roman" w:eastAsia="仿宋_GB2312" w:cs="Times New Roman"/>
          <w:b w:val="0"/>
          <w:bCs w:val="0"/>
          <w:color w:val="auto"/>
          <w:sz w:val="32"/>
          <w:szCs w:val="32"/>
          <w:u w:val="none"/>
          <w:lang w:eastAsia="zh-CN"/>
        </w:rPr>
        <w:t>三</w:t>
      </w:r>
      <w:r>
        <w:rPr>
          <w:rFonts w:hint="default" w:ascii="Times New Roman" w:hAnsi="Times New Roman" w:eastAsia="仿宋_GB2312" w:cs="Times New Roman"/>
          <w:b w:val="0"/>
          <w:bCs w:val="0"/>
          <w:color w:val="auto"/>
          <w:sz w:val="32"/>
          <w:szCs w:val="32"/>
          <w:u w:val="none"/>
        </w:rPr>
        <w:t>是危险废物处置设施运营水平不高，规范化管理水平有待提高</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eastAsia="zh-CN"/>
        </w:rPr>
        <w:t>四是</w:t>
      </w:r>
      <w:r>
        <w:rPr>
          <w:rFonts w:hint="default" w:ascii="Times New Roman" w:hAnsi="Times New Roman" w:eastAsia="仿宋_GB2312" w:cs="Times New Roman"/>
          <w:b w:val="0"/>
          <w:bCs w:val="0"/>
          <w:color w:val="auto"/>
          <w:sz w:val="32"/>
          <w:szCs w:val="32"/>
          <w:u w:val="none"/>
        </w:rPr>
        <w:t>非法倒卖、转移、倾倒危险废物等违法行为难以杜绝。</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二、工作目标</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依法行政，加强监管，打好危险废物污染防治行动攻坚战。全面提升危险废物规范化管理水平和环境监管能力</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2019年、2020年全区危险废物规范化管理抽查合格率分别不低于92%、95%。</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突出危险废物“源头管控、安全处置、防范风险”三个环节，加快实施“十三五”危险废物处置设施建设规划，努力实现危险废物“减量化、资源化、无害化”的目标。到2020年，全区建立起较为完善的危险废物收集、贮存、运输、利用和处置体系，危险废物利用处置设施布局趋于合理，利用处置能力与危险废物产生种类和数量基本匹配，全区90%以上危险废物不出园区能得到妥善处置，医疗废物无害化处置率达到100%。</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三、重点任务</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r>
        <w:rPr>
          <w:rFonts w:hint="eastAsia" w:ascii="楷体_GB2312" w:hAnsi="楷体_GB2312" w:eastAsia="楷体_GB2312" w:cs="楷体_GB2312"/>
          <w:b w:val="0"/>
          <w:bCs w:val="0"/>
          <w:color w:val="auto"/>
          <w:sz w:val="32"/>
          <w:szCs w:val="32"/>
          <w:u w:val="none"/>
        </w:rPr>
        <w:t>（一）强化危险废物源头控制</w:t>
      </w:r>
      <w:bookmarkStart w:id="0" w:name="OLE_LINK8"/>
      <w:bookmarkStart w:id="1" w:name="OLE_LINK9"/>
      <w:r>
        <w:rPr>
          <w:rFonts w:hint="eastAsia" w:ascii="楷体_GB2312" w:hAnsi="楷体_GB2312" w:eastAsia="楷体_GB2312" w:cs="楷体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按照《</w:t>
      </w:r>
      <w:bookmarkStart w:id="2" w:name="OLE_LINK14"/>
      <w:bookmarkStart w:id="3" w:name="OLE_LINK13"/>
      <w:r>
        <w:rPr>
          <w:rFonts w:hint="default" w:ascii="Times New Roman" w:hAnsi="Times New Roman" w:eastAsia="仿宋_GB2312" w:cs="Times New Roman"/>
          <w:b w:val="0"/>
          <w:bCs w:val="0"/>
          <w:color w:val="auto"/>
          <w:sz w:val="32"/>
          <w:szCs w:val="32"/>
          <w:u w:val="none"/>
        </w:rPr>
        <w:t>国家鼓励的有毒有害原料（产品）替代品目录（2016年版）</w:t>
      </w:r>
      <w:bookmarkEnd w:id="2"/>
      <w:bookmarkEnd w:id="3"/>
      <w:r>
        <w:rPr>
          <w:rFonts w:hint="default" w:ascii="Times New Roman" w:hAnsi="Times New Roman" w:eastAsia="仿宋_GB2312" w:cs="Times New Roman"/>
          <w:b w:val="0"/>
          <w:bCs w:val="0"/>
          <w:color w:val="auto"/>
          <w:sz w:val="32"/>
          <w:szCs w:val="32"/>
          <w:u w:val="none"/>
        </w:rPr>
        <w:t>》要求，引导企业使用低毒低害和无毒无害原料，促进企业从源头削减或避免危险废物产生</w:t>
      </w:r>
      <w:bookmarkEnd w:id="0"/>
      <w:bookmarkEnd w:id="1"/>
      <w:r>
        <w:rPr>
          <w:rFonts w:hint="default" w:ascii="Times New Roman" w:hAnsi="Times New Roman" w:eastAsia="仿宋_GB2312" w:cs="Times New Roman"/>
          <w:b w:val="0"/>
          <w:bCs w:val="0"/>
          <w:color w:val="auto"/>
          <w:sz w:val="32"/>
          <w:szCs w:val="32"/>
          <w:u w:val="none"/>
        </w:rPr>
        <w:t>。对以危险废物为原料进行生产或者在生产中排放危险废物的企业，实施强制性清洁生产审核，提出并实施减少危险废物的使用、产生和资源化利用的方案。不断加强医疗废物源头管理，严格落实医疗废物管理的规章制度、工作流程，加强对医疗机构医疗废物收集、运送与暂时贮存过程中的防护管理。针对垃圾焚烧飞灰、废矿物油、电镀污泥、废铅酸蓄电池、铬渣、医疗废物等危险废物的处置，危险废物经营处理单位应优先采用列入《2017年国家先进污染防治技术目录（固体废物处理处置领域）》的污染控制技术。</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lang w:eastAsia="zh-CN"/>
        </w:rPr>
        <w:t>责任</w:t>
      </w:r>
      <w:r>
        <w:rPr>
          <w:rFonts w:hint="eastAsia" w:ascii="楷体_GB2312" w:hAnsi="楷体_GB2312" w:eastAsia="楷体_GB2312" w:cs="楷体_GB2312"/>
          <w:b w:val="0"/>
          <w:bCs w:val="0"/>
          <w:color w:val="auto"/>
          <w:sz w:val="32"/>
          <w:szCs w:val="32"/>
          <w:u w:val="none"/>
        </w:rPr>
        <w:t>单位：区</w:t>
      </w:r>
      <w:r>
        <w:rPr>
          <w:rFonts w:hint="eastAsia" w:ascii="楷体_GB2312" w:hAnsi="楷体_GB2312" w:eastAsia="楷体_GB2312" w:cs="楷体_GB2312"/>
          <w:b w:val="0"/>
          <w:bCs w:val="0"/>
          <w:color w:val="auto"/>
          <w:sz w:val="32"/>
          <w:szCs w:val="32"/>
          <w:u w:val="none"/>
          <w:lang w:eastAsia="zh-CN"/>
        </w:rPr>
        <w:t>生态环境</w:t>
      </w:r>
      <w:r>
        <w:rPr>
          <w:rFonts w:hint="eastAsia" w:ascii="楷体_GB2312" w:hAnsi="楷体_GB2312" w:eastAsia="楷体_GB2312" w:cs="楷体_GB2312"/>
          <w:b w:val="0"/>
          <w:bCs w:val="0"/>
          <w:color w:val="auto"/>
          <w:sz w:val="32"/>
          <w:szCs w:val="32"/>
          <w:u w:val="none"/>
        </w:rPr>
        <w:t>分局、区</w:t>
      </w:r>
      <w:r>
        <w:rPr>
          <w:rFonts w:hint="eastAsia" w:ascii="楷体_GB2312" w:hAnsi="楷体_GB2312" w:eastAsia="楷体_GB2312" w:cs="楷体_GB2312"/>
          <w:b w:val="0"/>
          <w:bCs w:val="0"/>
          <w:color w:val="auto"/>
          <w:sz w:val="32"/>
          <w:szCs w:val="32"/>
          <w:u w:val="none"/>
          <w:lang w:eastAsia="zh-CN"/>
        </w:rPr>
        <w:t>工信局</w:t>
      </w:r>
      <w:r>
        <w:rPr>
          <w:rFonts w:hint="eastAsia" w:ascii="楷体_GB2312" w:hAnsi="楷体_GB2312" w:eastAsia="楷体_GB2312" w:cs="楷体_GB2312"/>
          <w:b w:val="0"/>
          <w:bCs w:val="0"/>
          <w:color w:val="auto"/>
          <w:sz w:val="32"/>
          <w:szCs w:val="32"/>
          <w:u w:val="none"/>
        </w:rPr>
        <w:t>、区</w:t>
      </w:r>
      <w:r>
        <w:rPr>
          <w:rFonts w:hint="eastAsia" w:ascii="楷体_GB2312" w:hAnsi="楷体_GB2312" w:eastAsia="楷体_GB2312" w:cs="楷体_GB2312"/>
          <w:b w:val="0"/>
          <w:bCs w:val="0"/>
          <w:color w:val="auto"/>
          <w:sz w:val="32"/>
          <w:szCs w:val="32"/>
          <w:u w:val="none"/>
          <w:lang w:eastAsia="zh-CN"/>
        </w:rPr>
        <w:t>卫健局，</w:t>
      </w:r>
      <w:r>
        <w:rPr>
          <w:rFonts w:hint="eastAsia" w:ascii="楷体_GB2312" w:hAnsi="楷体_GB2312" w:eastAsia="楷体_GB2312" w:cs="楷体_GB2312"/>
          <w:b w:val="0"/>
          <w:bCs w:val="0"/>
          <w:color w:val="auto"/>
          <w:sz w:val="32"/>
          <w:szCs w:val="32"/>
          <w:u w:val="none"/>
        </w:rPr>
        <w:t>各镇</w:t>
      </w:r>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rPr>
        <w:t>街道、开发区</w:t>
      </w:r>
      <w:r>
        <w:rPr>
          <w:rFonts w:hint="eastAsia" w:ascii="楷体_GB2312" w:hAnsi="楷体_GB2312" w:eastAsia="楷体_GB2312" w:cs="楷体_GB2312"/>
          <w:b w:val="0"/>
          <w:bCs w:val="0"/>
          <w:color w:val="auto"/>
          <w:sz w:val="32"/>
          <w:szCs w:val="32"/>
          <w:u w:val="none"/>
          <w:lang w:eastAsia="zh-CN"/>
        </w:rPr>
        <w:t>）</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（二）着力提升危险废物处置能力</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lang w:val="en-US" w:eastAsia="zh-CN" w:bidi="ar-SA"/>
        </w:rPr>
      </w:pPr>
      <w:bookmarkStart w:id="4" w:name="_Toc519710691"/>
      <w:r>
        <w:rPr>
          <w:rFonts w:hint="default" w:ascii="Times New Roman" w:hAnsi="Times New Roman" w:eastAsia="仿宋_GB2312" w:cs="Times New Roman"/>
          <w:b w:val="0"/>
          <w:bCs w:val="0"/>
          <w:color w:val="auto"/>
          <w:sz w:val="32"/>
          <w:szCs w:val="32"/>
          <w:u w:val="none"/>
        </w:rPr>
        <w:t>1</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加快清理危险废物存量</w:t>
      </w:r>
      <w:bookmarkEnd w:id="4"/>
      <w:r>
        <w:rPr>
          <w:rFonts w:hint="default" w:ascii="Times New Roman" w:hAnsi="Times New Roman" w:eastAsia="仿宋_GB2312" w:cs="Times New Roman"/>
          <w:b w:val="0"/>
          <w:bCs w:val="0"/>
          <w:color w:val="auto"/>
          <w:sz w:val="32"/>
          <w:szCs w:val="32"/>
          <w:u w:val="none"/>
        </w:rPr>
        <w:t>。对贮存危险废物100吨以上、贮存设施不符合规范、贮存量饱和或超限的、贮存的危险废物在我区无相应处置能力</w:t>
      </w:r>
      <w:r>
        <w:rPr>
          <w:rFonts w:hint="default" w:ascii="Times New Roman" w:hAnsi="Times New Roman" w:eastAsia="仿宋_GB2312" w:cs="Times New Roman"/>
          <w:b w:val="0"/>
          <w:bCs w:val="0"/>
          <w:color w:val="auto"/>
          <w:sz w:val="32"/>
          <w:szCs w:val="32"/>
          <w:u w:val="none"/>
          <w:lang w:eastAsia="zh-CN"/>
        </w:rPr>
        <w:t>的</w:t>
      </w:r>
      <w:r>
        <w:rPr>
          <w:rFonts w:hint="default" w:ascii="Times New Roman" w:hAnsi="Times New Roman" w:eastAsia="仿宋_GB2312" w:cs="Times New Roman"/>
          <w:b w:val="0"/>
          <w:bCs w:val="0"/>
          <w:color w:val="auto"/>
          <w:sz w:val="32"/>
          <w:szCs w:val="32"/>
          <w:u w:val="none"/>
          <w:lang w:val="en-US" w:eastAsia="zh-CN"/>
        </w:rPr>
        <w:t>4类</w:t>
      </w:r>
      <w:r>
        <w:rPr>
          <w:rFonts w:hint="default" w:ascii="Times New Roman" w:hAnsi="Times New Roman" w:eastAsia="仿宋_GB2312" w:cs="Times New Roman"/>
          <w:b w:val="0"/>
          <w:bCs w:val="0"/>
          <w:color w:val="auto"/>
          <w:sz w:val="32"/>
          <w:szCs w:val="32"/>
          <w:u w:val="none"/>
        </w:rPr>
        <w:t>企业，要根据贮存条件、危险废物特性等因素，制定实施存量清理方案；对危险废物贮存时间超过1年、贮存设施不符合环保要求、贮存量饱和或超限的产废企业以及收集的危险废物贮存时间超过</w:t>
      </w:r>
      <w:r>
        <w:rPr>
          <w:rFonts w:hint="eastAsia" w:ascii="Times New Roman" w:hAnsi="Times New Roman" w:eastAsia="仿宋_GB2312" w:cs="Times New Roman"/>
          <w:b w:val="0"/>
          <w:bCs w:val="0"/>
          <w:color w:val="auto"/>
          <w:sz w:val="32"/>
          <w:szCs w:val="32"/>
          <w:u w:val="none"/>
          <w:lang w:val="en-US" w:eastAsia="zh-CN"/>
        </w:rPr>
        <w:t>1</w:t>
      </w:r>
      <w:r>
        <w:rPr>
          <w:rFonts w:hint="default" w:ascii="Times New Roman" w:hAnsi="Times New Roman" w:eastAsia="仿宋_GB2312" w:cs="Times New Roman"/>
          <w:b w:val="0"/>
          <w:bCs w:val="0"/>
          <w:color w:val="auto"/>
          <w:sz w:val="32"/>
          <w:szCs w:val="32"/>
          <w:u w:val="none"/>
        </w:rPr>
        <w:t>年的危险废物经营企业，要将其列入重点监控名单，实行“挂单销号”</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督促其倒排</w:t>
      </w:r>
      <w:r>
        <w:rPr>
          <w:rFonts w:hint="default" w:ascii="Times New Roman" w:hAnsi="Times New Roman" w:eastAsia="仿宋_GB2312" w:cs="Times New Roman"/>
          <w:b w:val="0"/>
          <w:bCs w:val="0"/>
          <w:color w:val="auto"/>
          <w:sz w:val="32"/>
          <w:szCs w:val="32"/>
          <w:u w:val="none"/>
          <w:lang w:val="en-US" w:eastAsia="zh-CN" w:bidi="ar-SA"/>
        </w:rPr>
        <w:t>工作计划，按要求完善贮存场所，切实推动贮存危险废物的处置，防范环境风险。加快危险废物利用处置，到2019年</w:t>
      </w:r>
      <w:r>
        <w:rPr>
          <w:rFonts w:hint="eastAsia" w:ascii="Times New Roman" w:hAnsi="Times New Roman" w:eastAsia="仿宋_GB2312" w:cs="Times New Roman"/>
          <w:b w:val="0"/>
          <w:bCs w:val="0"/>
          <w:color w:val="auto"/>
          <w:sz w:val="32"/>
          <w:szCs w:val="32"/>
          <w:u w:val="none"/>
          <w:lang w:val="en-US" w:eastAsia="zh-CN" w:bidi="ar-SA"/>
        </w:rPr>
        <w:t>年</w:t>
      </w:r>
      <w:r>
        <w:rPr>
          <w:rFonts w:hint="default" w:ascii="Times New Roman" w:hAnsi="Times New Roman" w:eastAsia="仿宋_GB2312" w:cs="Times New Roman"/>
          <w:b w:val="0"/>
          <w:bCs w:val="0"/>
          <w:color w:val="auto"/>
          <w:sz w:val="32"/>
          <w:szCs w:val="32"/>
          <w:u w:val="none"/>
          <w:lang w:val="en-US" w:eastAsia="zh-CN" w:bidi="ar-SA"/>
        </w:rPr>
        <w:t>底，基本消除危险废物贮存环境风险。</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distribute"/>
        <w:textAlignment w:val="auto"/>
        <w:outlineLvl w:val="1"/>
        <w:rPr>
          <w:rFonts w:hint="default" w:ascii="Times New Roman" w:hAnsi="Times New Roman" w:eastAsia="仿宋_GB2312" w:cs="Times New Roman"/>
          <w:b w:val="0"/>
          <w:bCs w:val="0"/>
          <w:color w:val="auto"/>
          <w:sz w:val="32"/>
          <w:szCs w:val="32"/>
          <w:u w:val="none"/>
          <w:lang w:val="en-US" w:eastAsia="zh-CN" w:bidi="ar-SA"/>
        </w:rPr>
      </w:pPr>
      <w:r>
        <w:rPr>
          <w:rFonts w:hint="default" w:ascii="Times New Roman" w:hAnsi="Times New Roman" w:eastAsia="仿宋_GB2312" w:cs="Times New Roman"/>
          <w:b w:val="0"/>
          <w:bCs w:val="0"/>
          <w:color w:val="auto"/>
          <w:sz w:val="32"/>
          <w:szCs w:val="32"/>
          <w:u w:val="none"/>
          <w:lang w:val="en-US" w:eastAsia="zh-CN" w:bidi="ar-SA"/>
        </w:rPr>
        <w:t>2</w:t>
      </w:r>
      <w:r>
        <w:rPr>
          <w:rFonts w:hint="eastAsia" w:ascii="Times New Roman" w:hAnsi="Times New Roman" w:eastAsia="仿宋_GB2312" w:cs="Times New Roman"/>
          <w:b w:val="0"/>
          <w:bCs w:val="0"/>
          <w:color w:val="auto"/>
          <w:sz w:val="32"/>
          <w:szCs w:val="32"/>
          <w:u w:val="none"/>
          <w:lang w:val="en-US" w:eastAsia="zh-CN" w:bidi="ar-SA"/>
        </w:rPr>
        <w:t>．</w:t>
      </w:r>
      <w:r>
        <w:rPr>
          <w:rFonts w:hint="default" w:ascii="Times New Roman" w:hAnsi="Times New Roman" w:eastAsia="仿宋_GB2312" w:cs="Times New Roman"/>
          <w:b w:val="0"/>
          <w:bCs w:val="0"/>
          <w:color w:val="auto"/>
          <w:sz w:val="32"/>
          <w:szCs w:val="32"/>
          <w:u w:val="none"/>
          <w:lang w:val="en-US" w:eastAsia="zh-CN" w:bidi="ar-SA"/>
        </w:rPr>
        <w:t>推进危险废物处置设施建设。各镇</w:t>
      </w:r>
      <w:r>
        <w:rPr>
          <w:rFonts w:hint="eastAsia" w:ascii="Times New Roman" w:hAnsi="Times New Roman" w:eastAsia="仿宋_GB2312" w:cs="Times New Roman"/>
          <w:b w:val="0"/>
          <w:bCs w:val="0"/>
          <w:color w:val="auto"/>
          <w:sz w:val="32"/>
          <w:szCs w:val="32"/>
          <w:u w:val="none"/>
          <w:lang w:val="en-US" w:eastAsia="zh-CN" w:bidi="ar-SA"/>
        </w:rPr>
        <w:t>（</w:t>
      </w:r>
      <w:r>
        <w:rPr>
          <w:rFonts w:hint="default" w:ascii="Times New Roman" w:hAnsi="Times New Roman" w:eastAsia="仿宋_GB2312" w:cs="Times New Roman"/>
          <w:b w:val="0"/>
          <w:bCs w:val="0"/>
          <w:color w:val="auto"/>
          <w:sz w:val="32"/>
          <w:szCs w:val="32"/>
          <w:u w:val="none"/>
          <w:lang w:val="en-US" w:eastAsia="zh-CN" w:bidi="ar-SA"/>
        </w:rPr>
        <w:t>街道</w:t>
      </w:r>
      <w:r>
        <w:rPr>
          <w:rFonts w:hint="eastAsia" w:ascii="Times New Roman" w:hAnsi="Times New Roman" w:eastAsia="仿宋_GB2312" w:cs="Times New Roman"/>
          <w:b w:val="0"/>
          <w:bCs w:val="0"/>
          <w:color w:val="auto"/>
          <w:sz w:val="32"/>
          <w:szCs w:val="32"/>
          <w:u w:val="none"/>
          <w:lang w:val="en-US" w:eastAsia="zh-CN" w:bidi="ar-SA"/>
        </w:rPr>
        <w:t>、</w:t>
      </w:r>
      <w:r>
        <w:rPr>
          <w:rFonts w:hint="default" w:ascii="Times New Roman" w:hAnsi="Times New Roman" w:eastAsia="仿宋_GB2312" w:cs="Times New Roman"/>
          <w:b w:val="0"/>
          <w:bCs w:val="0"/>
          <w:color w:val="auto"/>
          <w:sz w:val="32"/>
          <w:szCs w:val="32"/>
          <w:u w:val="none"/>
          <w:lang w:val="en-US" w:eastAsia="zh-CN" w:bidi="ar-SA"/>
        </w:rPr>
        <w:t>开发区</w:t>
      </w:r>
      <w:r>
        <w:rPr>
          <w:rFonts w:hint="eastAsia" w:ascii="Times New Roman" w:hAnsi="Times New Roman" w:eastAsia="仿宋_GB2312" w:cs="Times New Roman"/>
          <w:b w:val="0"/>
          <w:bCs w:val="0"/>
          <w:color w:val="auto"/>
          <w:sz w:val="32"/>
          <w:szCs w:val="32"/>
          <w:u w:val="none"/>
          <w:lang w:val="en-US" w:eastAsia="zh-CN" w:bidi="ar-SA"/>
        </w:rPr>
        <w:t>）</w:t>
      </w:r>
      <w:r>
        <w:rPr>
          <w:rFonts w:hint="default" w:ascii="Times New Roman" w:hAnsi="Times New Roman" w:eastAsia="仿宋_GB2312" w:cs="Times New Roman"/>
          <w:b w:val="0"/>
          <w:bCs w:val="0"/>
          <w:color w:val="auto"/>
          <w:sz w:val="32"/>
          <w:szCs w:val="32"/>
          <w:u w:val="none"/>
          <w:lang w:val="en-US" w:eastAsia="zh-CN" w:bidi="ar-SA"/>
        </w:rPr>
        <w:t>及</w:t>
      </w:r>
    </w:p>
    <w:p>
      <w:pPr>
        <w:keepNext w:val="0"/>
        <w:keepLines w:val="0"/>
        <w:pageBreakBefore w:val="0"/>
        <w:widowControl/>
        <w:kinsoku/>
        <w:wordWrap/>
        <w:overflowPunct/>
        <w:topLinePunct w:val="0"/>
        <w:autoSpaceDE/>
        <w:autoSpaceDN/>
        <w:bidi w:val="0"/>
        <w:adjustRightInd/>
        <w:spacing w:beforeAutospacing="0" w:after="0" w:afterAutospacing="0" w:line="560" w:lineRule="exact"/>
        <w:jc w:val="both"/>
        <w:textAlignment w:val="auto"/>
        <w:outlineLvl w:val="1"/>
        <w:rPr>
          <w:rFonts w:hint="default" w:ascii="Times New Roman" w:hAnsi="Times New Roman" w:eastAsia="仿宋_GB2312" w:cs="Times New Roman"/>
          <w:b w:val="0"/>
          <w:bCs w:val="0"/>
          <w:color w:val="auto"/>
          <w:sz w:val="32"/>
          <w:szCs w:val="32"/>
          <w:u w:val="none"/>
          <w:lang w:val="en-US" w:eastAsia="zh-CN" w:bidi="ar-SA"/>
        </w:rPr>
      </w:pPr>
      <w:r>
        <w:rPr>
          <w:rFonts w:hint="default" w:ascii="Times New Roman" w:hAnsi="Times New Roman" w:eastAsia="仿宋_GB2312" w:cs="Times New Roman"/>
          <w:b w:val="0"/>
          <w:bCs w:val="0"/>
          <w:color w:val="auto"/>
          <w:sz w:val="32"/>
          <w:szCs w:val="32"/>
          <w:u w:val="none"/>
          <w:lang w:val="en-US" w:eastAsia="zh-CN" w:bidi="ar-SA"/>
        </w:rPr>
        <w:t>相关部门要坚持“一把手负总责、</w:t>
      </w:r>
      <w:r>
        <w:rPr>
          <w:rFonts w:hint="eastAsia" w:ascii="Times New Roman" w:hAnsi="Times New Roman" w:eastAsia="仿宋_GB2312" w:cs="Times New Roman"/>
          <w:b w:val="0"/>
          <w:bCs w:val="0"/>
          <w:color w:val="auto"/>
          <w:sz w:val="32"/>
          <w:szCs w:val="32"/>
          <w:u w:val="none"/>
          <w:lang w:val="en-US" w:eastAsia="zh-CN" w:bidi="ar-SA"/>
        </w:rPr>
        <w:t>分管</w:t>
      </w:r>
      <w:r>
        <w:rPr>
          <w:rFonts w:hint="default" w:ascii="Times New Roman" w:hAnsi="Times New Roman" w:eastAsia="仿宋_GB2312" w:cs="Times New Roman"/>
          <w:b w:val="0"/>
          <w:bCs w:val="0"/>
          <w:color w:val="auto"/>
          <w:sz w:val="32"/>
          <w:szCs w:val="32"/>
          <w:u w:val="none"/>
          <w:lang w:val="en-US" w:eastAsia="zh-CN" w:bidi="ar-SA"/>
        </w:rPr>
        <w:t>领导负专责”的原则，逐级落实目标责任。要按照省市</w:t>
      </w:r>
      <w:r>
        <w:rPr>
          <w:rFonts w:hint="eastAsia" w:ascii="Times New Roman" w:hAnsi="Times New Roman" w:eastAsia="仿宋_GB2312" w:cs="Times New Roman"/>
          <w:b w:val="0"/>
          <w:bCs w:val="0"/>
          <w:color w:val="auto"/>
          <w:sz w:val="32"/>
          <w:szCs w:val="32"/>
          <w:u w:val="none"/>
          <w:lang w:val="en-US" w:eastAsia="zh-CN" w:bidi="ar-SA"/>
        </w:rPr>
        <w:t>区</w:t>
      </w:r>
      <w:r>
        <w:rPr>
          <w:rFonts w:hint="default" w:ascii="Times New Roman" w:hAnsi="Times New Roman" w:eastAsia="仿宋_GB2312" w:cs="Times New Roman"/>
          <w:b w:val="0"/>
          <w:bCs w:val="0"/>
          <w:color w:val="auto"/>
          <w:sz w:val="32"/>
          <w:szCs w:val="32"/>
          <w:u w:val="none"/>
          <w:lang w:val="en-US" w:eastAsia="zh-CN" w:bidi="ar-SA"/>
        </w:rPr>
        <w:t>“十三五”危险废物处置设施建设相关文件要求，在项目立项、用地和规划等方面予以支持和优先，加快推进危险废物集中处置设施建设前期工作，及时协调解决项目建设中的问题，确保项目顺利推进，如期建成运行，提升全区危险废物处置能力。</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lang w:eastAsia="zh-CN"/>
        </w:rPr>
        <w:t>责任单位：区生态环境分局、区发改局、区工信局、区自然资源局、区住建局</w:t>
      </w:r>
      <w:bookmarkStart w:id="5" w:name="_Toc519710693"/>
      <w:r>
        <w:rPr>
          <w:rFonts w:hint="eastAsia" w:ascii="楷体_GB2312" w:hAnsi="楷体_GB2312" w:eastAsia="楷体_GB2312" w:cs="楷体_GB2312"/>
          <w:b w:val="0"/>
          <w:bCs w:val="0"/>
          <w:color w:val="auto"/>
          <w:sz w:val="32"/>
          <w:szCs w:val="32"/>
          <w:u w:val="none"/>
          <w:lang w:eastAsia="zh-CN"/>
        </w:rPr>
        <w:t>，</w:t>
      </w:r>
      <w:r>
        <w:rPr>
          <w:rFonts w:hint="default" w:ascii="楷体_GB2312" w:hAnsi="楷体_GB2312" w:eastAsia="楷体_GB2312" w:cs="楷体_GB2312"/>
          <w:b w:val="0"/>
          <w:bCs w:val="0"/>
          <w:color w:val="auto"/>
          <w:sz w:val="32"/>
          <w:szCs w:val="32"/>
          <w:u w:val="none"/>
          <w:lang w:eastAsia="zh-CN"/>
        </w:rPr>
        <w:t>各镇</w:t>
      </w:r>
      <w:r>
        <w:rPr>
          <w:rFonts w:hint="eastAsia" w:ascii="楷体_GB2312" w:hAnsi="楷体_GB2312" w:eastAsia="楷体_GB2312" w:cs="楷体_GB2312"/>
          <w:b w:val="0"/>
          <w:bCs w:val="0"/>
          <w:color w:val="auto"/>
          <w:sz w:val="32"/>
          <w:szCs w:val="32"/>
          <w:u w:val="none"/>
          <w:lang w:eastAsia="zh-CN"/>
        </w:rPr>
        <w:t>（</w:t>
      </w:r>
      <w:r>
        <w:rPr>
          <w:rFonts w:hint="default" w:ascii="楷体_GB2312" w:hAnsi="楷体_GB2312" w:eastAsia="楷体_GB2312" w:cs="楷体_GB2312"/>
          <w:b w:val="0"/>
          <w:bCs w:val="0"/>
          <w:color w:val="auto"/>
          <w:sz w:val="32"/>
          <w:szCs w:val="32"/>
          <w:u w:val="none"/>
          <w:lang w:eastAsia="zh-CN"/>
        </w:rPr>
        <w:t>街道、开发区</w:t>
      </w:r>
      <w:r>
        <w:rPr>
          <w:rFonts w:hint="eastAsia" w:ascii="楷体_GB2312" w:hAnsi="楷体_GB2312" w:eastAsia="楷体_GB2312" w:cs="楷体_GB2312"/>
          <w:b w:val="0"/>
          <w:bCs w:val="0"/>
          <w:color w:val="auto"/>
          <w:sz w:val="32"/>
          <w:szCs w:val="32"/>
          <w:u w:val="none"/>
          <w:lang w:eastAsia="zh-CN"/>
        </w:rPr>
        <w:t>）</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r>
        <w:rPr>
          <w:rFonts w:hint="eastAsia" w:ascii="楷体_GB2312" w:hAnsi="楷体_GB2312" w:eastAsia="楷体_GB2312" w:cs="楷体_GB2312"/>
          <w:b w:val="0"/>
          <w:bCs w:val="0"/>
          <w:color w:val="auto"/>
          <w:sz w:val="32"/>
          <w:szCs w:val="32"/>
          <w:u w:val="none"/>
        </w:rPr>
        <w:t>（三）推进医疗废物城乡一体化处置</w:t>
      </w:r>
      <w:bookmarkEnd w:id="5"/>
      <w:r>
        <w:rPr>
          <w:rFonts w:hint="eastAsia" w:ascii="楷体_GB2312" w:hAnsi="楷体_GB2312" w:eastAsia="楷体_GB2312" w:cs="楷体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完善医疗废物分类管理制度，严格落实医疗废物分类管理、专用包装、集中贮存的要求，加强收集、转运设施设备配套，因地制宜推行以处置企业为主体的农村医疗废物收集转运工作模式，到2020年，力争各类医疗卫生机构医疗废物全部纳入集中处置。</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lang w:eastAsia="zh-CN"/>
        </w:rPr>
        <w:t>责任单位：区卫健局、区生态环境分局</w:t>
      </w:r>
      <w:r>
        <w:rPr>
          <w:rFonts w:hint="eastAsia" w:ascii="楷体_GB2312" w:hAnsi="楷体_GB2312" w:eastAsia="楷体_GB2312" w:cs="楷体_GB2312"/>
          <w:b w:val="0"/>
          <w:bCs w:val="0"/>
          <w:color w:val="auto"/>
          <w:sz w:val="32"/>
          <w:szCs w:val="32"/>
          <w:u w:val="none"/>
          <w:lang w:eastAsia="zh-CN"/>
        </w:rPr>
        <w:t>，</w:t>
      </w:r>
      <w:r>
        <w:rPr>
          <w:rFonts w:hint="default" w:ascii="楷体_GB2312" w:hAnsi="楷体_GB2312" w:eastAsia="楷体_GB2312" w:cs="楷体_GB2312"/>
          <w:b w:val="0"/>
          <w:bCs w:val="0"/>
          <w:color w:val="auto"/>
          <w:sz w:val="32"/>
          <w:szCs w:val="32"/>
          <w:u w:val="none"/>
          <w:lang w:eastAsia="zh-CN"/>
        </w:rPr>
        <w:t>各镇</w:t>
      </w:r>
      <w:r>
        <w:rPr>
          <w:rFonts w:hint="eastAsia" w:ascii="楷体_GB2312" w:hAnsi="楷体_GB2312" w:eastAsia="楷体_GB2312" w:cs="楷体_GB2312"/>
          <w:b w:val="0"/>
          <w:bCs w:val="0"/>
          <w:color w:val="auto"/>
          <w:sz w:val="32"/>
          <w:szCs w:val="32"/>
          <w:u w:val="none"/>
          <w:lang w:eastAsia="zh-CN"/>
        </w:rPr>
        <w:t>（</w:t>
      </w:r>
      <w:r>
        <w:rPr>
          <w:rFonts w:hint="default" w:ascii="楷体_GB2312" w:hAnsi="楷体_GB2312" w:eastAsia="楷体_GB2312" w:cs="楷体_GB2312"/>
          <w:b w:val="0"/>
          <w:bCs w:val="0"/>
          <w:color w:val="auto"/>
          <w:sz w:val="32"/>
          <w:szCs w:val="32"/>
          <w:u w:val="none"/>
          <w:lang w:eastAsia="zh-CN"/>
        </w:rPr>
        <w:t>街道、开发区</w:t>
      </w:r>
      <w:r>
        <w:rPr>
          <w:rFonts w:hint="eastAsia" w:ascii="楷体_GB2312" w:hAnsi="楷体_GB2312" w:eastAsia="楷体_GB2312" w:cs="楷体_GB2312"/>
          <w:b w:val="0"/>
          <w:bCs w:val="0"/>
          <w:color w:val="auto"/>
          <w:sz w:val="32"/>
          <w:szCs w:val="32"/>
          <w:u w:val="none"/>
          <w:lang w:eastAsia="zh-CN"/>
        </w:rPr>
        <w:t>）</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（四）</w:t>
      </w:r>
      <w:bookmarkStart w:id="6" w:name="_Toc519710699"/>
      <w:r>
        <w:rPr>
          <w:rFonts w:hint="eastAsia" w:ascii="楷体_GB2312" w:hAnsi="楷体_GB2312" w:eastAsia="楷体_GB2312" w:cs="楷体_GB2312"/>
          <w:b w:val="0"/>
          <w:bCs w:val="0"/>
          <w:color w:val="auto"/>
          <w:sz w:val="32"/>
          <w:szCs w:val="32"/>
          <w:u w:val="none"/>
        </w:rPr>
        <w:t>提升危险废物处置全过程监管能力</w:t>
      </w:r>
      <w:bookmarkEnd w:id="6"/>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bookmarkStart w:id="7" w:name="_Toc519710700"/>
      <w:r>
        <w:rPr>
          <w:rFonts w:hint="default" w:ascii="Times New Roman" w:hAnsi="Times New Roman" w:eastAsia="仿宋_GB2312" w:cs="Times New Roman"/>
          <w:b w:val="0"/>
          <w:bCs w:val="0"/>
          <w:color w:val="auto"/>
          <w:sz w:val="32"/>
          <w:szCs w:val="32"/>
          <w:u w:val="none"/>
        </w:rPr>
        <w:t>1</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完善危险废物收集体系</w:t>
      </w:r>
      <w:bookmarkEnd w:id="7"/>
      <w:r>
        <w:rPr>
          <w:rFonts w:hint="default" w:ascii="Times New Roman" w:hAnsi="Times New Roman" w:eastAsia="仿宋_GB2312" w:cs="Times New Roman"/>
          <w:b w:val="0"/>
          <w:bCs w:val="0"/>
          <w:color w:val="auto"/>
          <w:sz w:val="32"/>
          <w:szCs w:val="32"/>
          <w:u w:val="none"/>
        </w:rPr>
        <w:t>。推动危险废物分类收集专业化、规模化，鼓励危险废物处置中心建设区域性收集网络、贮存设施。加强涉重金属危险废物无害化处置，鼓励生产或经营企业建立废铅酸蓄电池、废弃荧光灯、废镍镉电池等回收网络，支持分类回收处理。建立机动车拆解维修、检测实验室等特种行业危险废物的收集体系。</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bookmarkStart w:id="8" w:name="_Toc519710701"/>
      <w:r>
        <w:rPr>
          <w:rFonts w:hint="default" w:ascii="Times New Roman" w:hAnsi="Times New Roman" w:eastAsia="仿宋_GB2312" w:cs="Times New Roman"/>
          <w:b w:val="0"/>
          <w:bCs w:val="0"/>
          <w:color w:val="auto"/>
          <w:sz w:val="32"/>
          <w:szCs w:val="32"/>
          <w:u w:val="none"/>
        </w:rPr>
        <w:t>2</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加强危险废物监管能力建设</w:t>
      </w:r>
      <w:bookmarkEnd w:id="8"/>
      <w:r>
        <w:rPr>
          <w:rFonts w:hint="default" w:ascii="Times New Roman" w:hAnsi="Times New Roman" w:eastAsia="仿宋_GB2312" w:cs="Times New Roman"/>
          <w:b w:val="0"/>
          <w:bCs w:val="0"/>
          <w:color w:val="auto"/>
          <w:sz w:val="32"/>
          <w:szCs w:val="32"/>
          <w:u w:val="none"/>
        </w:rPr>
        <w:t>。建立危险废物产生、收集、运输、贮存、利用和处置等全过程监管体系。依托“互联网+”，完善危险废物电子转移联单，加强危险废物流向监控。结合监管网络平台建设，借助物联网、卫星遥感等信息化手段，逐步建立“能定位、能查询、能跟踪、能预警、能考核”的危险废物全过程监管信息数据库，提升危险废物风险防控水平。推动与交通主管部门危险货物运输管理系统互联互通和数据共享。2020</w:t>
      </w:r>
      <w:r>
        <w:rPr>
          <w:rFonts w:hint="eastAsia" w:ascii="Times New Roman" w:hAnsi="Times New Roman" w:eastAsia="仿宋_GB2312" w:cs="Times New Roman"/>
          <w:b w:val="0"/>
          <w:bCs w:val="0"/>
          <w:color w:val="auto"/>
          <w:sz w:val="32"/>
          <w:szCs w:val="32"/>
          <w:u w:val="none"/>
          <w:lang w:eastAsia="zh-CN"/>
        </w:rPr>
        <w:t>年</w:t>
      </w:r>
      <w:r>
        <w:rPr>
          <w:rFonts w:hint="default" w:ascii="Times New Roman" w:hAnsi="Times New Roman" w:eastAsia="仿宋_GB2312" w:cs="Times New Roman"/>
          <w:b w:val="0"/>
          <w:bCs w:val="0"/>
          <w:color w:val="auto"/>
          <w:sz w:val="32"/>
          <w:szCs w:val="32"/>
          <w:u w:val="none"/>
        </w:rPr>
        <w:t>年底前，健全完善固体废物管理信息系统，实现危险废物申报登记、管理计划和应急预案备案、转移联单、经营单位经营记录、日常管理等信息化管理。鼓励企业加大技术创新和改造力度，采用技术成熟、运行稳定、经济合理的新技术，提高现有设施的处置运营水平。建立危险废物应急处置区域合作协调机制，提高应急处置能力。</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bookmarkStart w:id="9" w:name="_Toc519710702"/>
      <w:r>
        <w:rPr>
          <w:rFonts w:hint="default" w:ascii="Times New Roman" w:hAnsi="Times New Roman" w:eastAsia="仿宋_GB2312" w:cs="Times New Roman"/>
          <w:b w:val="0"/>
          <w:bCs w:val="0"/>
          <w:color w:val="auto"/>
          <w:sz w:val="32"/>
          <w:szCs w:val="32"/>
          <w:u w:val="none"/>
        </w:rPr>
        <w:t>3</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强化危险废物规范化管理</w:t>
      </w:r>
      <w:bookmarkEnd w:id="9"/>
      <w:r>
        <w:rPr>
          <w:rFonts w:hint="default" w:ascii="Times New Roman" w:hAnsi="Times New Roman" w:eastAsia="仿宋_GB2312" w:cs="Times New Roman"/>
          <w:b w:val="0"/>
          <w:bCs w:val="0"/>
          <w:color w:val="auto"/>
          <w:sz w:val="32"/>
          <w:szCs w:val="32"/>
          <w:u w:val="none"/>
        </w:rPr>
        <w:t>。针对危险废物经营单位，采取资料审查和现场检查相结合的方式，开展危险废物经营单位专项整治行动，重点检查处置设施运行状况及危险废物非法转移和倾倒等行为。对检查中发现的问题企业限期整改，对存在违法行为的企业依法处罚，对发现的非固废问题及时移交相应管理部门单位，对涉嫌犯罪的移交当地公安机关依法处理。</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eastAsia"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rPr>
        <w:t>围绕提升涉危险废物企业管理水平，合理设置指标体系，</w:t>
      </w:r>
      <w:r>
        <w:rPr>
          <w:rFonts w:hint="default" w:ascii="Times New Roman" w:hAnsi="Times New Roman" w:eastAsia="仿宋_GB2312" w:cs="Times New Roman"/>
          <w:b w:val="0"/>
          <w:bCs w:val="0"/>
          <w:color w:val="auto"/>
          <w:sz w:val="32"/>
          <w:szCs w:val="32"/>
          <w:u w:val="none"/>
          <w:lang w:eastAsia="zh-CN"/>
        </w:rPr>
        <w:t>区</w:t>
      </w:r>
      <w:r>
        <w:rPr>
          <w:rFonts w:hint="eastAsia" w:ascii="Times New Roman" w:hAnsi="Times New Roman" w:eastAsia="仿宋_GB2312" w:cs="Times New Roman"/>
          <w:b w:val="0"/>
          <w:bCs w:val="0"/>
          <w:color w:val="auto"/>
          <w:sz w:val="32"/>
          <w:szCs w:val="32"/>
          <w:u w:val="none"/>
          <w:lang w:eastAsia="zh-CN"/>
        </w:rPr>
        <w:t>生态环境分局负责</w:t>
      </w:r>
      <w:r>
        <w:rPr>
          <w:rFonts w:hint="default" w:ascii="Times New Roman" w:hAnsi="Times New Roman" w:eastAsia="仿宋_GB2312" w:cs="Times New Roman"/>
          <w:b w:val="0"/>
          <w:bCs w:val="0"/>
          <w:color w:val="auto"/>
          <w:sz w:val="32"/>
          <w:szCs w:val="32"/>
          <w:u w:val="none"/>
        </w:rPr>
        <w:t>对</w:t>
      </w:r>
      <w:r>
        <w:rPr>
          <w:rFonts w:hint="eastAsia" w:ascii="Times New Roman" w:hAnsi="Times New Roman" w:eastAsia="仿宋_GB2312" w:cs="Times New Roman"/>
          <w:b w:val="0"/>
          <w:bCs w:val="0"/>
          <w:color w:val="auto"/>
          <w:sz w:val="32"/>
          <w:szCs w:val="32"/>
          <w:u w:val="none"/>
          <w:lang w:eastAsia="zh-CN"/>
        </w:rPr>
        <w:t>全区</w:t>
      </w:r>
      <w:r>
        <w:rPr>
          <w:rFonts w:hint="default" w:ascii="Times New Roman" w:hAnsi="Times New Roman" w:eastAsia="仿宋_GB2312" w:cs="Times New Roman"/>
          <w:b w:val="0"/>
          <w:bCs w:val="0"/>
          <w:color w:val="auto"/>
          <w:sz w:val="32"/>
          <w:szCs w:val="32"/>
          <w:u w:val="none"/>
        </w:rPr>
        <w:t>产废单位和经营单位检查评估</w:t>
      </w:r>
      <w:r>
        <w:rPr>
          <w:rFonts w:hint="eastAsia" w:ascii="Times New Roman" w:hAnsi="Times New Roman" w:eastAsia="仿宋_GB2312" w:cs="Times New Roman"/>
          <w:b w:val="0"/>
          <w:bCs w:val="0"/>
          <w:color w:val="auto"/>
          <w:sz w:val="32"/>
          <w:szCs w:val="32"/>
          <w:u w:val="none"/>
          <w:lang w:eastAsia="zh-CN"/>
        </w:rPr>
        <w:t>。</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lang w:eastAsia="zh-CN"/>
        </w:rPr>
        <w:t>责任单位：区生态环境分局、区公安分局、区交通运输局</w:t>
      </w:r>
      <w:r>
        <w:rPr>
          <w:rFonts w:hint="eastAsia" w:ascii="楷体_GB2312" w:hAnsi="楷体_GB2312" w:eastAsia="楷体_GB2312" w:cs="楷体_GB2312"/>
          <w:b w:val="0"/>
          <w:bCs w:val="0"/>
          <w:color w:val="auto"/>
          <w:sz w:val="32"/>
          <w:szCs w:val="32"/>
          <w:u w:val="none"/>
          <w:lang w:eastAsia="zh-CN"/>
        </w:rPr>
        <w:t>，</w:t>
      </w:r>
    </w:p>
    <w:p>
      <w:pPr>
        <w:keepNext w:val="0"/>
        <w:keepLines w:val="0"/>
        <w:pageBreakBefore w:val="0"/>
        <w:widowControl/>
        <w:kinsoku/>
        <w:wordWrap/>
        <w:overflowPunct/>
        <w:topLinePunct w:val="0"/>
        <w:autoSpaceDE/>
        <w:autoSpaceDN/>
        <w:bidi w:val="0"/>
        <w:adjustRightInd/>
        <w:spacing w:beforeAutospacing="0" w:after="0" w:afterAutospacing="0" w:line="560" w:lineRule="exact"/>
        <w:jc w:val="both"/>
        <w:textAlignment w:val="auto"/>
        <w:rPr>
          <w:rFonts w:hint="default" w:ascii="楷体_GB2312" w:hAnsi="楷体_GB2312" w:eastAsia="楷体_GB2312" w:cs="楷体_GB2312"/>
          <w:b w:val="0"/>
          <w:bCs w:val="0"/>
          <w:color w:val="auto"/>
          <w:sz w:val="32"/>
          <w:szCs w:val="32"/>
          <w:u w:val="none"/>
          <w:lang w:eastAsia="zh-CN"/>
        </w:rPr>
      </w:pPr>
      <w:bookmarkStart w:id="10" w:name="_Toc519710703"/>
      <w:r>
        <w:rPr>
          <w:rFonts w:hint="default" w:ascii="楷体_GB2312" w:hAnsi="楷体_GB2312" w:eastAsia="楷体_GB2312" w:cs="楷体_GB2312"/>
          <w:b w:val="0"/>
          <w:bCs w:val="0"/>
          <w:color w:val="auto"/>
          <w:sz w:val="32"/>
          <w:szCs w:val="32"/>
          <w:u w:val="none"/>
          <w:lang w:eastAsia="zh-CN"/>
        </w:rPr>
        <w:t>各镇</w:t>
      </w:r>
      <w:r>
        <w:rPr>
          <w:rFonts w:hint="eastAsia" w:ascii="楷体_GB2312" w:hAnsi="楷体_GB2312" w:eastAsia="楷体_GB2312" w:cs="楷体_GB2312"/>
          <w:b w:val="0"/>
          <w:bCs w:val="0"/>
          <w:color w:val="auto"/>
          <w:sz w:val="32"/>
          <w:szCs w:val="32"/>
          <w:u w:val="none"/>
          <w:lang w:eastAsia="zh-CN"/>
        </w:rPr>
        <w:t>（</w:t>
      </w:r>
      <w:r>
        <w:rPr>
          <w:rFonts w:hint="default" w:ascii="楷体_GB2312" w:hAnsi="楷体_GB2312" w:eastAsia="楷体_GB2312" w:cs="楷体_GB2312"/>
          <w:b w:val="0"/>
          <w:bCs w:val="0"/>
          <w:color w:val="auto"/>
          <w:sz w:val="32"/>
          <w:szCs w:val="32"/>
          <w:u w:val="none"/>
          <w:lang w:eastAsia="zh-CN"/>
        </w:rPr>
        <w:t>街道、开发区</w:t>
      </w:r>
      <w:r>
        <w:rPr>
          <w:rFonts w:hint="eastAsia" w:ascii="楷体_GB2312" w:hAnsi="楷体_GB2312" w:eastAsia="楷体_GB2312" w:cs="楷体_GB2312"/>
          <w:b w:val="0"/>
          <w:bCs w:val="0"/>
          <w:color w:val="auto"/>
          <w:sz w:val="32"/>
          <w:szCs w:val="32"/>
          <w:u w:val="none"/>
          <w:lang w:eastAsia="zh-CN"/>
        </w:rPr>
        <w:t>）</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0"/>
        <w:rPr>
          <w:rFonts w:hint="default" w:ascii="Times New Roman" w:hAnsi="Times New Roman" w:eastAsia="黑体"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四、保障措施</w:t>
      </w:r>
      <w:bookmarkEnd w:id="10"/>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bookmarkStart w:id="11" w:name="_Toc519710704"/>
      <w:r>
        <w:rPr>
          <w:rFonts w:hint="eastAsia" w:ascii="楷体_GB2312" w:hAnsi="楷体_GB2312" w:eastAsia="楷体_GB2312" w:cs="楷体_GB2312"/>
          <w:b w:val="0"/>
          <w:bCs w:val="0"/>
          <w:color w:val="auto"/>
          <w:sz w:val="32"/>
          <w:szCs w:val="32"/>
          <w:u w:val="none"/>
        </w:rPr>
        <w:t>（一）加强组织领导</w:t>
      </w:r>
      <w:bookmarkEnd w:id="11"/>
      <w:r>
        <w:rPr>
          <w:rFonts w:hint="eastAsia" w:ascii="楷体_GB2312" w:hAnsi="楷体_GB2312" w:eastAsia="楷体_GB2312" w:cs="楷体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各镇</w:t>
      </w:r>
      <w:r>
        <w:rPr>
          <w:rFonts w:hint="eastAsia" w:ascii="Times New Roman" w:hAnsi="Times New Roman" w:eastAsia="仿宋_GB2312" w:cs="Times New Roman"/>
          <w:b w:val="0"/>
          <w:bCs w:val="0"/>
          <w:color w:val="auto"/>
          <w:sz w:val="32"/>
          <w:szCs w:val="32"/>
          <w:u w:val="none"/>
          <w:lang w:eastAsia="zh-CN"/>
        </w:rPr>
        <w:t>（街道、开发区）</w:t>
      </w:r>
      <w:r>
        <w:rPr>
          <w:rFonts w:hint="default" w:ascii="Times New Roman" w:hAnsi="Times New Roman" w:eastAsia="仿宋_GB2312" w:cs="Times New Roman"/>
          <w:b w:val="0"/>
          <w:bCs w:val="0"/>
          <w:color w:val="auto"/>
          <w:sz w:val="32"/>
          <w:szCs w:val="32"/>
          <w:u w:val="none"/>
        </w:rPr>
        <w:t>要把解决危险废物突出环境问题放在各项工作的重要位置，要把建设区域性危险废物集中处置设施纳入城市环境基础设施建设计划，主要负责同志亲自抓，分管负责同志靠上抓，层层抓落实。</w:t>
      </w:r>
      <w:r>
        <w:rPr>
          <w:rFonts w:hint="eastAsia" w:ascii="Times New Roman" w:hAnsi="Times New Roman" w:eastAsia="仿宋_GB2312" w:cs="Times New Roman"/>
          <w:b w:val="0"/>
          <w:bCs w:val="0"/>
          <w:color w:val="auto"/>
          <w:sz w:val="32"/>
          <w:szCs w:val="32"/>
          <w:u w:val="none"/>
          <w:lang w:eastAsia="zh-CN"/>
        </w:rPr>
        <w:t>有关</w:t>
      </w:r>
      <w:r>
        <w:rPr>
          <w:rFonts w:hint="default" w:ascii="Times New Roman" w:hAnsi="Times New Roman" w:eastAsia="仿宋_GB2312" w:cs="Times New Roman"/>
          <w:b w:val="0"/>
          <w:bCs w:val="0"/>
          <w:color w:val="auto"/>
          <w:sz w:val="32"/>
          <w:szCs w:val="32"/>
          <w:u w:val="none"/>
        </w:rPr>
        <w:t>部门要按照本方案的要求，结合实际制定落实方案，细化各项任务到</w:t>
      </w:r>
      <w:r>
        <w:rPr>
          <w:rFonts w:hint="default" w:ascii="Times New Roman" w:hAnsi="Times New Roman" w:eastAsia="仿宋_GB2312" w:cs="Times New Roman"/>
          <w:b w:val="0"/>
          <w:bCs w:val="0"/>
          <w:color w:val="auto"/>
          <w:sz w:val="32"/>
          <w:szCs w:val="32"/>
          <w:u w:val="none"/>
          <w:lang w:eastAsia="zh-CN"/>
        </w:rPr>
        <w:t>辖区</w:t>
      </w:r>
      <w:r>
        <w:rPr>
          <w:rFonts w:hint="default" w:ascii="Times New Roman" w:hAnsi="Times New Roman" w:eastAsia="仿宋_GB2312" w:cs="Times New Roman"/>
          <w:b w:val="0"/>
          <w:bCs w:val="0"/>
          <w:color w:val="auto"/>
          <w:sz w:val="32"/>
          <w:szCs w:val="32"/>
          <w:u w:val="none"/>
        </w:rPr>
        <w:t>、到年度、到行业、到企业、到岗位。要建立健全方案的调度、检查、督办、通报制度，列出问题清单、责任清单、措施清单、时限清单，完善工作台账，从严从速从实整改。</w:t>
      </w:r>
      <w:r>
        <w:rPr>
          <w:rFonts w:hint="default" w:ascii="Times New Roman" w:hAnsi="Times New Roman" w:eastAsia="仿宋_GB2312" w:cs="Times New Roman"/>
          <w:b w:val="0"/>
          <w:bCs w:val="0"/>
          <w:color w:val="auto"/>
          <w:sz w:val="32"/>
          <w:szCs w:val="32"/>
          <w:u w:val="none"/>
          <w:lang w:eastAsia="zh-CN"/>
        </w:rPr>
        <w:t>区</w:t>
      </w:r>
      <w:r>
        <w:rPr>
          <w:rFonts w:hint="eastAsia" w:ascii="Times New Roman" w:hAnsi="Times New Roman" w:eastAsia="仿宋_GB2312" w:cs="Times New Roman"/>
          <w:b w:val="0"/>
          <w:bCs w:val="0"/>
          <w:color w:val="auto"/>
          <w:sz w:val="32"/>
          <w:szCs w:val="32"/>
          <w:u w:val="none"/>
          <w:lang w:eastAsia="zh-CN"/>
        </w:rPr>
        <w:t>生态环境分局负责</w:t>
      </w:r>
      <w:r>
        <w:rPr>
          <w:rFonts w:hint="default" w:ascii="Times New Roman" w:hAnsi="Times New Roman" w:eastAsia="仿宋_GB2312" w:cs="Times New Roman"/>
          <w:b w:val="0"/>
          <w:bCs w:val="0"/>
          <w:color w:val="auto"/>
          <w:sz w:val="32"/>
          <w:szCs w:val="32"/>
          <w:u w:val="none"/>
        </w:rPr>
        <w:t>对方案的重点任务进展情况，定期调度、汇总</w:t>
      </w:r>
      <w:r>
        <w:rPr>
          <w:rFonts w:hint="eastAsia" w:ascii="Times New Roman" w:hAnsi="Times New Roman" w:eastAsia="仿宋_GB2312" w:cs="Times New Roman"/>
          <w:b w:val="0"/>
          <w:bCs w:val="0"/>
          <w:color w:val="auto"/>
          <w:sz w:val="32"/>
          <w:szCs w:val="32"/>
          <w:u w:val="none"/>
          <w:lang w:eastAsia="zh-CN"/>
        </w:rPr>
        <w:t>后报</w:t>
      </w:r>
      <w:r>
        <w:rPr>
          <w:rFonts w:hint="default" w:ascii="Times New Roman" w:hAnsi="Times New Roman" w:eastAsia="仿宋_GB2312" w:cs="Times New Roman"/>
          <w:b w:val="0"/>
          <w:bCs w:val="0"/>
          <w:color w:val="auto"/>
          <w:sz w:val="32"/>
          <w:szCs w:val="32"/>
          <w:u w:val="none"/>
        </w:rPr>
        <w:t>区政府并</w:t>
      </w:r>
      <w:r>
        <w:rPr>
          <w:rFonts w:hint="eastAsia" w:ascii="Times New Roman" w:hAnsi="Times New Roman" w:eastAsia="仿宋_GB2312" w:cs="Times New Roman"/>
          <w:b w:val="0"/>
          <w:bCs w:val="0"/>
          <w:color w:val="auto"/>
          <w:sz w:val="32"/>
          <w:szCs w:val="32"/>
          <w:u w:val="none"/>
          <w:lang w:eastAsia="zh-CN"/>
        </w:rPr>
        <w:t>在全区范围内</w:t>
      </w:r>
      <w:r>
        <w:rPr>
          <w:rFonts w:hint="default" w:ascii="Times New Roman" w:hAnsi="Times New Roman" w:eastAsia="仿宋_GB2312" w:cs="Times New Roman"/>
          <w:b w:val="0"/>
          <w:bCs w:val="0"/>
          <w:color w:val="auto"/>
          <w:sz w:val="32"/>
          <w:szCs w:val="32"/>
          <w:u w:val="none"/>
        </w:rPr>
        <w:t>通报。</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bookmarkStart w:id="12" w:name="_Toc519710705"/>
      <w:r>
        <w:rPr>
          <w:rFonts w:hint="eastAsia" w:ascii="楷体_GB2312" w:hAnsi="楷体_GB2312" w:eastAsia="楷体_GB2312" w:cs="楷体_GB2312"/>
          <w:b w:val="0"/>
          <w:bCs w:val="0"/>
          <w:color w:val="auto"/>
          <w:sz w:val="32"/>
          <w:szCs w:val="32"/>
          <w:u w:val="none"/>
        </w:rPr>
        <w:t>（二）加大投入力度</w:t>
      </w:r>
      <w:bookmarkEnd w:id="12"/>
      <w:r>
        <w:rPr>
          <w:rFonts w:hint="eastAsia" w:ascii="楷体_GB2312" w:hAnsi="楷体_GB2312" w:eastAsia="楷体_GB2312" w:cs="楷体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坚持政府引导、市场为主的原则，完善政府、企业、社会多元化投入机制，拓宽融资渠道，积极推动危险废物处置设施建设领域的</w:t>
      </w:r>
      <w:r>
        <w:rPr>
          <w:rFonts w:hint="eastAsia" w:ascii="Times New Roman" w:hAnsi="Times New Roman" w:eastAsia="仿宋_GB2312" w:cs="Times New Roman"/>
          <w:b w:val="0"/>
          <w:bCs w:val="0"/>
          <w:color w:val="auto"/>
          <w:sz w:val="32"/>
          <w:szCs w:val="32"/>
          <w:u w:val="none"/>
          <w:lang w:eastAsia="zh-CN"/>
        </w:rPr>
        <w:t>政府和社会资本合作</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PPP</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模式，加大对危险废物处置设施建设的投入。充分运用价格杠杆推动危险废物规范化处置。落实国家对综合利用、危险废物和医疗废物处置费的优惠政策。</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lang w:eastAsia="zh-CN"/>
        </w:rPr>
        <w:t>责任单位：区生态环境分局、区财政局</w:t>
      </w:r>
      <w:bookmarkStart w:id="13" w:name="_Toc519710706"/>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r>
        <w:rPr>
          <w:rFonts w:hint="eastAsia" w:ascii="楷体_GB2312" w:hAnsi="楷体_GB2312" w:eastAsia="楷体_GB2312" w:cs="楷体_GB2312"/>
          <w:b w:val="0"/>
          <w:bCs w:val="0"/>
          <w:color w:val="auto"/>
          <w:sz w:val="32"/>
          <w:szCs w:val="32"/>
          <w:u w:val="none"/>
        </w:rPr>
        <w:t>（三）强化科技支撑</w:t>
      </w:r>
      <w:bookmarkEnd w:id="13"/>
      <w:r>
        <w:rPr>
          <w:rFonts w:hint="eastAsia" w:ascii="楷体_GB2312" w:hAnsi="楷体_GB2312" w:eastAsia="楷体_GB2312" w:cs="楷体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加强危险废物产生、利用处置、污染危害等方面的基础研究，加大对危险废物环境风险与损害评估、事故预警与应急、信息数据库建设等方面支持力度，逐步健全区危险废物管理精、细、准的工作格局。积极引导协调高校、处置企业的科研资源，推进处置难度较大的危险废物技术研究。鼓励危险废物处置新技术、新工艺、新装备的开发、试点和示范推广，强化危险废物处置技术和装备保障能力。</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lang w:eastAsia="zh-CN"/>
        </w:rPr>
        <w:t>责任单位：区生态环境分局、区科技局</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bookmarkStart w:id="14" w:name="_Toc519710707"/>
      <w:r>
        <w:rPr>
          <w:rFonts w:hint="eastAsia" w:ascii="楷体_GB2312" w:hAnsi="楷体_GB2312" w:eastAsia="楷体_GB2312" w:cs="楷体_GB2312"/>
          <w:b w:val="0"/>
          <w:bCs w:val="0"/>
          <w:color w:val="auto"/>
          <w:sz w:val="32"/>
          <w:szCs w:val="32"/>
          <w:u w:val="none"/>
        </w:rPr>
        <w:t>（四）严格环境监管</w:t>
      </w:r>
      <w:bookmarkEnd w:id="14"/>
      <w:r>
        <w:rPr>
          <w:rFonts w:hint="eastAsia" w:ascii="楷体_GB2312" w:hAnsi="楷体_GB2312" w:eastAsia="楷体_GB2312" w:cs="楷体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创新监管手段，健全监管模式，实施最严格的全过程环境监管措施，严防危险废物非法转移、处置。严格执行危险废物申报登记制度、转移联单制度、经营许可制度，进一步加强危险废物规范化管理。强化危险废物跨区域转移监管，严格把控危险废物跨省</w:t>
      </w:r>
      <w:r>
        <w:rPr>
          <w:rFonts w:hint="default" w:ascii="Times New Roman" w:hAnsi="Times New Roman" w:eastAsia="仿宋_GB2312" w:cs="Times New Roman"/>
          <w:b w:val="0"/>
          <w:bCs w:val="0"/>
          <w:color w:val="auto"/>
          <w:sz w:val="32"/>
          <w:szCs w:val="32"/>
          <w:u w:val="none"/>
          <w:lang w:eastAsia="zh-CN"/>
        </w:rPr>
        <w:t>市</w:t>
      </w:r>
      <w:r>
        <w:rPr>
          <w:rFonts w:hint="default" w:ascii="Times New Roman" w:hAnsi="Times New Roman" w:eastAsia="仿宋_GB2312" w:cs="Times New Roman"/>
          <w:b w:val="0"/>
          <w:bCs w:val="0"/>
          <w:color w:val="auto"/>
          <w:sz w:val="32"/>
          <w:szCs w:val="32"/>
          <w:u w:val="none"/>
        </w:rPr>
        <w:t>处置。持续开展危险废物规范化管理督查考核，定期公布结果，促进环境监管水平不断提高。加强环保、公安、交通、安监、卫生等相关部门的联勤联动，严厉打击危险废物非法排放、转移、倾倒、处置等环境违法犯罪行为，建立联合打击危险废物犯罪长效机制。</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lang w:eastAsia="zh-CN"/>
        </w:rPr>
        <w:t>责任单位：区生态环境分局、区公安分局、区交通运输局、区卫健局、区应急管理局</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bookmarkStart w:id="15" w:name="_Toc519710708"/>
      <w:r>
        <w:rPr>
          <w:rFonts w:hint="eastAsia" w:ascii="楷体_GB2312" w:hAnsi="楷体_GB2312" w:eastAsia="楷体_GB2312" w:cs="楷体_GB2312"/>
          <w:b w:val="0"/>
          <w:bCs w:val="0"/>
          <w:color w:val="auto"/>
          <w:sz w:val="32"/>
          <w:szCs w:val="32"/>
          <w:u w:val="none"/>
        </w:rPr>
        <w:t>（五）引导公众参与</w:t>
      </w:r>
      <w:bookmarkEnd w:id="15"/>
      <w:r>
        <w:rPr>
          <w:rFonts w:hint="eastAsia" w:ascii="楷体_GB2312" w:hAnsi="楷体_GB2312" w:eastAsia="楷体_GB2312" w:cs="楷体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组织、监督有关企业、单位做好危险废物信息公开工作，利用电视、网络等媒体平台开展危险废物普法宣传，提高公众对危险废物及其危害的认识，增强公众法制观念和污染预防的意识。积极推进出台有关政策措施，</w:t>
      </w:r>
      <w:bookmarkStart w:id="16" w:name="OLE_LINK22"/>
      <w:bookmarkStart w:id="17" w:name="OLE_LINK21"/>
      <w:r>
        <w:rPr>
          <w:rFonts w:hint="default" w:ascii="Times New Roman" w:hAnsi="Times New Roman" w:eastAsia="仿宋_GB2312" w:cs="Times New Roman"/>
          <w:b w:val="0"/>
          <w:bCs w:val="0"/>
          <w:color w:val="auto"/>
          <w:sz w:val="32"/>
          <w:szCs w:val="32"/>
          <w:u w:val="none"/>
        </w:rPr>
        <w:t>鼓励公众积极参与废铅酸蓄电池、废荧光灯管等回收活动，购买绿色环保产品，形成全社会关注危险废物处置的良好气氛和有利于危险废物减量化的消费导向。建立健全打击涉危险废物环境违法行为的社会监督网络。</w:t>
      </w:r>
      <w:bookmarkEnd w:id="16"/>
      <w:bookmarkEnd w:id="17"/>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lang w:eastAsia="zh-CN"/>
        </w:rPr>
        <w:t>责任单位：区生态环境分局、区教体局、区民政局、团区委、区妇联</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u w:val="none"/>
        </w:rPr>
      </w:pPr>
      <w:bookmarkStart w:id="18" w:name="_Toc519710709"/>
      <w:r>
        <w:rPr>
          <w:rFonts w:hint="eastAsia" w:ascii="楷体_GB2312" w:hAnsi="楷体_GB2312" w:eastAsia="楷体_GB2312" w:cs="楷体_GB2312"/>
          <w:b w:val="0"/>
          <w:bCs w:val="0"/>
          <w:color w:val="auto"/>
          <w:sz w:val="32"/>
          <w:szCs w:val="32"/>
          <w:u w:val="none"/>
        </w:rPr>
        <w:t>（六）强化监督评估</w:t>
      </w:r>
      <w:bookmarkEnd w:id="18"/>
      <w:r>
        <w:rPr>
          <w:rFonts w:hint="eastAsia" w:ascii="楷体_GB2312" w:hAnsi="楷体_GB2312" w:eastAsia="楷体_GB2312" w:cs="楷体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将打好危险废物治理攻坚战方案的目标任务，纳入</w:t>
      </w:r>
      <w:r>
        <w:rPr>
          <w:rFonts w:hint="default" w:ascii="Times New Roman" w:hAnsi="Times New Roman" w:eastAsia="仿宋_GB2312" w:cs="Times New Roman"/>
          <w:b w:val="0"/>
          <w:bCs w:val="0"/>
          <w:color w:val="auto"/>
          <w:sz w:val="32"/>
          <w:szCs w:val="32"/>
          <w:u w:val="none"/>
          <w:lang w:eastAsia="zh-CN"/>
        </w:rPr>
        <w:t>环保工作评估体系</w:t>
      </w:r>
      <w:r>
        <w:rPr>
          <w:rFonts w:hint="default" w:ascii="Times New Roman" w:hAnsi="Times New Roman" w:eastAsia="仿宋_GB2312" w:cs="Times New Roman"/>
          <w:b w:val="0"/>
          <w:bCs w:val="0"/>
          <w:color w:val="auto"/>
          <w:sz w:val="32"/>
          <w:szCs w:val="32"/>
          <w:u w:val="none"/>
        </w:rPr>
        <w:t>，加强对本方案实施的动态评估。对本方案实施情况，每年开展一次评估。2021年，对方案完成情况进行全面评估。评估结果作为</w:t>
      </w:r>
      <w:r>
        <w:rPr>
          <w:rFonts w:hint="eastAsia" w:ascii="Times New Roman" w:hAnsi="Times New Roman" w:eastAsia="仿宋_GB2312" w:cs="Times New Roman"/>
          <w:b w:val="0"/>
          <w:bCs w:val="0"/>
          <w:color w:val="auto"/>
          <w:sz w:val="32"/>
          <w:szCs w:val="32"/>
          <w:u w:val="none"/>
          <w:lang w:eastAsia="zh-CN"/>
        </w:rPr>
        <w:t>各镇（街道、开发区）、</w:t>
      </w:r>
      <w:r>
        <w:rPr>
          <w:rFonts w:hint="default" w:ascii="Times New Roman" w:hAnsi="Times New Roman" w:eastAsia="仿宋_GB2312" w:cs="Times New Roman"/>
          <w:b w:val="0"/>
          <w:bCs w:val="0"/>
          <w:color w:val="auto"/>
          <w:sz w:val="32"/>
          <w:szCs w:val="32"/>
          <w:u w:val="none"/>
        </w:rPr>
        <w:t>部门党政领导班子和领导干部政绩考核的重要参考内容，并以适当形式向社会公布。对评估考核实绩突出的，要进行表扬；对工作拖沓、履职不力、逾期未完成规定任务的，要采取通报批评、公开约谈、媒体曝光等措施，督促问题整治，并启动问责程序。</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lang w:eastAsia="zh-CN"/>
        </w:rPr>
        <w:t>责任单位：区生态环境分局、区委组织部、区人社局</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eastAsia" w:ascii="Times New Roman" w:hAnsi="Times New Roman" w:eastAsia="仿宋_GB2312" w:cs="Times New Roman"/>
          <w:b w:val="0"/>
          <w:bCs w:val="0"/>
          <w:color w:val="auto"/>
          <w:sz w:val="32"/>
          <w:szCs w:val="32"/>
          <w:u w:val="none"/>
          <w:lang w:val="en-US" w:eastAsia="zh-CN"/>
        </w:rPr>
      </w:pPr>
      <w:r>
        <w:rPr>
          <w:rFonts w:hint="eastAsia" w:ascii="Times New Roman" w:hAnsi="Times New Roman" w:eastAsia="仿宋_GB2312" w:cs="Times New Roman"/>
          <w:b w:val="0"/>
          <w:bCs w:val="0"/>
          <w:color w:val="auto"/>
          <w:sz w:val="32"/>
          <w:szCs w:val="32"/>
          <w:u w:val="none"/>
          <w:lang w:val="en-US" w:eastAsia="zh-CN"/>
        </w:rPr>
        <w:t>附件：淄川区危险废物污染防治攻坚方案重点任务配档表</w:t>
      </w: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p>
    <w:p>
      <w:pPr>
        <w:keepNext w:val="0"/>
        <w:keepLines w:val="0"/>
        <w:pageBreakBefore w:val="0"/>
        <w:widowControl/>
        <w:kinsoku/>
        <w:wordWrap/>
        <w:overflowPunct/>
        <w:topLinePunct w:val="0"/>
        <w:autoSpaceDE/>
        <w:autoSpaceDN/>
        <w:bidi w:val="0"/>
        <w:adjustRightInd/>
        <w:spacing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sectPr>
          <w:footerReference r:id="rId3" w:type="default"/>
          <w:footerReference r:id="rId4" w:type="even"/>
          <w:pgSz w:w="11906" w:h="16838"/>
          <w:pgMar w:top="2098" w:right="1474" w:bottom="1984" w:left="1587" w:header="851" w:footer="992" w:gutter="0"/>
          <w:pgNumType w:fmt="decimal" w:chapStyle="1"/>
          <w:cols w:space="425" w:num="1"/>
          <w:docGrid w:type="lines" w:linePitch="312" w:charSpace="0"/>
        </w:sectPr>
      </w:pPr>
    </w:p>
    <w:p>
      <w:pPr>
        <w:keepNext w:val="0"/>
        <w:keepLines w:val="0"/>
        <w:pageBreakBefore w:val="0"/>
        <w:widowControl/>
        <w:kinsoku/>
        <w:wordWrap/>
        <w:overflowPunct/>
        <w:topLinePunct w:val="0"/>
        <w:autoSpaceDE/>
        <w:autoSpaceDN/>
        <w:bidi w:val="0"/>
        <w:spacing w:beforeAutospacing="0" w:afterAutospacing="0" w:line="560" w:lineRule="exact"/>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w:t>
      </w:r>
    </w:p>
    <w:p>
      <w:pPr>
        <w:pStyle w:val="10"/>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1958" w:firstLineChars="445"/>
        <w:jc w:val="both"/>
        <w:textAlignment w:val="auto"/>
        <w:rPr>
          <w:rFonts w:hint="default" w:ascii="Times New Roman" w:hAnsi="Times New Roman" w:eastAsia="方正小标宋简体" w:cs="Times New Roman"/>
          <w:b w:val="0"/>
          <w:bCs w:val="0"/>
          <w:color w:val="auto"/>
          <w:sz w:val="44"/>
          <w:szCs w:val="44"/>
          <w:u w:val="none"/>
        </w:rPr>
      </w:pPr>
      <w:r>
        <w:rPr>
          <w:rStyle w:val="13"/>
          <w:rFonts w:hint="default" w:ascii="Times New Roman" w:hAnsi="Times New Roman" w:eastAsia="方正小标宋简体" w:cs="Times New Roman"/>
          <w:b w:val="0"/>
          <w:bCs w:val="0"/>
          <w:color w:val="auto"/>
          <w:sz w:val="44"/>
          <w:szCs w:val="44"/>
          <w:u w:val="none"/>
        </w:rPr>
        <w:t>淄川区危险废物污染防治攻坚方案重点任务配档表</w:t>
      </w:r>
    </w:p>
    <w:p>
      <w:pPr>
        <w:keepNext w:val="0"/>
        <w:keepLines w:val="0"/>
        <w:pageBreakBefore w:val="0"/>
        <w:widowControl/>
        <w:kinsoku/>
        <w:wordWrap/>
        <w:overflowPunct/>
        <w:topLinePunct w:val="0"/>
        <w:autoSpaceDE/>
        <w:autoSpaceDN/>
        <w:bidi w:val="0"/>
        <w:spacing w:beforeAutospacing="0" w:after="0" w:afterAutospacing="0" w:line="560" w:lineRule="exact"/>
        <w:jc w:val="center"/>
        <w:textAlignment w:val="auto"/>
        <w:rPr>
          <w:rFonts w:hint="default" w:ascii="Times New Roman" w:hAnsi="Times New Roman" w:eastAsia="黑体" w:cs="Times New Roman"/>
          <w:color w:val="auto"/>
          <w:sz w:val="32"/>
          <w:szCs w:val="32"/>
          <w:u w:val="none"/>
        </w:rPr>
      </w:pPr>
    </w:p>
    <w:tbl>
      <w:tblPr>
        <w:tblStyle w:val="11"/>
        <w:tblW w:w="15520" w:type="dxa"/>
        <w:tblInd w:w="-5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7"/>
        <w:gridCol w:w="7463"/>
        <w:gridCol w:w="2425"/>
        <w:gridCol w:w="1350"/>
        <w:gridCol w:w="1250"/>
        <w:gridCol w:w="1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trPr>
        <w:tc>
          <w:tcPr>
            <w:tcW w:w="1227" w:type="dxa"/>
            <w:vAlign w:val="center"/>
          </w:tcPr>
          <w:p>
            <w:pPr>
              <w:keepNext w:val="0"/>
              <w:keepLines w:val="0"/>
              <w:pageBreakBefore w:val="0"/>
              <w:widowControl/>
              <w:kinsoku/>
              <w:wordWrap/>
              <w:overflowPunct/>
              <w:topLinePunct w:val="0"/>
              <w:autoSpaceDE/>
              <w:autoSpaceDN/>
              <w:bidi w:val="0"/>
              <w:snapToGrid w:val="0"/>
              <w:spacing w:before="100" w:beforeAutospacing="0" w:after="100" w:afterAutospacing="0" w:line="400" w:lineRule="exact"/>
              <w:jc w:val="center"/>
              <w:textAlignment w:val="auto"/>
              <w:rPr>
                <w:rFonts w:hint="default" w:ascii="Times New Roman" w:hAnsi="Times New Roman" w:eastAsia="黑体" w:cs="Times New Roman"/>
                <w:b w:val="0"/>
                <w:bCs/>
                <w:color w:val="auto"/>
                <w:spacing w:val="20"/>
                <w:sz w:val="21"/>
                <w:szCs w:val="21"/>
                <w:u w:val="none"/>
              </w:rPr>
            </w:pPr>
            <w:r>
              <w:rPr>
                <w:rFonts w:hint="default" w:ascii="Times New Roman" w:hAnsi="Times New Roman" w:eastAsia="黑体" w:cs="Times New Roman"/>
                <w:b w:val="0"/>
                <w:bCs/>
                <w:color w:val="auto"/>
                <w:spacing w:val="20"/>
                <w:sz w:val="21"/>
                <w:szCs w:val="21"/>
                <w:u w:val="none"/>
              </w:rPr>
              <w:t>工作任务</w:t>
            </w:r>
          </w:p>
        </w:tc>
        <w:tc>
          <w:tcPr>
            <w:tcW w:w="7463" w:type="dxa"/>
            <w:vAlign w:val="center"/>
          </w:tcPr>
          <w:p>
            <w:pPr>
              <w:keepNext w:val="0"/>
              <w:keepLines w:val="0"/>
              <w:pageBreakBefore w:val="0"/>
              <w:widowControl/>
              <w:kinsoku/>
              <w:wordWrap/>
              <w:overflowPunct/>
              <w:topLinePunct w:val="0"/>
              <w:autoSpaceDE/>
              <w:autoSpaceDN/>
              <w:bidi w:val="0"/>
              <w:snapToGrid w:val="0"/>
              <w:spacing w:before="100" w:beforeAutospacing="0" w:after="100" w:afterAutospacing="0" w:line="400" w:lineRule="exact"/>
              <w:ind w:left="110" w:leftChars="50"/>
              <w:jc w:val="center"/>
              <w:textAlignment w:val="auto"/>
              <w:rPr>
                <w:rFonts w:hint="default" w:ascii="Times New Roman" w:hAnsi="Times New Roman" w:eastAsia="黑体" w:cs="Times New Roman"/>
                <w:b w:val="0"/>
                <w:bCs/>
                <w:color w:val="auto"/>
                <w:spacing w:val="20"/>
                <w:sz w:val="24"/>
                <w:szCs w:val="24"/>
                <w:u w:val="none"/>
              </w:rPr>
            </w:pPr>
            <w:r>
              <w:rPr>
                <w:rFonts w:hint="default" w:ascii="Times New Roman" w:hAnsi="Times New Roman" w:eastAsia="黑体" w:cs="Times New Roman"/>
                <w:b w:val="0"/>
                <w:bCs/>
                <w:color w:val="auto"/>
                <w:spacing w:val="20"/>
                <w:sz w:val="21"/>
                <w:szCs w:val="21"/>
                <w:u w:val="none"/>
              </w:rPr>
              <w:t>治理内容</w:t>
            </w:r>
          </w:p>
        </w:tc>
        <w:tc>
          <w:tcPr>
            <w:tcW w:w="2425" w:type="dxa"/>
            <w:vAlign w:val="center"/>
          </w:tcPr>
          <w:p>
            <w:pPr>
              <w:keepNext w:val="0"/>
              <w:keepLines w:val="0"/>
              <w:pageBreakBefore w:val="0"/>
              <w:widowControl/>
              <w:kinsoku/>
              <w:wordWrap/>
              <w:overflowPunct/>
              <w:topLinePunct w:val="0"/>
              <w:autoSpaceDE/>
              <w:autoSpaceDN/>
              <w:bidi w:val="0"/>
              <w:snapToGrid w:val="0"/>
              <w:spacing w:before="100" w:beforeAutospacing="0" w:after="100" w:afterAutospacing="0" w:line="400" w:lineRule="exact"/>
              <w:ind w:left="110" w:leftChars="50"/>
              <w:jc w:val="center"/>
              <w:textAlignment w:val="auto"/>
              <w:rPr>
                <w:rFonts w:hint="default" w:ascii="Times New Roman" w:hAnsi="Times New Roman" w:eastAsia="黑体" w:cs="Times New Roman"/>
                <w:b w:val="0"/>
                <w:bCs/>
                <w:color w:val="auto"/>
                <w:sz w:val="36"/>
                <w:szCs w:val="36"/>
                <w:u w:val="none"/>
              </w:rPr>
            </w:pPr>
            <w:r>
              <w:rPr>
                <w:rFonts w:hint="default" w:ascii="Times New Roman" w:hAnsi="Times New Roman" w:eastAsia="黑体" w:cs="Times New Roman"/>
                <w:b w:val="0"/>
                <w:bCs/>
                <w:color w:val="auto"/>
                <w:sz w:val="21"/>
                <w:szCs w:val="21"/>
                <w:u w:val="none"/>
              </w:rPr>
              <w:t>工作目标</w:t>
            </w:r>
          </w:p>
        </w:tc>
        <w:tc>
          <w:tcPr>
            <w:tcW w:w="1350" w:type="dxa"/>
            <w:vAlign w:val="center"/>
          </w:tcPr>
          <w:p>
            <w:pPr>
              <w:keepNext w:val="0"/>
              <w:keepLines w:val="0"/>
              <w:pageBreakBefore w:val="0"/>
              <w:widowControl/>
              <w:kinsoku/>
              <w:wordWrap/>
              <w:overflowPunct/>
              <w:topLinePunct w:val="0"/>
              <w:autoSpaceDE/>
              <w:autoSpaceDN/>
              <w:bidi w:val="0"/>
              <w:snapToGrid w:val="0"/>
              <w:spacing w:before="100" w:beforeAutospacing="0" w:after="100" w:afterAutospacing="0" w:line="400" w:lineRule="exact"/>
              <w:jc w:val="center"/>
              <w:textAlignment w:val="auto"/>
              <w:rPr>
                <w:rFonts w:hint="default" w:ascii="Times New Roman" w:hAnsi="Times New Roman" w:eastAsia="黑体" w:cs="Times New Roman"/>
                <w:b w:val="0"/>
                <w:bCs/>
                <w:color w:val="auto"/>
                <w:spacing w:val="20"/>
                <w:sz w:val="21"/>
                <w:szCs w:val="21"/>
                <w:u w:val="none"/>
              </w:rPr>
            </w:pPr>
            <w:r>
              <w:rPr>
                <w:rFonts w:hint="default" w:ascii="Times New Roman" w:hAnsi="Times New Roman" w:eastAsia="黑体" w:cs="Times New Roman"/>
                <w:b w:val="0"/>
                <w:bCs/>
                <w:color w:val="auto"/>
                <w:spacing w:val="20"/>
                <w:sz w:val="21"/>
                <w:szCs w:val="21"/>
                <w:u w:val="none"/>
              </w:rPr>
              <w:t>完成时限</w:t>
            </w:r>
          </w:p>
        </w:tc>
        <w:tc>
          <w:tcPr>
            <w:tcW w:w="1250" w:type="dxa"/>
            <w:vAlign w:val="center"/>
          </w:tcPr>
          <w:p>
            <w:pPr>
              <w:keepNext w:val="0"/>
              <w:keepLines w:val="0"/>
              <w:pageBreakBefore w:val="0"/>
              <w:widowControl/>
              <w:kinsoku/>
              <w:wordWrap/>
              <w:overflowPunct/>
              <w:topLinePunct w:val="0"/>
              <w:autoSpaceDE/>
              <w:autoSpaceDN/>
              <w:bidi w:val="0"/>
              <w:snapToGrid w:val="0"/>
              <w:spacing w:before="100" w:beforeAutospacing="0" w:after="100" w:afterAutospacing="0" w:line="400" w:lineRule="exact"/>
              <w:ind w:left="110" w:leftChars="50"/>
              <w:jc w:val="center"/>
              <w:textAlignment w:val="auto"/>
              <w:rPr>
                <w:rFonts w:hint="default" w:ascii="Times New Roman" w:hAnsi="Times New Roman" w:eastAsia="黑体" w:cs="Times New Roman"/>
                <w:b w:val="0"/>
                <w:bCs/>
                <w:color w:val="auto"/>
                <w:spacing w:val="20"/>
                <w:sz w:val="21"/>
                <w:szCs w:val="21"/>
                <w:u w:val="none"/>
              </w:rPr>
            </w:pPr>
            <w:r>
              <w:rPr>
                <w:rFonts w:hint="default" w:ascii="Times New Roman" w:hAnsi="Times New Roman" w:eastAsia="黑体" w:cs="Times New Roman"/>
                <w:b w:val="0"/>
                <w:bCs/>
                <w:color w:val="auto"/>
                <w:spacing w:val="20"/>
                <w:sz w:val="21"/>
                <w:szCs w:val="21"/>
                <w:u w:val="none"/>
              </w:rPr>
              <w:t>牵头单位</w:t>
            </w:r>
          </w:p>
        </w:tc>
        <w:tc>
          <w:tcPr>
            <w:tcW w:w="1805" w:type="dxa"/>
            <w:vAlign w:val="center"/>
          </w:tcPr>
          <w:p>
            <w:pPr>
              <w:keepNext w:val="0"/>
              <w:keepLines w:val="0"/>
              <w:pageBreakBefore w:val="0"/>
              <w:widowControl/>
              <w:kinsoku/>
              <w:wordWrap/>
              <w:overflowPunct/>
              <w:topLinePunct w:val="0"/>
              <w:autoSpaceDE/>
              <w:autoSpaceDN/>
              <w:bidi w:val="0"/>
              <w:snapToGrid w:val="0"/>
              <w:spacing w:before="100" w:beforeAutospacing="0" w:after="100" w:afterAutospacing="0" w:line="400" w:lineRule="exact"/>
              <w:jc w:val="center"/>
              <w:textAlignment w:val="auto"/>
              <w:rPr>
                <w:rFonts w:hint="default" w:ascii="Times New Roman" w:hAnsi="Times New Roman" w:eastAsia="黑体" w:cs="Times New Roman"/>
                <w:b w:val="0"/>
                <w:bCs/>
                <w:color w:val="auto"/>
                <w:spacing w:val="20"/>
                <w:sz w:val="21"/>
                <w:szCs w:val="21"/>
                <w:u w:val="none"/>
              </w:rPr>
            </w:pPr>
            <w:r>
              <w:rPr>
                <w:rFonts w:hint="default" w:ascii="Times New Roman" w:hAnsi="Times New Roman" w:eastAsia="黑体" w:cs="Times New Roman"/>
                <w:b w:val="0"/>
                <w:bCs/>
                <w:color w:val="auto"/>
                <w:spacing w:val="20"/>
                <w:sz w:val="21"/>
                <w:szCs w:val="21"/>
                <w:u w:val="none"/>
              </w:rPr>
              <w:t>区级牵头部门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2" w:hRule="atLeast"/>
        </w:trPr>
        <w:tc>
          <w:tcPr>
            <w:tcW w:w="1227"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both"/>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强化危险废物源头控制</w:t>
            </w:r>
          </w:p>
        </w:tc>
        <w:tc>
          <w:tcPr>
            <w:tcW w:w="7463" w:type="dxa"/>
            <w:vAlign w:val="center"/>
          </w:tcPr>
          <w:p>
            <w:pPr>
              <w:pStyle w:val="10"/>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00" w:lineRule="exact"/>
              <w:ind w:firstLine="420" w:firstLineChars="200"/>
              <w:jc w:val="both"/>
              <w:textAlignment w:val="auto"/>
              <w:rPr>
                <w:rFonts w:hint="default" w:ascii="Times New Roman" w:hAnsi="Times New Roman" w:eastAsia="仿宋_GB2312" w:cs="Times New Roman"/>
                <w:b w:val="0"/>
                <w:bCs/>
                <w:color w:val="auto"/>
                <w:sz w:val="21"/>
                <w:szCs w:val="21"/>
                <w:u w:val="none"/>
                <w:lang w:val="en-US" w:eastAsia="zh-CN" w:bidi="ar-SA"/>
              </w:rPr>
            </w:pPr>
            <w:r>
              <w:rPr>
                <w:rFonts w:hint="default" w:ascii="Times New Roman" w:hAnsi="Times New Roman" w:eastAsia="仿宋_GB2312" w:cs="Times New Roman"/>
                <w:b w:val="0"/>
                <w:bCs/>
                <w:color w:val="auto"/>
                <w:sz w:val="21"/>
                <w:szCs w:val="21"/>
                <w:u w:val="none"/>
                <w:lang w:val="en-US" w:eastAsia="zh-CN" w:bidi="ar-SA"/>
              </w:rPr>
              <w:t>对以危险废物为原料进行生产或者在生产中排放危险废物的企业，实施强制性清洁生产审核，提出并实施减少危险废物的使用、产生和资源化利用的方案。不断加强医疗废物源头管理，严格落实医疗废物管理的规章制度、工作流程，加强对医疗机构医疗废物收集、运送与暂时贮存过程中的防护管理。</w:t>
            </w:r>
          </w:p>
        </w:tc>
        <w:tc>
          <w:tcPr>
            <w:tcW w:w="242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20" w:firstLineChars="200"/>
              <w:jc w:val="both"/>
              <w:textAlignment w:val="auto"/>
              <w:rPr>
                <w:rFonts w:hint="default" w:ascii="Times New Roman" w:hAnsi="Times New Roman" w:eastAsia="仿宋_GB2312" w:cs="Times New Roman"/>
                <w:b w:val="0"/>
                <w:bCs/>
                <w:color w:val="auto"/>
                <w:sz w:val="21"/>
                <w:szCs w:val="21"/>
                <w:u w:val="none"/>
                <w:lang w:val="en-US" w:eastAsia="zh-CN" w:bidi="ar-SA"/>
              </w:rPr>
            </w:pPr>
            <w:r>
              <w:rPr>
                <w:rFonts w:hint="default" w:ascii="Times New Roman" w:hAnsi="Times New Roman" w:eastAsia="仿宋_GB2312" w:cs="Times New Roman"/>
                <w:b w:val="0"/>
                <w:bCs/>
                <w:color w:val="auto"/>
                <w:sz w:val="21"/>
                <w:szCs w:val="21"/>
                <w:u w:val="none"/>
                <w:lang w:val="en-US" w:eastAsia="zh-CN" w:bidi="ar-SA"/>
              </w:rPr>
              <w:t>突出危险废物“源头管控、安全处置、防范风险”三个环节，加快实施“十三五”危险废物处置设施建设规划，全面提升危险废物污染防治水平，努力实现危险废物“减量化、资源化、无害化”的目标。</w:t>
            </w:r>
          </w:p>
        </w:tc>
        <w:tc>
          <w:tcPr>
            <w:tcW w:w="135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lang w:val="en-US" w:eastAsia="zh-CN" w:bidi="ar-SA"/>
              </w:rPr>
            </w:pPr>
            <w:r>
              <w:rPr>
                <w:rFonts w:hint="default" w:ascii="Times New Roman" w:hAnsi="Times New Roman" w:eastAsia="仿宋_GB2312" w:cs="Times New Roman"/>
                <w:b w:val="0"/>
                <w:bCs/>
                <w:color w:val="auto"/>
                <w:sz w:val="21"/>
                <w:szCs w:val="21"/>
                <w:u w:val="none"/>
                <w:lang w:val="en-US" w:eastAsia="zh-CN" w:bidi="ar-SA"/>
              </w:rPr>
              <w:t>已完成</w:t>
            </w:r>
          </w:p>
        </w:tc>
        <w:tc>
          <w:tcPr>
            <w:tcW w:w="125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b w:val="0"/>
                <w:bCs/>
                <w:color w:val="auto"/>
                <w:sz w:val="21"/>
                <w:szCs w:val="21"/>
                <w:u w:val="none"/>
                <w:lang w:val="en-US" w:eastAsia="zh-CN" w:bidi="ar-SA"/>
              </w:rPr>
            </w:pPr>
            <w:r>
              <w:rPr>
                <w:rFonts w:hint="default" w:ascii="Times New Roman" w:hAnsi="Times New Roman" w:eastAsia="仿宋_GB2312" w:cs="Times New Roman"/>
                <w:b w:val="0"/>
                <w:bCs/>
                <w:color w:val="auto"/>
                <w:sz w:val="21"/>
                <w:szCs w:val="21"/>
                <w:u w:val="none"/>
                <w:lang w:val="en-US" w:eastAsia="zh-CN" w:bidi="ar-SA"/>
              </w:rPr>
              <w:t>各</w:t>
            </w:r>
            <w:r>
              <w:rPr>
                <w:rFonts w:hint="eastAsia" w:ascii="Times New Roman" w:hAnsi="Times New Roman" w:eastAsia="仿宋_GB2312" w:cs="Times New Roman"/>
                <w:b w:val="0"/>
                <w:bCs/>
                <w:color w:val="auto"/>
                <w:sz w:val="21"/>
                <w:szCs w:val="21"/>
                <w:u w:val="none"/>
                <w:lang w:val="en-US" w:eastAsia="zh-CN" w:bidi="ar-SA"/>
              </w:rPr>
              <w:t>镇（街道、开发区）</w:t>
            </w:r>
          </w:p>
        </w:tc>
        <w:tc>
          <w:tcPr>
            <w:tcW w:w="180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lang w:val="en-US" w:eastAsia="zh-CN" w:bidi="ar-SA"/>
              </w:rPr>
            </w:pPr>
            <w:r>
              <w:rPr>
                <w:rFonts w:hint="default" w:ascii="Times New Roman" w:hAnsi="Times New Roman" w:eastAsia="仿宋_GB2312" w:cs="Times New Roman"/>
                <w:b w:val="0"/>
                <w:bCs/>
                <w:color w:val="auto"/>
                <w:sz w:val="21"/>
                <w:szCs w:val="21"/>
                <w:u w:val="none"/>
                <w:lang w:val="en-US" w:eastAsia="zh-CN" w:bidi="ar-SA"/>
              </w:rPr>
              <w:t>区生态环境分局</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lang w:val="en-US" w:eastAsia="zh-CN" w:bidi="ar-SA"/>
              </w:rPr>
            </w:pPr>
            <w:r>
              <w:rPr>
                <w:rFonts w:hint="default" w:ascii="Times New Roman" w:hAnsi="Times New Roman" w:eastAsia="仿宋_GB2312" w:cs="Times New Roman"/>
                <w:b w:val="0"/>
                <w:bCs/>
                <w:color w:val="auto"/>
                <w:sz w:val="21"/>
                <w:szCs w:val="21"/>
                <w:u w:val="none"/>
                <w:lang w:val="en-US" w:eastAsia="zh-CN" w:bidi="ar-SA"/>
              </w:rPr>
              <w:t>区工信局</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lang w:val="en-US" w:eastAsia="zh-CN" w:bidi="ar-SA"/>
              </w:rPr>
            </w:pPr>
            <w:r>
              <w:rPr>
                <w:rFonts w:hint="default" w:ascii="Times New Roman" w:hAnsi="Times New Roman" w:eastAsia="仿宋_GB2312" w:cs="Times New Roman"/>
                <w:b w:val="0"/>
                <w:bCs/>
                <w:color w:val="auto"/>
                <w:sz w:val="21"/>
                <w:szCs w:val="21"/>
                <w:u w:val="none"/>
                <w:lang w:val="en-US" w:eastAsia="zh-CN" w:bidi="ar-SA"/>
              </w:rPr>
              <w:t>区卫健局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8" w:hRule="atLeast"/>
        </w:trPr>
        <w:tc>
          <w:tcPr>
            <w:tcW w:w="1227" w:type="dxa"/>
            <w:vMerge w:val="restart"/>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both"/>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着力提升危险废物处置能力</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both"/>
              <w:textAlignment w:val="auto"/>
              <w:rPr>
                <w:rFonts w:hint="default" w:ascii="Times New Roman" w:hAnsi="Times New Roman" w:eastAsia="仿宋_GB2312" w:cs="Times New Roman"/>
                <w:b w:val="0"/>
                <w:bCs/>
                <w:color w:val="auto"/>
                <w:sz w:val="21"/>
                <w:szCs w:val="21"/>
                <w:u w:val="none"/>
              </w:rPr>
            </w:pPr>
          </w:p>
        </w:tc>
        <w:tc>
          <w:tcPr>
            <w:tcW w:w="7463"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ind w:firstLine="308" w:firstLineChars="147"/>
              <w:jc w:val="both"/>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加快清理危险废物存量。对贮存危险废物100吨以上、贮存设施不符合规范、贮存量饱和或超限的、贮存的危险废物在我区无相应处置能力等4类企业，要根据贮存条件、危险废物特性等因素，制定实施存量清理方案；对危险废物贮存时间超过1年、贮存设施不符合环保要求、贮存量饱和或超限的产废企业以及收集的危险废物贮存时间超过</w:t>
            </w:r>
            <w:r>
              <w:rPr>
                <w:rFonts w:hint="eastAsia" w:ascii="Times New Roman" w:hAnsi="Times New Roman" w:eastAsia="仿宋_GB2312" w:cs="Times New Roman"/>
                <w:b w:val="0"/>
                <w:bCs/>
                <w:color w:val="auto"/>
                <w:sz w:val="21"/>
                <w:szCs w:val="21"/>
                <w:u w:val="none"/>
                <w:lang w:val="en-US" w:eastAsia="zh-CN"/>
              </w:rPr>
              <w:t>1</w:t>
            </w:r>
            <w:r>
              <w:rPr>
                <w:rFonts w:hint="default" w:ascii="Times New Roman" w:hAnsi="Times New Roman" w:eastAsia="仿宋_GB2312" w:cs="Times New Roman"/>
                <w:b w:val="0"/>
                <w:bCs/>
                <w:color w:val="auto"/>
                <w:sz w:val="21"/>
                <w:szCs w:val="21"/>
                <w:u w:val="none"/>
              </w:rPr>
              <w:t>年的危险废物经营企业，将其列入重点监控名单，督促其倒排工作计划，实行“挂单销号”，按要求完善贮存场所，切实推动贮存危险废物的处置，防范环境风险。加快危险废物利用处置，到2019</w:t>
            </w:r>
            <w:r>
              <w:rPr>
                <w:rFonts w:hint="eastAsia" w:ascii="Times New Roman" w:hAnsi="Times New Roman" w:eastAsia="仿宋_GB2312" w:cs="Times New Roman"/>
                <w:b w:val="0"/>
                <w:bCs/>
                <w:color w:val="auto"/>
                <w:sz w:val="21"/>
                <w:szCs w:val="21"/>
                <w:u w:val="none"/>
                <w:lang w:eastAsia="zh-CN"/>
              </w:rPr>
              <w:t>年</w:t>
            </w:r>
            <w:r>
              <w:rPr>
                <w:rFonts w:hint="default" w:ascii="Times New Roman" w:hAnsi="Times New Roman" w:eastAsia="仿宋_GB2312" w:cs="Times New Roman"/>
                <w:b w:val="0"/>
                <w:bCs/>
                <w:color w:val="auto"/>
                <w:sz w:val="21"/>
                <w:szCs w:val="21"/>
                <w:u w:val="none"/>
              </w:rPr>
              <w:t>年底，基本消除危险废物贮存环境风险。</w:t>
            </w:r>
          </w:p>
        </w:tc>
        <w:tc>
          <w:tcPr>
            <w:tcW w:w="2425" w:type="dxa"/>
            <w:vMerge w:val="restart"/>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ind w:firstLine="308" w:firstLineChars="147"/>
              <w:jc w:val="both"/>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到2020年，全区建立起较为完善的危险废物收集、贮存、运输、利用和处置体系，危险废物利用处置设施布局趋于合理，利用处置能力与危险废物产生种类和数量基本匹配，全区90%以上危险废物不出园区能得到妥善处置。</w:t>
            </w:r>
          </w:p>
        </w:tc>
        <w:tc>
          <w:tcPr>
            <w:tcW w:w="1350" w:type="dxa"/>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left"/>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201</w:t>
            </w:r>
            <w:r>
              <w:rPr>
                <w:rFonts w:hint="default" w:ascii="Times New Roman" w:hAnsi="Times New Roman" w:eastAsia="仿宋_GB2312" w:cs="Times New Roman"/>
                <w:b w:val="0"/>
                <w:bCs/>
                <w:color w:val="auto"/>
                <w:sz w:val="21"/>
                <w:szCs w:val="21"/>
                <w:u w:val="none"/>
                <w:lang w:val="en-US" w:eastAsia="zh-CN"/>
              </w:rPr>
              <w:t>9年12月</w:t>
            </w:r>
            <w:r>
              <w:rPr>
                <w:rFonts w:hint="default" w:ascii="Times New Roman" w:hAnsi="Times New Roman" w:eastAsia="仿宋_GB2312" w:cs="Times New Roman"/>
                <w:b w:val="0"/>
                <w:bCs/>
                <w:color w:val="auto"/>
                <w:sz w:val="21"/>
                <w:szCs w:val="21"/>
                <w:u w:val="none"/>
              </w:rPr>
              <w:t>底前完成</w:t>
            </w:r>
          </w:p>
        </w:tc>
        <w:tc>
          <w:tcPr>
            <w:tcW w:w="1250" w:type="dxa"/>
            <w:vMerge w:val="restart"/>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both"/>
              <w:textAlignment w:val="auto"/>
              <w:outlineLvl w:val="1"/>
              <w:rPr>
                <w:rFonts w:hint="eastAsia" w:ascii="Times New Roman" w:hAnsi="Times New Roman" w:eastAsia="仿宋_GB2312" w:cs="Times New Roman"/>
                <w:b w:val="0"/>
                <w:bCs/>
                <w:color w:val="auto"/>
                <w:sz w:val="21"/>
                <w:szCs w:val="21"/>
                <w:u w:val="none"/>
                <w:lang w:eastAsia="zh-CN"/>
              </w:rPr>
            </w:pPr>
            <w:r>
              <w:rPr>
                <w:rFonts w:hint="default" w:ascii="Times New Roman" w:hAnsi="Times New Roman" w:eastAsia="仿宋_GB2312" w:cs="Times New Roman"/>
                <w:b w:val="0"/>
                <w:bCs/>
                <w:color w:val="auto"/>
                <w:sz w:val="21"/>
                <w:szCs w:val="21"/>
                <w:u w:val="none"/>
              </w:rPr>
              <w:t>各</w:t>
            </w:r>
            <w:r>
              <w:rPr>
                <w:rFonts w:hint="eastAsia" w:ascii="Times New Roman" w:hAnsi="Times New Roman" w:eastAsia="仿宋_GB2312" w:cs="Times New Roman"/>
                <w:b w:val="0"/>
                <w:bCs/>
                <w:color w:val="auto"/>
                <w:sz w:val="21"/>
                <w:szCs w:val="21"/>
                <w:u w:val="none"/>
                <w:lang w:eastAsia="zh-CN"/>
              </w:rPr>
              <w:t>镇（街道、开发区）</w:t>
            </w:r>
          </w:p>
        </w:tc>
        <w:tc>
          <w:tcPr>
            <w:tcW w:w="1805" w:type="dxa"/>
            <w:vMerge w:val="restart"/>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center"/>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区</w:t>
            </w:r>
            <w:r>
              <w:rPr>
                <w:rFonts w:hint="default" w:ascii="Times New Roman" w:hAnsi="Times New Roman" w:eastAsia="仿宋_GB2312" w:cs="Times New Roman"/>
                <w:b w:val="0"/>
                <w:bCs/>
                <w:color w:val="auto"/>
                <w:sz w:val="21"/>
                <w:szCs w:val="21"/>
                <w:u w:val="none"/>
                <w:lang w:eastAsia="zh-CN"/>
              </w:rPr>
              <w:t>生态环境</w:t>
            </w:r>
            <w:r>
              <w:rPr>
                <w:rFonts w:hint="default" w:ascii="Times New Roman" w:hAnsi="Times New Roman" w:eastAsia="仿宋_GB2312" w:cs="Times New Roman"/>
                <w:b w:val="0"/>
                <w:bCs/>
                <w:color w:val="auto"/>
                <w:sz w:val="21"/>
                <w:szCs w:val="21"/>
                <w:u w:val="none"/>
              </w:rPr>
              <w:t>分局</w:t>
            </w:r>
          </w:p>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center"/>
              <w:textAlignment w:val="auto"/>
              <w:outlineLvl w:val="1"/>
              <w:rPr>
                <w:rFonts w:hint="default" w:ascii="Times New Roman" w:hAnsi="Times New Roman" w:eastAsia="仿宋_GB2312" w:cs="Times New Roman"/>
                <w:b w:val="0"/>
                <w:bCs/>
                <w:color w:val="auto"/>
                <w:sz w:val="21"/>
                <w:szCs w:val="21"/>
                <w:u w:val="none"/>
                <w:lang w:eastAsia="zh-CN"/>
              </w:rPr>
            </w:pPr>
            <w:r>
              <w:rPr>
                <w:rFonts w:hint="default" w:ascii="Times New Roman" w:hAnsi="Times New Roman" w:eastAsia="仿宋_GB2312" w:cs="Times New Roman"/>
                <w:b w:val="0"/>
                <w:bCs/>
                <w:color w:val="auto"/>
                <w:sz w:val="21"/>
                <w:szCs w:val="21"/>
                <w:u w:val="none"/>
              </w:rPr>
              <w:t>区</w:t>
            </w:r>
            <w:r>
              <w:rPr>
                <w:rFonts w:hint="default" w:ascii="Times New Roman" w:hAnsi="Times New Roman" w:eastAsia="仿宋_GB2312" w:cs="Times New Roman"/>
                <w:b w:val="0"/>
                <w:bCs/>
                <w:color w:val="auto"/>
                <w:sz w:val="21"/>
                <w:szCs w:val="21"/>
                <w:u w:val="none"/>
                <w:lang w:eastAsia="zh-CN"/>
              </w:rPr>
              <w:t>发改局</w:t>
            </w:r>
          </w:p>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center"/>
              <w:textAlignment w:val="auto"/>
              <w:outlineLvl w:val="1"/>
              <w:rPr>
                <w:rFonts w:hint="default" w:ascii="Times New Roman" w:hAnsi="Times New Roman" w:eastAsia="仿宋_GB2312" w:cs="Times New Roman"/>
                <w:b w:val="0"/>
                <w:bCs/>
                <w:color w:val="auto"/>
                <w:sz w:val="21"/>
                <w:szCs w:val="21"/>
                <w:u w:val="none"/>
                <w:lang w:eastAsia="zh-CN"/>
              </w:rPr>
            </w:pPr>
            <w:r>
              <w:rPr>
                <w:rFonts w:hint="default" w:ascii="Times New Roman" w:hAnsi="Times New Roman" w:eastAsia="仿宋_GB2312" w:cs="Times New Roman"/>
                <w:b w:val="0"/>
                <w:bCs/>
                <w:color w:val="auto"/>
                <w:sz w:val="21"/>
                <w:szCs w:val="21"/>
                <w:u w:val="none"/>
                <w:lang w:eastAsia="zh-CN"/>
              </w:rPr>
              <w:t>区住建局</w:t>
            </w:r>
          </w:p>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center"/>
              <w:textAlignment w:val="auto"/>
              <w:outlineLvl w:val="1"/>
              <w:rPr>
                <w:rFonts w:hint="default" w:ascii="Times New Roman" w:hAnsi="Times New Roman" w:eastAsia="仿宋_GB2312" w:cs="Times New Roman"/>
                <w:b w:val="0"/>
                <w:bCs/>
                <w:color w:val="auto"/>
                <w:sz w:val="21"/>
                <w:szCs w:val="21"/>
                <w:u w:val="none"/>
                <w:lang w:eastAsia="zh-CN"/>
              </w:rPr>
            </w:pPr>
            <w:r>
              <w:rPr>
                <w:rFonts w:hint="default" w:ascii="Times New Roman" w:hAnsi="Times New Roman" w:eastAsia="仿宋_GB2312" w:cs="Times New Roman"/>
                <w:b w:val="0"/>
                <w:bCs/>
                <w:color w:val="auto"/>
                <w:sz w:val="21"/>
                <w:szCs w:val="21"/>
                <w:u w:val="none"/>
              </w:rPr>
              <w:t>区</w:t>
            </w:r>
            <w:r>
              <w:rPr>
                <w:rFonts w:hint="default" w:ascii="Times New Roman" w:hAnsi="Times New Roman" w:eastAsia="仿宋_GB2312" w:cs="Times New Roman"/>
                <w:b w:val="0"/>
                <w:bCs/>
                <w:color w:val="auto"/>
                <w:sz w:val="21"/>
                <w:szCs w:val="21"/>
                <w:u w:val="none"/>
                <w:lang w:eastAsia="zh-CN"/>
              </w:rPr>
              <w:t>自然资源局</w:t>
            </w:r>
          </w:p>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center"/>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区</w:t>
            </w:r>
            <w:r>
              <w:rPr>
                <w:rFonts w:hint="default" w:ascii="Times New Roman" w:hAnsi="Times New Roman" w:eastAsia="仿宋_GB2312" w:cs="Times New Roman"/>
                <w:b w:val="0"/>
                <w:bCs/>
                <w:color w:val="auto"/>
                <w:sz w:val="21"/>
                <w:szCs w:val="21"/>
                <w:u w:val="none"/>
                <w:lang w:eastAsia="zh-CN"/>
              </w:rPr>
              <w:t>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3" w:hRule="atLeast"/>
        </w:trPr>
        <w:tc>
          <w:tcPr>
            <w:tcW w:w="1227"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7463"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ind w:firstLine="308" w:firstLineChars="147"/>
              <w:jc w:val="both"/>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推进危险废物处置设施建设。各</w:t>
            </w:r>
            <w:r>
              <w:rPr>
                <w:rFonts w:hint="eastAsia" w:ascii="Times New Roman" w:hAnsi="Times New Roman" w:eastAsia="仿宋_GB2312" w:cs="Times New Roman"/>
                <w:b w:val="0"/>
                <w:bCs/>
                <w:color w:val="auto"/>
                <w:sz w:val="21"/>
                <w:szCs w:val="21"/>
                <w:u w:val="none"/>
                <w:lang w:eastAsia="zh-CN"/>
              </w:rPr>
              <w:t>镇（街道、开发区）</w:t>
            </w:r>
            <w:r>
              <w:rPr>
                <w:rFonts w:hint="default" w:ascii="Times New Roman" w:hAnsi="Times New Roman" w:eastAsia="仿宋_GB2312" w:cs="Times New Roman"/>
                <w:b w:val="0"/>
                <w:bCs/>
                <w:color w:val="auto"/>
                <w:sz w:val="21"/>
                <w:szCs w:val="21"/>
                <w:u w:val="none"/>
              </w:rPr>
              <w:t>及相关部门要坚持“一把手负总责、主管领导负专责”的原则，逐级落实目标责任。要按照省、市“十三五”危险废物处置设施建设相关文件要求，督促有关单位在项目立项、用地和规划等方面予以支持，加快推进危险废物集中处置设施建设前期工作，及时协调解决项目建设中的问题，确保项目顺利推进，如期建成运行。</w:t>
            </w:r>
          </w:p>
        </w:tc>
        <w:tc>
          <w:tcPr>
            <w:tcW w:w="2425"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135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left"/>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lang w:eastAsia="zh-CN"/>
              </w:rPr>
              <w:t>按照市实施方案时间</w:t>
            </w:r>
            <w:r>
              <w:rPr>
                <w:rFonts w:hint="default" w:ascii="Times New Roman" w:hAnsi="Times New Roman" w:eastAsia="仿宋_GB2312" w:cs="Times New Roman"/>
                <w:b w:val="0"/>
                <w:bCs/>
                <w:color w:val="auto"/>
                <w:sz w:val="21"/>
                <w:szCs w:val="21"/>
                <w:u w:val="none"/>
              </w:rPr>
              <w:t>完成</w:t>
            </w:r>
          </w:p>
        </w:tc>
        <w:tc>
          <w:tcPr>
            <w:tcW w:w="1250"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1805"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8" w:hRule="atLeast"/>
        </w:trPr>
        <w:tc>
          <w:tcPr>
            <w:tcW w:w="1227"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both"/>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推进医疗废物城乡一体化处置</w:t>
            </w:r>
          </w:p>
        </w:tc>
        <w:tc>
          <w:tcPr>
            <w:tcW w:w="7463" w:type="dxa"/>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ind w:firstLine="420" w:firstLineChars="200"/>
              <w:jc w:val="both"/>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完善医疗废物分类管理制度，严格落实医疗废物分类管理、专用包装、集中贮存的要求，加强收集、转运设施设备配套，因地制宜推行以处置企业为主体的农村医疗废物收集转运工作模式，到2020年，力争各级各类医疗卫生机构医疗废物全部纳入集中处置。</w:t>
            </w:r>
          </w:p>
        </w:tc>
        <w:tc>
          <w:tcPr>
            <w:tcW w:w="2425" w:type="dxa"/>
            <w:vAlign w:val="center"/>
          </w:tcPr>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00" w:lineRule="exact"/>
              <w:ind w:firstLine="420" w:firstLineChars="200"/>
              <w:jc w:val="both"/>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lang w:eastAsia="zh-CN"/>
              </w:rPr>
              <w:t>镇卫生院、卫生室、诊所等产生的医疗废物收集体系健全；</w:t>
            </w:r>
            <w:r>
              <w:rPr>
                <w:rFonts w:hint="default" w:ascii="Times New Roman" w:hAnsi="Times New Roman" w:eastAsia="仿宋_GB2312" w:cs="Times New Roman"/>
                <w:b w:val="0"/>
                <w:bCs/>
                <w:color w:val="auto"/>
                <w:sz w:val="21"/>
                <w:szCs w:val="21"/>
                <w:u w:val="none"/>
              </w:rPr>
              <w:t>医疗废物无害化处置率达到100%。</w:t>
            </w:r>
          </w:p>
        </w:tc>
        <w:tc>
          <w:tcPr>
            <w:tcW w:w="135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both"/>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2020</w:t>
            </w:r>
            <w:r>
              <w:rPr>
                <w:rFonts w:hint="default" w:ascii="Times New Roman" w:hAnsi="Times New Roman" w:eastAsia="仿宋_GB2312" w:cs="Times New Roman"/>
                <w:b w:val="0"/>
                <w:bCs/>
                <w:color w:val="auto"/>
                <w:sz w:val="21"/>
                <w:szCs w:val="21"/>
                <w:u w:val="none"/>
                <w:lang w:eastAsia="zh-CN"/>
              </w:rPr>
              <w:t>年</w:t>
            </w:r>
            <w:r>
              <w:rPr>
                <w:rFonts w:hint="eastAsia" w:ascii="Times New Roman" w:hAnsi="Times New Roman" w:eastAsia="仿宋_GB2312" w:cs="Times New Roman"/>
                <w:b w:val="0"/>
                <w:bCs/>
                <w:color w:val="auto"/>
                <w:sz w:val="21"/>
                <w:szCs w:val="21"/>
                <w:u w:val="none"/>
                <w:lang w:val="en-US" w:eastAsia="zh-CN"/>
              </w:rPr>
              <w:t>年</w:t>
            </w:r>
            <w:r>
              <w:rPr>
                <w:rFonts w:hint="default" w:ascii="Times New Roman" w:hAnsi="Times New Roman" w:eastAsia="仿宋_GB2312" w:cs="Times New Roman"/>
                <w:b w:val="0"/>
                <w:bCs/>
                <w:color w:val="auto"/>
                <w:sz w:val="21"/>
                <w:szCs w:val="21"/>
                <w:u w:val="none"/>
                <w:lang w:val="en-US" w:eastAsia="zh-CN"/>
              </w:rPr>
              <w:t>底前</w:t>
            </w:r>
            <w:r>
              <w:rPr>
                <w:rFonts w:hint="default" w:ascii="Times New Roman" w:hAnsi="Times New Roman" w:eastAsia="仿宋_GB2312" w:cs="Times New Roman"/>
                <w:b w:val="0"/>
                <w:bCs/>
                <w:color w:val="auto"/>
                <w:sz w:val="21"/>
                <w:szCs w:val="21"/>
                <w:u w:val="none"/>
              </w:rPr>
              <w:t>各级各类医疗废物全部纳入集中处置</w:t>
            </w:r>
          </w:p>
        </w:tc>
        <w:tc>
          <w:tcPr>
            <w:tcW w:w="125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b w:val="0"/>
                <w:bCs/>
                <w:color w:val="auto"/>
                <w:sz w:val="21"/>
                <w:szCs w:val="21"/>
                <w:u w:val="none"/>
                <w:lang w:eastAsia="zh-CN"/>
              </w:rPr>
            </w:pPr>
            <w:r>
              <w:rPr>
                <w:rFonts w:hint="default" w:ascii="Times New Roman" w:hAnsi="Times New Roman" w:eastAsia="仿宋_GB2312" w:cs="Times New Roman"/>
                <w:b w:val="0"/>
                <w:bCs/>
                <w:color w:val="auto"/>
                <w:sz w:val="21"/>
                <w:szCs w:val="21"/>
                <w:u w:val="none"/>
              </w:rPr>
              <w:t>各</w:t>
            </w:r>
            <w:r>
              <w:rPr>
                <w:rFonts w:hint="eastAsia" w:ascii="Times New Roman" w:hAnsi="Times New Roman" w:eastAsia="仿宋_GB2312" w:cs="Times New Roman"/>
                <w:b w:val="0"/>
                <w:bCs/>
                <w:color w:val="auto"/>
                <w:sz w:val="21"/>
                <w:szCs w:val="21"/>
                <w:u w:val="none"/>
                <w:lang w:eastAsia="zh-CN"/>
              </w:rPr>
              <w:t>镇（街道、开发区）</w:t>
            </w:r>
          </w:p>
        </w:tc>
        <w:tc>
          <w:tcPr>
            <w:tcW w:w="180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区</w:t>
            </w:r>
            <w:r>
              <w:rPr>
                <w:rFonts w:hint="default" w:ascii="Times New Roman" w:hAnsi="Times New Roman" w:eastAsia="仿宋_GB2312" w:cs="Times New Roman"/>
                <w:b w:val="0"/>
                <w:bCs/>
                <w:color w:val="auto"/>
                <w:sz w:val="21"/>
                <w:szCs w:val="21"/>
                <w:u w:val="none"/>
                <w:lang w:eastAsia="zh-CN"/>
              </w:rPr>
              <w:t>卫健局</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区</w:t>
            </w:r>
            <w:r>
              <w:rPr>
                <w:rFonts w:hint="default" w:ascii="Times New Roman" w:hAnsi="Times New Roman" w:eastAsia="仿宋_GB2312" w:cs="Times New Roman"/>
                <w:b w:val="0"/>
                <w:bCs/>
                <w:color w:val="auto"/>
                <w:sz w:val="21"/>
                <w:szCs w:val="21"/>
                <w:u w:val="none"/>
                <w:lang w:eastAsia="zh-CN"/>
              </w:rPr>
              <w:t>生态环境</w:t>
            </w:r>
            <w:r>
              <w:rPr>
                <w:rFonts w:hint="default" w:ascii="Times New Roman" w:hAnsi="Times New Roman" w:eastAsia="仿宋_GB2312" w:cs="Times New Roman"/>
                <w:b w:val="0"/>
                <w:bCs/>
                <w:color w:val="auto"/>
                <w:sz w:val="21"/>
                <w:szCs w:val="21"/>
                <w:u w:val="none"/>
              </w:rPr>
              <w:t>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9" w:hRule="atLeast"/>
        </w:trPr>
        <w:tc>
          <w:tcPr>
            <w:tcW w:w="1227" w:type="dxa"/>
            <w:vMerge w:val="restart"/>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jc w:val="both"/>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提升危险废物处置全过程监管能力</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both"/>
              <w:textAlignment w:val="auto"/>
              <w:rPr>
                <w:rFonts w:hint="default" w:ascii="Times New Roman" w:hAnsi="Times New Roman" w:eastAsia="仿宋_GB2312" w:cs="Times New Roman"/>
                <w:b w:val="0"/>
                <w:bCs/>
                <w:color w:val="auto"/>
                <w:sz w:val="21"/>
                <w:szCs w:val="21"/>
                <w:u w:val="none"/>
              </w:rPr>
            </w:pPr>
          </w:p>
        </w:tc>
        <w:tc>
          <w:tcPr>
            <w:tcW w:w="7463" w:type="dxa"/>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ind w:firstLine="308" w:firstLineChars="147"/>
              <w:jc w:val="both"/>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完善危险废物收集体系。推动危险废物分类收集专业化、规模化，鼓励危险废物处置中心建设区域性收集网络、贮存设施。加强涉重金属危险废物无害化处置，鼓励生产或经营企业建立废铅酸蓄电池、废弃荧光灯、废镍镉电池等回收网络，支持分类回收处理。建立机动车拆解维修、检测实验室等特种行业危险废物的收集体系。</w:t>
            </w:r>
          </w:p>
        </w:tc>
        <w:tc>
          <w:tcPr>
            <w:tcW w:w="2425" w:type="dxa"/>
            <w:vMerge w:val="restart"/>
            <w:vAlign w:val="center"/>
          </w:tcPr>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00" w:lineRule="exact"/>
              <w:ind w:firstLine="420" w:firstLineChars="200"/>
              <w:jc w:val="both"/>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依法行政，加强监管，打好危险废物污染防治行动攻坚战。全面提升危险废物规范化管理水平和环境监管能力，2019年、2020年全市危险废物规范化管理抽查合格率分别不低于92%、95%。</w:t>
            </w:r>
          </w:p>
        </w:tc>
        <w:tc>
          <w:tcPr>
            <w:tcW w:w="1350" w:type="dxa"/>
            <w:vMerge w:val="restart"/>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both"/>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2020</w:t>
            </w:r>
            <w:r>
              <w:rPr>
                <w:rFonts w:hint="default" w:ascii="Times New Roman" w:hAnsi="Times New Roman" w:eastAsia="仿宋_GB2312" w:cs="Times New Roman"/>
                <w:b w:val="0"/>
                <w:bCs/>
                <w:color w:val="auto"/>
                <w:sz w:val="21"/>
                <w:szCs w:val="21"/>
                <w:u w:val="none"/>
                <w:lang w:eastAsia="zh-CN"/>
              </w:rPr>
              <w:t>年</w:t>
            </w:r>
            <w:r>
              <w:rPr>
                <w:rFonts w:hint="eastAsia" w:ascii="Times New Roman" w:hAnsi="Times New Roman" w:eastAsia="仿宋_GB2312" w:cs="Times New Roman"/>
                <w:b w:val="0"/>
                <w:bCs/>
                <w:color w:val="auto"/>
                <w:sz w:val="21"/>
                <w:szCs w:val="21"/>
                <w:u w:val="none"/>
                <w:lang w:eastAsia="zh-CN"/>
              </w:rPr>
              <w:t>年</w:t>
            </w:r>
            <w:r>
              <w:rPr>
                <w:rFonts w:hint="default" w:ascii="Times New Roman" w:hAnsi="Times New Roman" w:eastAsia="仿宋_GB2312" w:cs="Times New Roman"/>
                <w:b w:val="0"/>
                <w:bCs/>
                <w:color w:val="auto"/>
                <w:sz w:val="21"/>
                <w:szCs w:val="21"/>
                <w:u w:val="none"/>
              </w:rPr>
              <w:t>底前考核评估达到95%；完成监管能力建设。</w:t>
            </w:r>
          </w:p>
        </w:tc>
        <w:tc>
          <w:tcPr>
            <w:tcW w:w="1250" w:type="dxa"/>
            <w:vMerge w:val="restart"/>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b w:val="0"/>
                <w:bCs/>
                <w:color w:val="auto"/>
                <w:sz w:val="21"/>
                <w:szCs w:val="21"/>
                <w:u w:val="none"/>
                <w:lang w:eastAsia="zh-CN"/>
              </w:rPr>
            </w:pPr>
            <w:r>
              <w:rPr>
                <w:rFonts w:hint="default" w:ascii="Times New Roman" w:hAnsi="Times New Roman" w:eastAsia="仿宋_GB2312" w:cs="Times New Roman"/>
                <w:b w:val="0"/>
                <w:bCs/>
                <w:color w:val="auto"/>
                <w:sz w:val="21"/>
                <w:szCs w:val="21"/>
                <w:u w:val="none"/>
              </w:rPr>
              <w:t>各</w:t>
            </w:r>
            <w:r>
              <w:rPr>
                <w:rFonts w:hint="eastAsia" w:ascii="Times New Roman" w:hAnsi="Times New Roman" w:eastAsia="仿宋_GB2312" w:cs="Times New Roman"/>
                <w:b w:val="0"/>
                <w:bCs/>
                <w:color w:val="auto"/>
                <w:sz w:val="21"/>
                <w:szCs w:val="21"/>
                <w:u w:val="none"/>
                <w:lang w:eastAsia="zh-CN"/>
              </w:rPr>
              <w:t>镇（街道、开发区）</w:t>
            </w:r>
          </w:p>
        </w:tc>
        <w:tc>
          <w:tcPr>
            <w:tcW w:w="1805" w:type="dxa"/>
            <w:vMerge w:val="restart"/>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区</w:t>
            </w:r>
            <w:r>
              <w:rPr>
                <w:rFonts w:hint="default" w:ascii="Times New Roman" w:hAnsi="Times New Roman" w:eastAsia="仿宋_GB2312" w:cs="Times New Roman"/>
                <w:b w:val="0"/>
                <w:bCs/>
                <w:color w:val="auto"/>
                <w:sz w:val="21"/>
                <w:szCs w:val="21"/>
                <w:u w:val="none"/>
                <w:lang w:eastAsia="zh-CN"/>
              </w:rPr>
              <w:t>生态环境</w:t>
            </w:r>
            <w:r>
              <w:rPr>
                <w:rFonts w:hint="default" w:ascii="Times New Roman" w:hAnsi="Times New Roman" w:eastAsia="仿宋_GB2312" w:cs="Times New Roman"/>
                <w:b w:val="0"/>
                <w:bCs/>
                <w:color w:val="auto"/>
                <w:sz w:val="21"/>
                <w:szCs w:val="21"/>
                <w:u w:val="none"/>
              </w:rPr>
              <w:t>分局</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区公安分局</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lang w:eastAsia="zh-CN"/>
              </w:rPr>
            </w:pPr>
            <w:r>
              <w:rPr>
                <w:rFonts w:hint="default" w:ascii="Times New Roman" w:hAnsi="Times New Roman" w:eastAsia="仿宋_GB2312" w:cs="Times New Roman"/>
                <w:b w:val="0"/>
                <w:bCs/>
                <w:color w:val="auto"/>
                <w:sz w:val="21"/>
                <w:szCs w:val="21"/>
                <w:u w:val="none"/>
                <w:lang w:eastAsia="zh-CN"/>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5" w:hRule="atLeast"/>
        </w:trPr>
        <w:tc>
          <w:tcPr>
            <w:tcW w:w="1227"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7463" w:type="dxa"/>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ind w:firstLine="308" w:firstLineChars="147"/>
              <w:jc w:val="both"/>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加强危险废物监管能力建设。建立危险废物产生、收集、运输、贮存、利用和处置等全过程监管体系。依托“互联网+”，完善危险废物电子转移联单，加强危险废物流向监控。结合监管网络平台建设，借助物联网、卫星遥感等信息化手段，逐步建立“能定位、能查询、能跟踪、能预警、能考核”的危险废物全过程监管信息数据库，提升危险废物风险防控水平。推动与交通主管部门危险货物运输管理系统互联互通和数据共享。2020</w:t>
            </w:r>
            <w:r>
              <w:rPr>
                <w:rFonts w:hint="eastAsia" w:ascii="Times New Roman" w:hAnsi="Times New Roman" w:eastAsia="仿宋_GB2312" w:cs="Times New Roman"/>
                <w:b w:val="0"/>
                <w:bCs/>
                <w:color w:val="auto"/>
                <w:sz w:val="21"/>
                <w:szCs w:val="21"/>
                <w:u w:val="none"/>
                <w:lang w:eastAsia="zh-CN"/>
              </w:rPr>
              <w:t>年</w:t>
            </w:r>
            <w:r>
              <w:rPr>
                <w:rFonts w:hint="default" w:ascii="Times New Roman" w:hAnsi="Times New Roman" w:eastAsia="仿宋_GB2312" w:cs="Times New Roman"/>
                <w:b w:val="0"/>
                <w:bCs/>
                <w:color w:val="auto"/>
                <w:sz w:val="21"/>
                <w:szCs w:val="21"/>
                <w:u w:val="none"/>
              </w:rPr>
              <w:t>年底前，健全完善固体废物管理信息系统，实现危险废物申报登记、管理计划和应急预案备案、转移联单、经营单位经营记录、日常管理等信息化管理。鼓励企业加大技术创新和改造力度，采用技术成熟、运行稳定、经济合理的新技术，提高现有设施的处置运营水平。建立危险废物应急处置区域合作协调机制，提高应急处置能力。</w:t>
            </w:r>
          </w:p>
        </w:tc>
        <w:tc>
          <w:tcPr>
            <w:tcW w:w="2425"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1350"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1250"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1805"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27"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7463" w:type="dxa"/>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400" w:lineRule="exact"/>
              <w:ind w:firstLine="308" w:firstLineChars="147"/>
              <w:jc w:val="both"/>
              <w:textAlignment w:val="auto"/>
              <w:outlineLvl w:val="1"/>
              <w:rPr>
                <w:rFonts w:hint="default" w:ascii="Times New Roman" w:hAnsi="Times New Roman" w:eastAsia="仿宋_GB2312" w:cs="Times New Roman"/>
                <w:b w:val="0"/>
                <w:bCs/>
                <w:color w:val="auto"/>
                <w:sz w:val="21"/>
                <w:szCs w:val="21"/>
                <w:u w:val="none"/>
              </w:rPr>
            </w:pPr>
            <w:r>
              <w:rPr>
                <w:rFonts w:hint="default" w:ascii="Times New Roman" w:hAnsi="Times New Roman" w:eastAsia="仿宋_GB2312" w:cs="Times New Roman"/>
                <w:b w:val="0"/>
                <w:bCs/>
                <w:color w:val="auto"/>
                <w:sz w:val="21"/>
                <w:szCs w:val="21"/>
                <w:u w:val="none"/>
              </w:rPr>
              <w:t>强化危险废物规范化管理。针对危险废物经营单位，采取资料审查和现场检查相结合的方式，开展危险废物经营单位专项整治行动，重点检查处置设施运行状况及危险废物非法转移和倾倒等行为。对检查中发现的问题企业限期整改，对存在违法行为的企业依法处罚，对发现的非固废问题及时移交相应管理部门单位，对涉嫌犯罪的移交当地公安机关依法处理。</w:t>
            </w:r>
          </w:p>
        </w:tc>
        <w:tc>
          <w:tcPr>
            <w:tcW w:w="2425"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1350"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1250"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c>
          <w:tcPr>
            <w:tcW w:w="1805" w:type="dxa"/>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b w:val="0"/>
                <w:bCs/>
                <w:color w:val="auto"/>
                <w:sz w:val="21"/>
                <w:szCs w:val="21"/>
                <w:u w:val="none"/>
              </w:rPr>
            </w:pPr>
          </w:p>
        </w:tc>
      </w:tr>
    </w:tbl>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sectPr>
          <w:footerReference r:id="rId5" w:type="default"/>
          <w:pgSz w:w="16838" w:h="11906" w:orient="landscape"/>
          <w:pgMar w:top="1800" w:right="1440" w:bottom="1800" w:left="1440" w:header="708" w:footer="708" w:gutter="0"/>
          <w:pgNumType w:fmt="decimal" w:chapStyle="1"/>
          <w:cols w:space="708" w:num="1"/>
          <w:docGrid w:type="lines" w:linePitch="360" w:charSpace="0"/>
        </w:sect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spacing w:beforeAutospacing="0" w:after="0" w:afterAutospacing="0" w:line="560" w:lineRule="exact"/>
        <w:jc w:val="both"/>
        <w:textAlignment w:val="auto"/>
        <w:rPr>
          <w:rFonts w:hint="default" w:ascii="Times New Roman" w:hAnsi="Times New Roman" w:cs="Times New Roman"/>
          <w:color w:val="auto"/>
          <w:u w:val="none"/>
        </w:rPr>
      </w:pP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textAlignment w:val="auto"/>
        <w:rPr>
          <w:rFonts w:ascii="Times New Roman" w:hAnsi="Times New Roman" w:eastAsia="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textAlignment w:val="auto"/>
        <w:rPr>
          <w:rFonts w:ascii="Times New Roman" w:hAnsi="Times New Roman" w:eastAsia="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28"/>
          <w:szCs w:val="28"/>
        </w:rPr>
      </w:pPr>
      <w:bookmarkStart w:id="19" w:name="_GoBack"/>
      <w:bookmarkEnd w:id="19"/>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272415</wp:posOffset>
                </wp:positionV>
                <wp:extent cx="56007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pt;margin-top:21.45pt;height:0pt;width:441pt;z-index:251658240;mso-width-relative:page;mso-height-relative:page;" filled="f" stroked="t" coordsize="21600,21600" o:gfxdata="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7L0U+0wAAAAcBAAAPAAAAAAAA&#10;AAEAIAAAACIAAABkcnMvZG93bnJldi54bWxQSwECFAAUAAAACACHTuJAy5Q+4d4BAAClAwAADgAA&#10;AAAAAAABACAAAAAiAQAAZHJzL2Uyb0RvYy54bWxQSwUGAAAAAAYABgBZAQAAcgUAAAAA&#10;">
                <v:fill on="f" focussize="0,0"/>
                <v:stroke weight="1.5pt" color="#000000" joinstyle="round"/>
                <v:imagedata o:title=""/>
                <o:lock v:ext="edit" aspectratio="f"/>
              </v:line>
            </w:pict>
          </mc:Fallback>
        </mc:AlternateContent>
      </w:r>
    </w:p>
    <w:p>
      <w:pPr>
        <w:keepNext w:val="0"/>
        <w:keepLines w:val="0"/>
        <w:pageBreakBefore w:val="0"/>
        <w:widowControl/>
        <w:tabs>
          <w:tab w:val="left" w:pos="8640"/>
        </w:tabs>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pacing w:val="-8"/>
          <w:sz w:val="28"/>
          <w:szCs w:val="28"/>
        </w:rPr>
      </w:pPr>
      <w:r>
        <w:rPr>
          <w:rFonts w:ascii="Times New Roman" w:hAnsi="Times New Roman" w:eastAsia="仿宋_GB2312"/>
          <w:sz w:val="28"/>
          <w:szCs w:val="28"/>
        </w:rPr>
        <w:t>抄送：</w:t>
      </w:r>
      <w:r>
        <w:rPr>
          <w:rFonts w:ascii="Times New Roman" w:hAnsi="Times New Roman" w:eastAsia="仿宋_GB2312"/>
          <w:spacing w:val="-8"/>
          <w:sz w:val="28"/>
          <w:szCs w:val="28"/>
        </w:rPr>
        <w:t xml:space="preserve">区委办公室，区人大办公室，区政协办公室，区人武部，区法院， </w:t>
      </w:r>
    </w:p>
    <w:p>
      <w:pPr>
        <w:keepNext w:val="0"/>
        <w:keepLines w:val="0"/>
        <w:pageBreakBefore w:val="0"/>
        <w:widowControl/>
        <w:tabs>
          <w:tab w:val="left" w:pos="8640"/>
        </w:tabs>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32"/>
          <w:szCs w:val="32"/>
        </w:rPr>
      </w:pPr>
      <w:r>
        <w:rPr>
          <w:rFonts w:ascii="Times New Roman" w:hAnsi="Times New Roman" w:eastAsia="仿宋_GB2312"/>
          <w:spacing w:val="-8"/>
          <w:sz w:val="28"/>
          <w:szCs w:val="28"/>
        </w:rPr>
        <w:t xml:space="preserve">         </w:t>
      </w:r>
      <w:r>
        <w:rPr>
          <w:rFonts w:hint="eastAsia" w:ascii="Times New Roman" w:hAnsi="Times New Roman" w:eastAsia="仿宋_GB2312"/>
          <w:spacing w:val="-8"/>
          <w:sz w:val="28"/>
          <w:szCs w:val="28"/>
          <w:lang w:val="en-US" w:eastAsia="zh-CN"/>
        </w:rPr>
        <w:t xml:space="preserve">     </w:t>
      </w:r>
      <w:r>
        <w:rPr>
          <w:rFonts w:ascii="Times New Roman" w:hAnsi="Times New Roman" w:eastAsia="仿宋_GB2312"/>
          <w:spacing w:val="-8"/>
          <w:sz w:val="28"/>
          <w:szCs w:val="28"/>
        </w:rPr>
        <w:t>区检察院</w:t>
      </w:r>
      <w:r>
        <w:rPr>
          <w:rFonts w:ascii="Times New Roman" w:hAnsi="Times New Roman" w:eastAsia="仿宋_GB2312"/>
          <w:spacing w:val="-10"/>
          <w:sz w:val="28"/>
          <w:szCs w:val="28"/>
        </w:rPr>
        <w:t>。</w:t>
      </w: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28"/>
          <w:szCs w:val="28"/>
        </w:rPr>
      </w:pPr>
      <w:r>
        <w:rPr>
          <w:rFonts w:ascii="Times New Roman" w:hAnsi="Times New Roman"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20955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2pt;margin-top:1.65pt;height:0pt;width:441pt;z-index:251659264;mso-width-relative:page;mso-height-relative:page;" filled="f" stroked="t" coordsize="21600,21600" o:gfxdata="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k4OmrTAAAABQEAAA8AAAAAAAAA&#10;AQAgAAAAIgAAAGRycy9kb3ducmV2LnhtbFBLAQIUABQAAAAIAIdO4kBJ92jS3QEAAKUDAAAOAAAA&#10;AAAAAAEAIAAAACIBAABkcnMvZTJvRG9jLnhtbFBLBQYAAAAABgAGAFkBAABxBQAAAAA=&#10;">
                <v:fill on="f" focussize="0,0"/>
                <v:stroke weight="1pt" color="#000000" joinstyle="round"/>
                <v:imagedata o:title=""/>
                <o:lock v:ext="edit" aspectratio="f"/>
              </v:line>
            </w:pict>
          </mc:Fallback>
        </mc:AlternateContent>
      </w:r>
      <w:r>
        <w:rPr>
          <w:rFonts w:ascii="Times New Roman" w:hAnsi="Times New Roman" w:eastAsia="仿宋_GB2312"/>
          <w:sz w:val="28"/>
          <w:szCs w:val="28"/>
        </w:rPr>
        <w:t xml:space="preserve">  淄川区人民政府办公室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2019年</w:t>
      </w:r>
      <w:r>
        <w:rPr>
          <w:rFonts w:hint="eastAsia" w:ascii="Times New Roman" w:hAnsi="Times New Roman" w:eastAsia="仿宋_GB2312"/>
          <w:sz w:val="28"/>
          <w:szCs w:val="28"/>
          <w:lang w:val="en-US" w:eastAsia="zh-CN"/>
        </w:rPr>
        <w:t>11</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8</w:t>
      </w:r>
      <w:r>
        <w:rPr>
          <w:rFonts w:ascii="Times New Roman" w:hAnsi="Times New Roman" w:eastAsia="仿宋_GB2312"/>
          <w:sz w:val="28"/>
          <w:szCs w:val="28"/>
        </w:rPr>
        <w:t>日印发　</w:t>
      </w: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imes New Roman" w:hAnsi="Times New Roman" w:eastAsia="仿宋_GB2312"/>
          <w:sz w:val="32"/>
          <w:szCs w:val="32"/>
        </w:rPr>
      </w:pP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23495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1.85pt;height:0pt;width:441pt;z-index:251660288;mso-width-relative:page;mso-height-relative:page;" filled="f" stroked="t" coordsize="21600,21600" o:gfxdata="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2F8ZfRAAAABQEAAA8AAAAAAAAA&#10;AQAgAAAAIgAAAGRycy9kb3ducmV2LnhtbFBLAQIUABQAAAAIAIdO4kCGufWn3wEAAKUDAAAOAAAA&#10;AAAAAAEAIAAAACABAABkcnMvZTJvRG9jLnhtbFBLBQYAAAAABgAGAFkBAABxBQAAAAA=&#10;">
                <v:fill on="f" focussize="0,0"/>
                <v:stroke weight="1.5pt" color="#000000" joinstyle="round"/>
                <v:imagedata o:title=""/>
                <o:lock v:ext="edit" aspectratio="f"/>
              </v:line>
            </w:pict>
          </mc:Fallback>
        </mc:AlternateContent>
      </w:r>
      <w:r>
        <w:rPr>
          <w:rFonts w:ascii="Times New Roman" w:hAnsi="Times New Roman" w:eastAsia="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440" w:lineRule="exact"/>
        <w:jc w:val="both"/>
        <w:textAlignment w:val="auto"/>
        <w:rPr>
          <w:rFonts w:hint="default" w:ascii="Times New Roman" w:hAnsi="Times New Roman" w:cs="Times New Roman"/>
          <w:color w:val="auto"/>
          <w:u w:val="none"/>
        </w:rPr>
      </w:pPr>
    </w:p>
    <w:sectPr>
      <w:footerReference r:id="rId6" w:type="default"/>
      <w:pgSz w:w="11906" w:h="16838"/>
      <w:pgMar w:top="2098" w:right="1474" w:bottom="1984" w:left="1587" w:header="708" w:footer="709" w:gutter="0"/>
      <w:pgNumType w:fmt="decimal" w:chapStyle="1"/>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30"/>
      </w:rPr>
      <mc:AlternateContent>
        <mc:Choice Requires="wps">
          <w:drawing>
            <wp:anchor distT="0" distB="0" distL="114300" distR="114300" simplePos="0" relativeHeight="754976768" behindDoc="0" locked="0" layoutInCell="1" allowOverlap="1">
              <wp:simplePos x="0" y="0"/>
              <wp:positionH relativeFrom="margin">
                <wp:align>right</wp:align>
              </wp:positionH>
              <wp:positionV relativeFrom="paragraph">
                <wp:posOffset>-220980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微软雅黑"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right;mso-position-horizontal-relative:margin;mso-wrap-style:none;z-index:754976768;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VcN11gAAAAgBAAAPAAAAAAAA&#10;AAEAIAAAACIAAABkcnMvZG93bnJldi54bWxQSwECFAAUAAAACACHTuJAB2hfnRQCAAAVBAAADgAA&#10;AAAAAAABACAAAAAlAQAAZHJzL2Uyb0RvYy54bWxQSwUGAAAAAAYABgBZAQAAqwUAAAAA&#10;">
              <v:fill on="f" focussize="0,0"/>
              <v:stroke on="f" weight="0.5pt"/>
              <v:imagedata o:title=""/>
              <o:lock v:ext="edit" aspectratio="f"/>
              <v:textbox inset="0mm,0mm,0mm,0mm" style="mso-fit-shape-to-text:t;">
                <w:txbxContent>
                  <w:p>
                    <w:pPr>
                      <w:pStyle w:val="6"/>
                      <w:rPr>
                        <w:rFonts w:hint="default" w:ascii="Times New Roman" w:hAnsi="Times New Roman" w:eastAsia="微软雅黑"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r>
      <w:rPr>
        <w:lang w:val="en-US"/>
      </w:rPr>
      <mc:AlternateContent>
        <mc:Choice Requires="wps">
          <w:drawing>
            <wp:anchor distT="0" distB="0" distL="114300" distR="114300" simplePos="0" relativeHeight="503315456" behindDoc="0" locked="0" layoutInCell="1" allowOverlap="1">
              <wp:simplePos x="0" y="0"/>
              <wp:positionH relativeFrom="margin">
                <wp:align>right</wp:align>
              </wp:positionH>
              <wp:positionV relativeFrom="page">
                <wp:posOffset>9852025</wp:posOffset>
              </wp:positionV>
              <wp:extent cx="598170" cy="20383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98170" cy="203835"/>
                      </a:xfrm>
                      <a:prstGeom prst="rect">
                        <a:avLst/>
                      </a:prstGeom>
                      <a:noFill/>
                      <a:ln>
                        <a:noFill/>
                      </a:ln>
                    </wps:spPr>
                    <wps:txbx>
                      <w:txbxContent>
                        <w:p>
                          <w:pPr>
                            <w:spacing w:line="321" w:lineRule="exact"/>
                            <w:ind w:left="20"/>
                            <w:rPr>
                              <w:rFonts w:hint="default" w:ascii="Times New Roman" w:hAnsi="Times New Roman" w:eastAsia="微软雅黑" w:cs="Times New Roman"/>
                              <w:sz w:val="28"/>
                              <w:szCs w:val="28"/>
                              <w:lang w:val="en-US" w:eastAsia="zh-CN"/>
                            </w:rPr>
                          </w:pPr>
                        </w:p>
                      </w:txbxContent>
                    </wps:txbx>
                    <wps:bodyPr lIns="0" tIns="0" rIns="0" bIns="0" upright="1"/>
                  </wps:wsp>
                </a:graphicData>
              </a:graphic>
            </wp:anchor>
          </w:drawing>
        </mc:Choice>
        <mc:Fallback>
          <w:pict>
            <v:shape id="文本框 1025" o:spid="_x0000_s1026" o:spt="202" type="#_x0000_t202" style="position:absolute;left:0pt;margin-top:775.75pt;height:16.05pt;width:47.1pt;mso-position-horizontal:right;mso-position-horizontal-relative:margin;mso-position-vertical-relative:page;z-index:503315456;mso-width-relative:page;mso-height-relative:page;" filled="f" stroked="f" coordsize="21600,21600" o:gfxdata="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Wqksm2AAAAAkBAAAPAAAAAAAA&#10;AAEAIAAAACIAAABkcnMvZG93bnJldi54bWxQSwECFAAUAAAACACHTuJAdjRhdaABAAAmAwAADgAA&#10;AAAAAAABACAAAAAnAQAAZHJzL2Uyb0RvYy54bWxQSwUGAAAAAAYABgBZAQAAOQUAAAAA&#10;">
              <v:fill on="f" focussize="0,0"/>
              <v:stroke on="f"/>
              <v:imagedata o:title=""/>
              <o:lock v:ext="edit" aspectratio="f"/>
              <v:textbox inset="0mm,0mm,0mm,0mm">
                <w:txbxContent>
                  <w:p>
                    <w:pPr>
                      <w:spacing w:line="321" w:lineRule="exact"/>
                      <w:ind w:left="20"/>
                      <w:rPr>
                        <w:rFonts w:hint="default" w:ascii="Times New Roman" w:hAnsi="Times New Roman" w:eastAsia="微软雅黑" w:cs="Times New Roman"/>
                        <w:sz w:val="28"/>
                        <w:szCs w:val="28"/>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lang w:val="en-US"/>
      </w:rPr>
      <mc:AlternateContent>
        <mc:Choice Requires="wps">
          <w:drawing>
            <wp:anchor distT="0" distB="0" distL="114300" distR="114300" simplePos="0" relativeHeight="503315456" behindDoc="1" locked="0" layoutInCell="1" allowOverlap="1">
              <wp:simplePos x="0" y="0"/>
              <wp:positionH relativeFrom="page">
                <wp:posOffset>959485</wp:posOffset>
              </wp:positionH>
              <wp:positionV relativeFrom="page">
                <wp:posOffset>9882505</wp:posOffset>
              </wp:positionV>
              <wp:extent cx="717550" cy="203835"/>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717550" cy="203835"/>
                      </a:xfrm>
                      <a:prstGeom prst="rect">
                        <a:avLst/>
                      </a:prstGeom>
                      <a:noFill/>
                      <a:ln>
                        <a:noFill/>
                      </a:ln>
                    </wps:spPr>
                    <wps:txbx>
                      <w:txbxContent>
                        <w:p>
                          <w:pPr>
                            <w:spacing w:line="321" w:lineRule="exact"/>
                            <w:ind w:left="20"/>
                            <w:rPr>
                              <w:rFonts w:ascii="宋体" w:eastAsia="宋体"/>
                              <w:sz w:val="28"/>
                            </w:rPr>
                          </w:pPr>
                          <w:r>
                            <w:rPr>
                              <w:rFonts w:ascii="宋体" w:hAnsi="宋体"/>
                              <w:sz w:val="28"/>
                            </w:rPr>
                            <w:t xml:space="preserve">— </w:t>
                          </w:r>
                          <w:r>
                            <w:rPr>
                              <w:rFonts w:ascii="宋体" w:hAnsi="宋体"/>
                              <w:sz w:val="26"/>
                            </w:rPr>
                            <w:fldChar w:fldCharType="begin"/>
                          </w:r>
                          <w:r>
                            <w:rPr>
                              <w:rFonts w:ascii="宋体" w:hAnsi="宋体"/>
                              <w:sz w:val="26"/>
                            </w:rPr>
                            <w:instrText xml:space="preserve"> PAGE </w:instrText>
                          </w:r>
                          <w:r>
                            <w:rPr>
                              <w:rFonts w:ascii="宋体" w:hAnsi="宋体"/>
                              <w:sz w:val="26"/>
                            </w:rPr>
                            <w:fldChar w:fldCharType="separate"/>
                          </w:r>
                          <w:r>
                            <w:rPr>
                              <w:rFonts w:ascii="宋体" w:hAnsi="宋体"/>
                              <w:sz w:val="26"/>
                            </w:rPr>
                            <w:t>4</w:t>
                          </w:r>
                          <w:r>
                            <w:rPr>
                              <w:rFonts w:ascii="宋体" w:hAnsi="宋体"/>
                              <w:sz w:val="26"/>
                            </w:rPr>
                            <w:fldChar w:fldCharType="end"/>
                          </w:r>
                          <w:r>
                            <w:rPr>
                              <w:rFonts w:ascii="宋体" w:hAnsi="宋体"/>
                              <w:sz w:val="26"/>
                            </w:rPr>
                            <w:t xml:space="preserve"> </w:t>
                          </w:r>
                          <w:r>
                            <w:rPr>
                              <w:rFonts w:ascii="宋体" w:hAnsi="宋体"/>
                              <w:sz w:val="28"/>
                            </w:rPr>
                            <w:t>—</w:t>
                          </w:r>
                        </w:p>
                      </w:txbxContent>
                    </wps:txbx>
                    <wps:bodyPr lIns="0" tIns="0" rIns="0" bIns="0" upright="1"/>
                  </wps:wsp>
                </a:graphicData>
              </a:graphic>
            </wp:anchor>
          </w:drawing>
        </mc:Choice>
        <mc:Fallback>
          <w:pict>
            <v:shape id="文本框 1026" o:spid="_x0000_s1026" o:spt="202" type="#_x0000_t202" style="position:absolute;left:0pt;margin-left:75.55pt;margin-top:778.15pt;height:16.05pt;width:56.5pt;mso-position-horizontal-relative:page;mso-position-vertical-relative:page;z-index:-1024;mso-width-relative:page;mso-height-relative:page;" filled="f" stroked="f" coordsize="21600,21600" o:gfxdata="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Jhly42gAAAA0BAAAPAAAA&#10;AAAAAAEAIAAAACIAAABkcnMvZG93bnJldi54bWxQSwECFAAUAAAACACHTuJAdOg+uaEBAAAmAwAA&#10;DgAAAAAAAAABACAAAAApAQAAZHJzL2Uyb0RvYy54bWxQSwUGAAAAAAYABgBZAQAAPAUAAAAA&#10;">
              <v:fill on="f" focussize="0,0"/>
              <v:stroke on="f"/>
              <v:imagedata o:title=""/>
              <o:lock v:ext="edit" aspectratio="f"/>
              <v:textbox inset="0mm,0mm,0mm,0mm">
                <w:txbxContent>
                  <w:p>
                    <w:pPr>
                      <w:spacing w:line="321" w:lineRule="exact"/>
                      <w:ind w:left="20"/>
                      <w:rPr>
                        <w:rFonts w:ascii="宋体" w:eastAsia="宋体"/>
                        <w:sz w:val="28"/>
                      </w:rPr>
                    </w:pPr>
                    <w:r>
                      <w:rPr>
                        <w:rFonts w:ascii="宋体" w:hAnsi="宋体"/>
                        <w:sz w:val="28"/>
                      </w:rPr>
                      <w:t xml:space="preserve">— </w:t>
                    </w:r>
                    <w:r>
                      <w:rPr>
                        <w:rFonts w:ascii="宋体" w:hAnsi="宋体"/>
                        <w:sz w:val="26"/>
                      </w:rPr>
                      <w:fldChar w:fldCharType="begin"/>
                    </w:r>
                    <w:r>
                      <w:rPr>
                        <w:rFonts w:ascii="宋体" w:hAnsi="宋体"/>
                        <w:sz w:val="26"/>
                      </w:rPr>
                      <w:instrText xml:space="preserve"> PAGE </w:instrText>
                    </w:r>
                    <w:r>
                      <w:rPr>
                        <w:rFonts w:ascii="宋体" w:hAnsi="宋体"/>
                        <w:sz w:val="26"/>
                      </w:rPr>
                      <w:fldChar w:fldCharType="separate"/>
                    </w:r>
                    <w:r>
                      <w:rPr>
                        <w:rFonts w:ascii="宋体" w:hAnsi="宋体"/>
                        <w:sz w:val="26"/>
                      </w:rPr>
                      <w:t>4</w:t>
                    </w:r>
                    <w:r>
                      <w:rPr>
                        <w:rFonts w:ascii="宋体" w:hAnsi="宋体"/>
                        <w:sz w:val="26"/>
                      </w:rPr>
                      <w:fldChar w:fldCharType="end"/>
                    </w:r>
                    <w:r>
                      <w:rPr>
                        <w:rFonts w:ascii="宋体" w:hAnsi="宋体"/>
                        <w:sz w:val="26"/>
                      </w:rPr>
                      <w:t xml:space="preserve"> </w:t>
                    </w:r>
                    <w:r>
                      <w:rPr>
                        <w:rFonts w:ascii="宋体" w:hAnsi="宋体"/>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30"/>
      </w:rPr>
      <mc:AlternateContent>
        <mc:Choice Requires="wps">
          <w:drawing>
            <wp:anchor distT="0" distB="0" distL="114300" distR="114300" simplePos="0" relativeHeight="754977792" behindDoc="0" locked="0" layoutInCell="1" allowOverlap="1">
              <wp:simplePos x="0" y="0"/>
              <wp:positionH relativeFrom="margin">
                <wp:posOffset>8219440</wp:posOffset>
              </wp:positionH>
              <wp:positionV relativeFrom="paragraph">
                <wp:posOffset>-236220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微软雅黑"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47.2pt;margin-top:-18.6pt;height:144pt;width:144pt;mso-position-horizontal-relative:margin;mso-wrap-style:none;z-index:754977792;mso-width-relative:page;mso-height-relative:page;" filled="f" stroked="f" coordsize="21600,21600" o:gfxdata="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1SxNkAAAANAQAADwAA&#10;AAAAAAABACAAAAAiAAAAZHJzL2Rvd25yZXYueG1sUEsBAhQAFAAAAAgAh07iQCPLFPAVAgAAEwQA&#10;AA4AAAAAAAAAAQAgAAAAKAEAAGRycy9lMm9Eb2MueG1sUEsFBgAAAAAGAAYAWQEAAK8FAAAAAA==&#10;">
              <v:fill on="f" focussize="0,0"/>
              <v:stroke on="f" weight="0.5pt"/>
              <v:imagedata o:title=""/>
              <o:lock v:ext="edit" aspectratio="f"/>
              <v:textbox inset="0mm,0mm,0mm,0mm" style="mso-fit-shape-to-text:t;">
                <w:txbxContent>
                  <w:p>
                    <w:pPr>
                      <w:pStyle w:val="6"/>
                      <w:rPr>
                        <w:rFonts w:hint="default" w:ascii="Times New Roman" w:hAnsi="Times New Roman" w:eastAsia="微软雅黑"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r>
      <w:rPr>
        <w:lang w:val="en-US"/>
      </w:rPr>
      <mc:AlternateContent>
        <mc:Choice Requires="wps">
          <w:drawing>
            <wp:anchor distT="0" distB="0" distL="114300" distR="114300" simplePos="0" relativeHeight="754973696" behindDoc="0" locked="0" layoutInCell="1" allowOverlap="1">
              <wp:simplePos x="0" y="0"/>
              <wp:positionH relativeFrom="margin">
                <wp:align>right</wp:align>
              </wp:positionH>
              <wp:positionV relativeFrom="page">
                <wp:posOffset>9852025</wp:posOffset>
              </wp:positionV>
              <wp:extent cx="598170" cy="203835"/>
              <wp:effectExtent l="0" t="0" r="0" b="0"/>
              <wp:wrapNone/>
              <wp:docPr id="11" name="文本框 1025"/>
              <wp:cNvGraphicFramePr/>
              <a:graphic xmlns:a="http://schemas.openxmlformats.org/drawingml/2006/main">
                <a:graphicData uri="http://schemas.microsoft.com/office/word/2010/wordprocessingShape">
                  <wps:wsp>
                    <wps:cNvSpPr txBox="1"/>
                    <wps:spPr>
                      <a:xfrm>
                        <a:off x="0" y="0"/>
                        <a:ext cx="598170" cy="203835"/>
                      </a:xfrm>
                      <a:prstGeom prst="rect">
                        <a:avLst/>
                      </a:prstGeom>
                      <a:noFill/>
                      <a:ln>
                        <a:noFill/>
                      </a:ln>
                    </wps:spPr>
                    <wps:txbx>
                      <w:txbxContent>
                        <w:p>
                          <w:pPr>
                            <w:spacing w:line="321" w:lineRule="exact"/>
                            <w:ind w:left="20"/>
                            <w:rPr>
                              <w:rFonts w:hint="default" w:ascii="Times New Roman" w:hAnsi="Times New Roman" w:eastAsia="微软雅黑" w:cs="Times New Roman"/>
                              <w:sz w:val="28"/>
                              <w:szCs w:val="28"/>
                              <w:lang w:val="en-US" w:eastAsia="zh-CN"/>
                            </w:rPr>
                          </w:pPr>
                        </w:p>
                      </w:txbxContent>
                    </wps:txbx>
                    <wps:bodyPr lIns="0" tIns="0" rIns="0" bIns="0" upright="1"/>
                  </wps:wsp>
                </a:graphicData>
              </a:graphic>
            </wp:anchor>
          </w:drawing>
        </mc:Choice>
        <mc:Fallback>
          <w:pict>
            <v:shape id="文本框 1025" o:spid="_x0000_s1026" o:spt="202" type="#_x0000_t202" style="position:absolute;left:0pt;margin-top:775.75pt;height:16.05pt;width:47.1pt;mso-position-horizontal:right;mso-position-horizontal-relative:margin;mso-position-vertical-relative:page;z-index:754973696;mso-width-relative:page;mso-height-relative:page;" filled="f" stroked="f" coordsize="21600,21600" o:gfxdata="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qpLJtgAAAAJAQAADwAAAAAA&#10;AAABACAAAAAiAAAAZHJzL2Rvd25yZXYueG1sUEsBAhQAFAAAAAgAh07iQIvMexuhAQAAJwMAAA4A&#10;AAAAAAAAAQAgAAAAJwEAAGRycy9lMm9Eb2MueG1sUEsFBgAAAAAGAAYAWQEAADoFAAAAAA==&#10;">
              <v:fill on="f" focussize="0,0"/>
              <v:stroke on="f"/>
              <v:imagedata o:title=""/>
              <o:lock v:ext="edit" aspectratio="f"/>
              <v:textbox inset="0mm,0mm,0mm,0mm">
                <w:txbxContent>
                  <w:p>
                    <w:pPr>
                      <w:spacing w:line="321" w:lineRule="exact"/>
                      <w:ind w:left="20"/>
                      <w:rPr>
                        <w:rFonts w:hint="default" w:ascii="Times New Roman" w:hAnsi="Times New Roman" w:eastAsia="微软雅黑" w:cs="Times New Roman"/>
                        <w:sz w:val="28"/>
                        <w:szCs w:val="28"/>
                        <w:lang w:val="en-US"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30"/>
      </w:rPr>
      <mc:AlternateContent>
        <mc:Choice Requires="wps">
          <w:drawing>
            <wp:anchor distT="0" distB="0" distL="114300" distR="114300" simplePos="0" relativeHeight="1258298368" behindDoc="0" locked="0" layoutInCell="1" allowOverlap="1">
              <wp:simplePos x="0" y="0"/>
              <wp:positionH relativeFrom="margin">
                <wp:align>right</wp:align>
              </wp:positionH>
              <wp:positionV relativeFrom="paragraph">
                <wp:posOffset>-236220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微软雅黑"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6pt;height:144pt;width:144pt;mso-position-horizontal:right;mso-position-horizontal-relative:margin;mso-wrap-style:none;z-index:1258298368;mso-width-relative:page;mso-height-relative:page;" filled="f" stroked="f" coordsize="21600,21600" o:gfxdata="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oag7NYAAAAIAQAADwAAAAAA&#10;AAABACAAAAAiAAAAZHJzL2Rvd25yZXYueG1sUEsBAhQAFAAAAAgAh07iQI3F45UVAgAAFQQAAA4A&#10;AAAAAAAAAQAgAAAAJQEAAGRycy9lMm9Eb2MueG1sUEsFBgAAAAAGAAYAWQEAAKwFAAAAAA==&#10;">
              <v:fill on="f" focussize="0,0"/>
              <v:stroke on="f" weight="0.5pt"/>
              <v:imagedata o:title=""/>
              <o:lock v:ext="edit" aspectratio="f"/>
              <v:textbox inset="0mm,0mm,0mm,0mm" style="mso-fit-shape-to-text:t;">
                <w:txbxContent>
                  <w:p>
                    <w:pPr>
                      <w:pStyle w:val="6"/>
                      <w:rPr>
                        <w:rFonts w:hint="default" w:ascii="Times New Roman" w:hAnsi="Times New Roman" w:eastAsia="微软雅黑"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r>
      <w:rPr>
        <w:lang w:val="en-US"/>
      </w:rPr>
      <mc:AlternateContent>
        <mc:Choice Requires="wps">
          <w:drawing>
            <wp:anchor distT="0" distB="0" distL="114300" distR="114300" simplePos="0" relativeHeight="1258294272" behindDoc="0" locked="0" layoutInCell="1" allowOverlap="1">
              <wp:simplePos x="0" y="0"/>
              <wp:positionH relativeFrom="margin">
                <wp:align>right</wp:align>
              </wp:positionH>
              <wp:positionV relativeFrom="page">
                <wp:posOffset>9852025</wp:posOffset>
              </wp:positionV>
              <wp:extent cx="598170" cy="203835"/>
              <wp:effectExtent l="0" t="0" r="0" b="0"/>
              <wp:wrapNone/>
              <wp:docPr id="12" name="文本框 1025"/>
              <wp:cNvGraphicFramePr/>
              <a:graphic xmlns:a="http://schemas.openxmlformats.org/drawingml/2006/main">
                <a:graphicData uri="http://schemas.microsoft.com/office/word/2010/wordprocessingShape">
                  <wps:wsp>
                    <wps:cNvSpPr txBox="1"/>
                    <wps:spPr>
                      <a:xfrm>
                        <a:off x="0" y="0"/>
                        <a:ext cx="598170" cy="203835"/>
                      </a:xfrm>
                      <a:prstGeom prst="rect">
                        <a:avLst/>
                      </a:prstGeom>
                      <a:noFill/>
                      <a:ln>
                        <a:noFill/>
                      </a:ln>
                    </wps:spPr>
                    <wps:txbx>
                      <w:txbxContent>
                        <w:p>
                          <w:pPr>
                            <w:spacing w:line="321" w:lineRule="exact"/>
                            <w:ind w:left="20"/>
                            <w:rPr>
                              <w:rFonts w:hint="default" w:ascii="Times New Roman" w:hAnsi="Times New Roman" w:eastAsia="微软雅黑" w:cs="Times New Roman"/>
                              <w:sz w:val="28"/>
                              <w:szCs w:val="28"/>
                              <w:lang w:val="en-US" w:eastAsia="zh-CN"/>
                            </w:rPr>
                          </w:pPr>
                        </w:p>
                      </w:txbxContent>
                    </wps:txbx>
                    <wps:bodyPr lIns="0" tIns="0" rIns="0" bIns="0" upright="1"/>
                  </wps:wsp>
                </a:graphicData>
              </a:graphic>
            </wp:anchor>
          </w:drawing>
        </mc:Choice>
        <mc:Fallback>
          <w:pict>
            <v:shape id="文本框 1025" o:spid="_x0000_s1026" o:spt="202" type="#_x0000_t202" style="position:absolute;left:0pt;margin-top:775.75pt;height:16.05pt;width:47.1pt;mso-position-horizontal:right;mso-position-horizontal-relative:margin;mso-position-vertical-relative:page;z-index:1258294272;mso-width-relative:page;mso-height-relative:page;" filled="f" stroked="f" coordsize="21600,21600" o:gfxdata="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qpLJtgAAAAJAQAADwAAAAAA&#10;AAABACAAAAAiAAAAZHJzL2Rvd25yZXYueG1sUEsBAhQAFAAAAAgAh07iQF+rgOChAQAAJwMAAA4A&#10;AAAAAAAAAQAgAAAAJwEAAGRycy9lMm9Eb2MueG1sUEsFBgAAAAAGAAYAWQEAADoFAAAAAA==&#10;">
              <v:fill on="f" focussize="0,0"/>
              <v:stroke on="f"/>
              <v:imagedata o:title=""/>
              <o:lock v:ext="edit" aspectratio="f"/>
              <v:textbox inset="0mm,0mm,0mm,0mm">
                <w:txbxContent>
                  <w:p>
                    <w:pPr>
                      <w:spacing w:line="321" w:lineRule="exact"/>
                      <w:ind w:left="20"/>
                      <w:rPr>
                        <w:rFonts w:hint="default" w:ascii="Times New Roman" w:hAnsi="Times New Roman" w:eastAsia="微软雅黑" w:cs="Times New Roman"/>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drawingGridHorizontalSpacing w:val="110"/>
  <w:drawingGridVerticalSpacing w:val="159"/>
  <w:displayHorizontalDrawingGridEvery w:val="1"/>
  <w:displayVerticalDrawingGridEvery w:val="2"/>
  <w:noPunctuationKerning w:val="1"/>
  <w:characterSpacingControl w:val="doNotCompress"/>
  <w:noLineBreaksAfter w:lang="zh-CN" w:val="$([{£¥·‘“〈《「『【〔〖〝﹙﹛﹝＄（．［｛￡￥"/>
  <w:noLineBreaksBefore w:lang="zh-CN" w:val="!%),.:;&gt;?]}¢¨°·ˇˉ―‖’”…‰′″›℃∶、。〃〉》」』】〕〗〞︶︺︾﹀﹄﹚﹜﹞！＂％＇），．：；？］｀｜｝～￠"/>
  <w:hdrShapeDefaults>
    <o:shapelayout v:ext="edit">
      <o:idmap v:ext="edit" data="3,4"/>
    </o:shapelayout>
  </w:hdrShapeDefaults>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1DBC"/>
    <w:rsid w:val="00027986"/>
    <w:rsid w:val="00037F29"/>
    <w:rsid w:val="000479FF"/>
    <w:rsid w:val="00055E0D"/>
    <w:rsid w:val="00067978"/>
    <w:rsid w:val="00067D9D"/>
    <w:rsid w:val="0007124F"/>
    <w:rsid w:val="0007468A"/>
    <w:rsid w:val="00076A14"/>
    <w:rsid w:val="0007729C"/>
    <w:rsid w:val="00082AF6"/>
    <w:rsid w:val="000901A8"/>
    <w:rsid w:val="000A06D4"/>
    <w:rsid w:val="000D1266"/>
    <w:rsid w:val="000D4630"/>
    <w:rsid w:val="000E7DC7"/>
    <w:rsid w:val="000F0D23"/>
    <w:rsid w:val="001417D1"/>
    <w:rsid w:val="00151D2F"/>
    <w:rsid w:val="00152ABC"/>
    <w:rsid w:val="00153943"/>
    <w:rsid w:val="00163BE1"/>
    <w:rsid w:val="001A58AD"/>
    <w:rsid w:val="001C004D"/>
    <w:rsid w:val="001D0CD1"/>
    <w:rsid w:val="001F1DC4"/>
    <w:rsid w:val="001F437D"/>
    <w:rsid w:val="001F68D7"/>
    <w:rsid w:val="00202123"/>
    <w:rsid w:val="00202F2D"/>
    <w:rsid w:val="0020404E"/>
    <w:rsid w:val="00207969"/>
    <w:rsid w:val="0021051B"/>
    <w:rsid w:val="0021128B"/>
    <w:rsid w:val="00213633"/>
    <w:rsid w:val="0022316C"/>
    <w:rsid w:val="002346B0"/>
    <w:rsid w:val="00236804"/>
    <w:rsid w:val="002606A2"/>
    <w:rsid w:val="00264403"/>
    <w:rsid w:val="00270ABA"/>
    <w:rsid w:val="002740FF"/>
    <w:rsid w:val="00284644"/>
    <w:rsid w:val="00290494"/>
    <w:rsid w:val="0029574E"/>
    <w:rsid w:val="002A76B6"/>
    <w:rsid w:val="002B4443"/>
    <w:rsid w:val="002C08D3"/>
    <w:rsid w:val="002C1A82"/>
    <w:rsid w:val="002D22E0"/>
    <w:rsid w:val="002D2C49"/>
    <w:rsid w:val="002D3193"/>
    <w:rsid w:val="002F43FC"/>
    <w:rsid w:val="00312D6B"/>
    <w:rsid w:val="00314857"/>
    <w:rsid w:val="003174E8"/>
    <w:rsid w:val="00323B43"/>
    <w:rsid w:val="00326F27"/>
    <w:rsid w:val="00335127"/>
    <w:rsid w:val="00345CFB"/>
    <w:rsid w:val="00350C9E"/>
    <w:rsid w:val="00356284"/>
    <w:rsid w:val="00356515"/>
    <w:rsid w:val="0037216C"/>
    <w:rsid w:val="00395D8C"/>
    <w:rsid w:val="003A5E61"/>
    <w:rsid w:val="003B1EDB"/>
    <w:rsid w:val="003C16F6"/>
    <w:rsid w:val="003D1439"/>
    <w:rsid w:val="003D265F"/>
    <w:rsid w:val="003D338D"/>
    <w:rsid w:val="003D37D8"/>
    <w:rsid w:val="003D46D4"/>
    <w:rsid w:val="003E5838"/>
    <w:rsid w:val="003F7EE5"/>
    <w:rsid w:val="004037F6"/>
    <w:rsid w:val="00406A7F"/>
    <w:rsid w:val="00410815"/>
    <w:rsid w:val="00420185"/>
    <w:rsid w:val="00426133"/>
    <w:rsid w:val="0043322E"/>
    <w:rsid w:val="004358AB"/>
    <w:rsid w:val="00446054"/>
    <w:rsid w:val="004462AF"/>
    <w:rsid w:val="00460EE1"/>
    <w:rsid w:val="00462B56"/>
    <w:rsid w:val="00462F44"/>
    <w:rsid w:val="004A5C54"/>
    <w:rsid w:val="004A62BD"/>
    <w:rsid w:val="004C124F"/>
    <w:rsid w:val="004C1C45"/>
    <w:rsid w:val="004D1C8C"/>
    <w:rsid w:val="004F39D7"/>
    <w:rsid w:val="005128C1"/>
    <w:rsid w:val="00514CBD"/>
    <w:rsid w:val="00536686"/>
    <w:rsid w:val="00550B38"/>
    <w:rsid w:val="005522E6"/>
    <w:rsid w:val="00557EB1"/>
    <w:rsid w:val="00561014"/>
    <w:rsid w:val="00561BCC"/>
    <w:rsid w:val="005736F3"/>
    <w:rsid w:val="005756FE"/>
    <w:rsid w:val="00575724"/>
    <w:rsid w:val="005805D4"/>
    <w:rsid w:val="005933C0"/>
    <w:rsid w:val="005A1A08"/>
    <w:rsid w:val="005A7736"/>
    <w:rsid w:val="006161A2"/>
    <w:rsid w:val="00617794"/>
    <w:rsid w:val="0062024E"/>
    <w:rsid w:val="00624B19"/>
    <w:rsid w:val="00624EBC"/>
    <w:rsid w:val="00625AE8"/>
    <w:rsid w:val="00630BC0"/>
    <w:rsid w:val="00637238"/>
    <w:rsid w:val="00640902"/>
    <w:rsid w:val="00652638"/>
    <w:rsid w:val="00653AA0"/>
    <w:rsid w:val="00657300"/>
    <w:rsid w:val="006671E3"/>
    <w:rsid w:val="006A1150"/>
    <w:rsid w:val="006A7A1A"/>
    <w:rsid w:val="006B1B44"/>
    <w:rsid w:val="006B59AE"/>
    <w:rsid w:val="006B7293"/>
    <w:rsid w:val="006C164D"/>
    <w:rsid w:val="006D6476"/>
    <w:rsid w:val="006E264F"/>
    <w:rsid w:val="00701483"/>
    <w:rsid w:val="00715BBF"/>
    <w:rsid w:val="00717A90"/>
    <w:rsid w:val="00724470"/>
    <w:rsid w:val="007326D6"/>
    <w:rsid w:val="00735942"/>
    <w:rsid w:val="007364AC"/>
    <w:rsid w:val="00751CC5"/>
    <w:rsid w:val="007538C3"/>
    <w:rsid w:val="00777AF6"/>
    <w:rsid w:val="0078232E"/>
    <w:rsid w:val="0078516C"/>
    <w:rsid w:val="00793DD2"/>
    <w:rsid w:val="00794E55"/>
    <w:rsid w:val="00797D22"/>
    <w:rsid w:val="007A4B23"/>
    <w:rsid w:val="007D180F"/>
    <w:rsid w:val="008020EA"/>
    <w:rsid w:val="00802921"/>
    <w:rsid w:val="0081110D"/>
    <w:rsid w:val="008114D4"/>
    <w:rsid w:val="00824CD9"/>
    <w:rsid w:val="00825AC0"/>
    <w:rsid w:val="00832ED2"/>
    <w:rsid w:val="00841123"/>
    <w:rsid w:val="008649CD"/>
    <w:rsid w:val="00870526"/>
    <w:rsid w:val="008740FD"/>
    <w:rsid w:val="00892052"/>
    <w:rsid w:val="008B2450"/>
    <w:rsid w:val="008B7470"/>
    <w:rsid w:val="008B7726"/>
    <w:rsid w:val="008D2D81"/>
    <w:rsid w:val="008D462F"/>
    <w:rsid w:val="008F4582"/>
    <w:rsid w:val="009075FD"/>
    <w:rsid w:val="00910F0B"/>
    <w:rsid w:val="0091150D"/>
    <w:rsid w:val="0091332B"/>
    <w:rsid w:val="00922452"/>
    <w:rsid w:val="00960DDC"/>
    <w:rsid w:val="00973D30"/>
    <w:rsid w:val="00987ECB"/>
    <w:rsid w:val="00990079"/>
    <w:rsid w:val="0099095E"/>
    <w:rsid w:val="009A7DC1"/>
    <w:rsid w:val="009C1F47"/>
    <w:rsid w:val="009C293F"/>
    <w:rsid w:val="009C2E63"/>
    <w:rsid w:val="009C3663"/>
    <w:rsid w:val="009D77E8"/>
    <w:rsid w:val="009E143E"/>
    <w:rsid w:val="009F18B2"/>
    <w:rsid w:val="009F21EA"/>
    <w:rsid w:val="009F3320"/>
    <w:rsid w:val="00A47BFA"/>
    <w:rsid w:val="00A60D44"/>
    <w:rsid w:val="00A7315A"/>
    <w:rsid w:val="00A7485C"/>
    <w:rsid w:val="00A769C5"/>
    <w:rsid w:val="00A9242F"/>
    <w:rsid w:val="00A935A2"/>
    <w:rsid w:val="00AA3B23"/>
    <w:rsid w:val="00AA61F3"/>
    <w:rsid w:val="00AB64E1"/>
    <w:rsid w:val="00AB6560"/>
    <w:rsid w:val="00AC519C"/>
    <w:rsid w:val="00AC580E"/>
    <w:rsid w:val="00AE702B"/>
    <w:rsid w:val="00AE7F8B"/>
    <w:rsid w:val="00AF3824"/>
    <w:rsid w:val="00AF4F97"/>
    <w:rsid w:val="00B04FD4"/>
    <w:rsid w:val="00B1372B"/>
    <w:rsid w:val="00B2133D"/>
    <w:rsid w:val="00B40EF0"/>
    <w:rsid w:val="00B5331C"/>
    <w:rsid w:val="00B57DB6"/>
    <w:rsid w:val="00B840A5"/>
    <w:rsid w:val="00B9057B"/>
    <w:rsid w:val="00B96F34"/>
    <w:rsid w:val="00BA696B"/>
    <w:rsid w:val="00BC3B68"/>
    <w:rsid w:val="00BC5E72"/>
    <w:rsid w:val="00BE0FFE"/>
    <w:rsid w:val="00BE4CF7"/>
    <w:rsid w:val="00BE7C4D"/>
    <w:rsid w:val="00BF7A27"/>
    <w:rsid w:val="00C07AFD"/>
    <w:rsid w:val="00C13B04"/>
    <w:rsid w:val="00C15687"/>
    <w:rsid w:val="00C20F7C"/>
    <w:rsid w:val="00C21B6C"/>
    <w:rsid w:val="00C21DA3"/>
    <w:rsid w:val="00C25189"/>
    <w:rsid w:val="00C255C7"/>
    <w:rsid w:val="00C37F43"/>
    <w:rsid w:val="00C600A0"/>
    <w:rsid w:val="00C6348E"/>
    <w:rsid w:val="00C7427D"/>
    <w:rsid w:val="00C834FB"/>
    <w:rsid w:val="00C90F94"/>
    <w:rsid w:val="00C91083"/>
    <w:rsid w:val="00CB3277"/>
    <w:rsid w:val="00CC0496"/>
    <w:rsid w:val="00CC1CDC"/>
    <w:rsid w:val="00CC49A5"/>
    <w:rsid w:val="00CF15F4"/>
    <w:rsid w:val="00CF33D4"/>
    <w:rsid w:val="00CF597F"/>
    <w:rsid w:val="00CF77DC"/>
    <w:rsid w:val="00D11FE3"/>
    <w:rsid w:val="00D145C9"/>
    <w:rsid w:val="00D26987"/>
    <w:rsid w:val="00D30B84"/>
    <w:rsid w:val="00D31D50"/>
    <w:rsid w:val="00D3559C"/>
    <w:rsid w:val="00D357F8"/>
    <w:rsid w:val="00D47B36"/>
    <w:rsid w:val="00D559D8"/>
    <w:rsid w:val="00D57205"/>
    <w:rsid w:val="00D57E89"/>
    <w:rsid w:val="00D6116D"/>
    <w:rsid w:val="00D91CF9"/>
    <w:rsid w:val="00DB5E2C"/>
    <w:rsid w:val="00DC234B"/>
    <w:rsid w:val="00DC67CE"/>
    <w:rsid w:val="00DD5BAD"/>
    <w:rsid w:val="00DE5F42"/>
    <w:rsid w:val="00DE73FE"/>
    <w:rsid w:val="00DF6759"/>
    <w:rsid w:val="00E0196B"/>
    <w:rsid w:val="00E05FFF"/>
    <w:rsid w:val="00E062B9"/>
    <w:rsid w:val="00E14C24"/>
    <w:rsid w:val="00E32538"/>
    <w:rsid w:val="00E36DE1"/>
    <w:rsid w:val="00E54654"/>
    <w:rsid w:val="00E602DB"/>
    <w:rsid w:val="00E67A4E"/>
    <w:rsid w:val="00E73BA1"/>
    <w:rsid w:val="00E76E16"/>
    <w:rsid w:val="00E9289F"/>
    <w:rsid w:val="00E94466"/>
    <w:rsid w:val="00E95B5F"/>
    <w:rsid w:val="00EA29DD"/>
    <w:rsid w:val="00EA377D"/>
    <w:rsid w:val="00EA4554"/>
    <w:rsid w:val="00EA70AD"/>
    <w:rsid w:val="00EB0E03"/>
    <w:rsid w:val="00EB615A"/>
    <w:rsid w:val="00ED12BF"/>
    <w:rsid w:val="00ED2253"/>
    <w:rsid w:val="00ED2278"/>
    <w:rsid w:val="00EE5721"/>
    <w:rsid w:val="00EE62CD"/>
    <w:rsid w:val="00EF5A54"/>
    <w:rsid w:val="00F13179"/>
    <w:rsid w:val="00F1448E"/>
    <w:rsid w:val="00F17A03"/>
    <w:rsid w:val="00F21359"/>
    <w:rsid w:val="00F32832"/>
    <w:rsid w:val="00F32F03"/>
    <w:rsid w:val="00F47172"/>
    <w:rsid w:val="00F53611"/>
    <w:rsid w:val="00F565D3"/>
    <w:rsid w:val="00F61E79"/>
    <w:rsid w:val="00F62046"/>
    <w:rsid w:val="00F737DE"/>
    <w:rsid w:val="00F75346"/>
    <w:rsid w:val="00F8024C"/>
    <w:rsid w:val="00F82696"/>
    <w:rsid w:val="00F8540C"/>
    <w:rsid w:val="00F87C9F"/>
    <w:rsid w:val="00FA4B6C"/>
    <w:rsid w:val="00FB45E9"/>
    <w:rsid w:val="00FB4CFA"/>
    <w:rsid w:val="00FC11C5"/>
    <w:rsid w:val="00FD1E4C"/>
    <w:rsid w:val="00FE5605"/>
    <w:rsid w:val="00FF0E7C"/>
    <w:rsid w:val="00FF283F"/>
    <w:rsid w:val="02146CBF"/>
    <w:rsid w:val="067D7C7C"/>
    <w:rsid w:val="08E70A52"/>
    <w:rsid w:val="09EA205A"/>
    <w:rsid w:val="0DA36BDC"/>
    <w:rsid w:val="0F4D588D"/>
    <w:rsid w:val="10A73EBB"/>
    <w:rsid w:val="118A07A0"/>
    <w:rsid w:val="131E0627"/>
    <w:rsid w:val="13550837"/>
    <w:rsid w:val="14F40ED1"/>
    <w:rsid w:val="15B465D1"/>
    <w:rsid w:val="16837BB7"/>
    <w:rsid w:val="17BE7449"/>
    <w:rsid w:val="17D27FDF"/>
    <w:rsid w:val="18185C2C"/>
    <w:rsid w:val="183C5FE0"/>
    <w:rsid w:val="19E22E3B"/>
    <w:rsid w:val="19E85E61"/>
    <w:rsid w:val="1AC846E8"/>
    <w:rsid w:val="1DFD4497"/>
    <w:rsid w:val="1FC407D0"/>
    <w:rsid w:val="2137330C"/>
    <w:rsid w:val="21387A68"/>
    <w:rsid w:val="22257608"/>
    <w:rsid w:val="22563447"/>
    <w:rsid w:val="254C136E"/>
    <w:rsid w:val="256948AF"/>
    <w:rsid w:val="25EE0C0E"/>
    <w:rsid w:val="26521758"/>
    <w:rsid w:val="27AB7B1C"/>
    <w:rsid w:val="28522D8E"/>
    <w:rsid w:val="29EA2760"/>
    <w:rsid w:val="2B7F0C4C"/>
    <w:rsid w:val="2BB7102C"/>
    <w:rsid w:val="2C9C0111"/>
    <w:rsid w:val="2E2C123B"/>
    <w:rsid w:val="2E611E16"/>
    <w:rsid w:val="2ED6718A"/>
    <w:rsid w:val="37197F49"/>
    <w:rsid w:val="399E556E"/>
    <w:rsid w:val="3AFD2FB5"/>
    <w:rsid w:val="3C480018"/>
    <w:rsid w:val="3C7A48B0"/>
    <w:rsid w:val="3D494AEF"/>
    <w:rsid w:val="44874CA5"/>
    <w:rsid w:val="46694C29"/>
    <w:rsid w:val="46BC1AD0"/>
    <w:rsid w:val="49D35176"/>
    <w:rsid w:val="49D818E5"/>
    <w:rsid w:val="4C992647"/>
    <w:rsid w:val="4F2A0052"/>
    <w:rsid w:val="51D75181"/>
    <w:rsid w:val="539A424C"/>
    <w:rsid w:val="548D2293"/>
    <w:rsid w:val="57921A49"/>
    <w:rsid w:val="582649C8"/>
    <w:rsid w:val="5A0E1CF6"/>
    <w:rsid w:val="5A1448D4"/>
    <w:rsid w:val="5A6E7CE1"/>
    <w:rsid w:val="5B0C6B6A"/>
    <w:rsid w:val="5BC432B6"/>
    <w:rsid w:val="5D4B56CC"/>
    <w:rsid w:val="5D751818"/>
    <w:rsid w:val="5E5C6F86"/>
    <w:rsid w:val="5EB5583B"/>
    <w:rsid w:val="61915D93"/>
    <w:rsid w:val="66E72D2D"/>
    <w:rsid w:val="68DE7888"/>
    <w:rsid w:val="693B2125"/>
    <w:rsid w:val="69574EEB"/>
    <w:rsid w:val="6C434815"/>
    <w:rsid w:val="6D671F25"/>
    <w:rsid w:val="6ECA0059"/>
    <w:rsid w:val="772F714B"/>
    <w:rsid w:val="79D759D5"/>
    <w:rsid w:val="7B08517F"/>
    <w:rsid w:val="7CC66875"/>
    <w:rsid w:val="7CD1041C"/>
    <w:rsid w:val="7DF97E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16"/>
    <w:qFormat/>
    <w:locked/>
    <w:uiPriority w:val="99"/>
    <w:pPr>
      <w:keepNext/>
      <w:keepLines/>
      <w:pBdr>
        <w:left w:val="single" w:color="ED7D31" w:sz="12" w:space="12"/>
      </w:pBdr>
      <w:spacing w:before="80" w:after="80"/>
      <w:outlineLvl w:val="0"/>
    </w:pPr>
    <w:rPr>
      <w:rFonts w:ascii="Calibri Light" w:hAnsi="Calibri Light" w:eastAsia="等线 Light"/>
      <w:caps/>
      <w:spacing w:val="1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qFormat/>
    <w:uiPriority w:val="99"/>
    <w:pPr>
      <w:widowControl w:val="0"/>
      <w:adjustRightInd/>
      <w:snapToGrid/>
      <w:spacing w:after="0"/>
      <w:jc w:val="both"/>
    </w:pPr>
    <w:rPr>
      <w:rFonts w:ascii="宋体" w:hAnsi="Times New Roman" w:eastAsia="宋体"/>
      <w:sz w:val="18"/>
      <w:szCs w:val="20"/>
    </w:rPr>
  </w:style>
  <w:style w:type="paragraph" w:styleId="4">
    <w:name w:val="Body Text"/>
    <w:basedOn w:val="1"/>
    <w:link w:val="18"/>
    <w:qFormat/>
    <w:uiPriority w:val="99"/>
    <w:pPr>
      <w:widowControl w:val="0"/>
      <w:autoSpaceDE w:val="0"/>
      <w:autoSpaceDN w:val="0"/>
      <w:adjustRightInd/>
      <w:snapToGrid/>
      <w:spacing w:after="0"/>
      <w:ind w:left="271"/>
    </w:pPr>
    <w:rPr>
      <w:rFonts w:ascii="仿宋" w:hAnsi="仿宋" w:eastAsia="仿宋" w:cs="仿宋"/>
      <w:sz w:val="30"/>
      <w:szCs w:val="30"/>
      <w:lang w:val="zh-CN"/>
    </w:rPr>
  </w:style>
  <w:style w:type="paragraph" w:styleId="5">
    <w:name w:val="Balloon Text"/>
    <w:basedOn w:val="1"/>
    <w:link w:val="26"/>
    <w:semiHidden/>
    <w:qFormat/>
    <w:uiPriority w:val="99"/>
    <w:rPr>
      <w:sz w:val="18"/>
      <w:szCs w:val="18"/>
    </w:rPr>
  </w:style>
  <w:style w:type="paragraph" w:styleId="6">
    <w:name w:val="footer"/>
    <w:basedOn w:val="1"/>
    <w:link w:val="19"/>
    <w:semiHidden/>
    <w:qFormat/>
    <w:uiPriority w:val="99"/>
    <w:pPr>
      <w:tabs>
        <w:tab w:val="center" w:pos="4153"/>
        <w:tab w:val="right" w:pos="8306"/>
      </w:tabs>
    </w:pPr>
    <w:rPr>
      <w:sz w:val="18"/>
      <w:szCs w:val="18"/>
    </w:rPr>
  </w:style>
  <w:style w:type="paragraph" w:styleId="7">
    <w:name w:val="header"/>
    <w:basedOn w:val="1"/>
    <w:link w:val="20"/>
    <w:semiHidden/>
    <w:qFormat/>
    <w:uiPriority w:val="99"/>
    <w:pPr>
      <w:pBdr>
        <w:bottom w:val="single" w:color="auto" w:sz="6" w:space="1"/>
      </w:pBdr>
      <w:tabs>
        <w:tab w:val="center" w:pos="4153"/>
        <w:tab w:val="right" w:pos="8306"/>
      </w:tabs>
      <w:jc w:val="center"/>
    </w:pPr>
    <w:rPr>
      <w:sz w:val="18"/>
      <w:szCs w:val="18"/>
    </w:rPr>
  </w:style>
  <w:style w:type="paragraph" w:styleId="8">
    <w:name w:val="toc 1"/>
    <w:basedOn w:val="1"/>
    <w:next w:val="1"/>
    <w:qFormat/>
    <w:locked/>
    <w:uiPriority w:val="99"/>
    <w:pPr>
      <w:tabs>
        <w:tab w:val="right" w:leader="dot" w:pos="8636"/>
      </w:tabs>
      <w:spacing w:after="160" w:line="312" w:lineRule="auto"/>
    </w:pPr>
    <w:rPr>
      <w:rFonts w:ascii="黑体" w:hAnsi="黑体" w:eastAsia="黑体" w:cs="方正小标宋简体"/>
      <w:bCs/>
    </w:rPr>
  </w:style>
  <w:style w:type="paragraph" w:styleId="9">
    <w:name w:val="toc 2"/>
    <w:basedOn w:val="1"/>
    <w:next w:val="1"/>
    <w:qFormat/>
    <w:locked/>
    <w:uiPriority w:val="99"/>
    <w:pPr>
      <w:ind w:left="420" w:leftChars="200"/>
    </w:pPr>
  </w:style>
  <w:style w:type="paragraph" w:styleId="10">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13">
    <w:name w:val="Strong"/>
    <w:basedOn w:val="12"/>
    <w:qFormat/>
    <w:uiPriority w:val="99"/>
    <w:rPr>
      <w:rFonts w:cs="Times New Roman"/>
      <w:b/>
      <w:bCs/>
    </w:rPr>
  </w:style>
  <w:style w:type="character" w:styleId="14">
    <w:name w:val="page number"/>
    <w:basedOn w:val="12"/>
    <w:qFormat/>
    <w:uiPriority w:val="0"/>
  </w:style>
  <w:style w:type="character" w:styleId="15">
    <w:name w:val="Hyperlink"/>
    <w:basedOn w:val="12"/>
    <w:qFormat/>
    <w:uiPriority w:val="99"/>
    <w:rPr>
      <w:rFonts w:cs="Times New Roman"/>
      <w:color w:val="0000FF"/>
      <w:u w:val="single"/>
    </w:rPr>
  </w:style>
  <w:style w:type="character" w:customStyle="1" w:styleId="16">
    <w:name w:val="标题 1 Char"/>
    <w:basedOn w:val="12"/>
    <w:link w:val="2"/>
    <w:qFormat/>
    <w:locked/>
    <w:uiPriority w:val="99"/>
    <w:rPr>
      <w:rFonts w:ascii="Tahoma" w:hAnsi="Tahoma" w:eastAsia="微软雅黑" w:cs="Times New Roman"/>
      <w:b/>
      <w:bCs/>
      <w:kern w:val="44"/>
      <w:sz w:val="44"/>
      <w:szCs w:val="44"/>
    </w:rPr>
  </w:style>
  <w:style w:type="character" w:customStyle="1" w:styleId="17">
    <w:name w:val="文档结构图 Char1"/>
    <w:basedOn w:val="12"/>
    <w:link w:val="3"/>
    <w:semiHidden/>
    <w:qFormat/>
    <w:locked/>
    <w:uiPriority w:val="99"/>
    <w:rPr>
      <w:rFonts w:ascii="Times New Roman" w:hAnsi="Times New Roman" w:cs="Times New Roman"/>
      <w:kern w:val="0"/>
      <w:sz w:val="2"/>
    </w:rPr>
  </w:style>
  <w:style w:type="character" w:customStyle="1" w:styleId="18">
    <w:name w:val="正文文本 Char"/>
    <w:basedOn w:val="12"/>
    <w:link w:val="4"/>
    <w:qFormat/>
    <w:locked/>
    <w:uiPriority w:val="99"/>
    <w:rPr>
      <w:rFonts w:ascii="仿宋" w:hAnsi="仿宋" w:eastAsia="仿宋" w:cs="仿宋"/>
      <w:sz w:val="30"/>
      <w:szCs w:val="30"/>
      <w:lang w:val="zh-CN"/>
    </w:rPr>
  </w:style>
  <w:style w:type="character" w:customStyle="1" w:styleId="19">
    <w:name w:val="页脚 Char"/>
    <w:basedOn w:val="12"/>
    <w:link w:val="6"/>
    <w:semiHidden/>
    <w:qFormat/>
    <w:locked/>
    <w:uiPriority w:val="99"/>
    <w:rPr>
      <w:rFonts w:ascii="Tahoma" w:hAnsi="Tahoma" w:cs="Times New Roman"/>
      <w:sz w:val="18"/>
      <w:szCs w:val="18"/>
    </w:rPr>
  </w:style>
  <w:style w:type="character" w:customStyle="1" w:styleId="20">
    <w:name w:val="页眉 Char"/>
    <w:basedOn w:val="12"/>
    <w:link w:val="7"/>
    <w:semiHidden/>
    <w:qFormat/>
    <w:locked/>
    <w:uiPriority w:val="99"/>
    <w:rPr>
      <w:rFonts w:ascii="Tahoma" w:hAnsi="Tahoma" w:cs="Times New Roman"/>
      <w:sz w:val="18"/>
      <w:szCs w:val="18"/>
    </w:rPr>
  </w:style>
  <w:style w:type="character" w:customStyle="1" w:styleId="21">
    <w:name w:val="新A4正文 Char"/>
    <w:link w:val="22"/>
    <w:qFormat/>
    <w:locked/>
    <w:uiPriority w:val="99"/>
    <w:rPr>
      <w:spacing w:val="12"/>
      <w:sz w:val="32"/>
    </w:rPr>
  </w:style>
  <w:style w:type="paragraph" w:customStyle="1" w:styleId="22">
    <w:name w:val="新A4正文"/>
    <w:basedOn w:val="1"/>
    <w:link w:val="21"/>
    <w:qFormat/>
    <w:uiPriority w:val="99"/>
    <w:pPr>
      <w:widowControl w:val="0"/>
      <w:adjustRightInd/>
      <w:snapToGrid/>
      <w:spacing w:after="0"/>
      <w:ind w:firstLine="698" w:firstLineChars="133"/>
      <w:jc w:val="both"/>
    </w:pPr>
    <w:rPr>
      <w:rFonts w:ascii="Times New Roman" w:hAnsi="Times New Roman" w:eastAsia="宋体"/>
      <w:spacing w:val="12"/>
      <w:sz w:val="32"/>
      <w:szCs w:val="20"/>
    </w:rPr>
  </w:style>
  <w:style w:type="character" w:customStyle="1" w:styleId="23">
    <w:name w:val="文档结构图 Char"/>
    <w:semiHidden/>
    <w:qFormat/>
    <w:locked/>
    <w:uiPriority w:val="99"/>
    <w:rPr>
      <w:rFonts w:ascii="宋体" w:eastAsia="宋体"/>
      <w:sz w:val="18"/>
    </w:rPr>
  </w:style>
  <w:style w:type="paragraph" w:customStyle="1" w:styleId="24">
    <w:name w:val="_Style 2"/>
    <w:basedOn w:val="2"/>
    <w:next w:val="1"/>
    <w:semiHidden/>
    <w:qFormat/>
    <w:uiPriority w:val="99"/>
    <w:pPr>
      <w:widowControl w:val="0"/>
      <w:pBdr>
        <w:left w:val="none" w:color="auto" w:sz="0" w:space="0"/>
      </w:pBdr>
      <w:spacing w:before="340" w:after="330" w:line="578" w:lineRule="auto"/>
      <w:jc w:val="both"/>
      <w:outlineLvl w:val="9"/>
    </w:pPr>
    <w:rPr>
      <w:rFonts w:ascii="Times New Roman" w:hAnsi="Times New Roman" w:eastAsia="宋体"/>
      <w:b/>
      <w:bCs/>
      <w:caps w:val="0"/>
      <w:spacing w:val="0"/>
      <w:kern w:val="44"/>
      <w:sz w:val="44"/>
      <w:szCs w:val="44"/>
    </w:rPr>
  </w:style>
  <w:style w:type="character" w:customStyle="1" w:styleId="25">
    <w:name w:val="Char Char5"/>
    <w:qFormat/>
    <w:locked/>
    <w:uiPriority w:val="99"/>
    <w:rPr>
      <w:rFonts w:eastAsia="宋体"/>
      <w:kern w:val="2"/>
      <w:sz w:val="18"/>
      <w:lang w:val="en-US" w:eastAsia="zh-CN"/>
    </w:rPr>
  </w:style>
  <w:style w:type="character" w:customStyle="1" w:styleId="26">
    <w:name w:val="批注框文本 Char"/>
    <w:basedOn w:val="12"/>
    <w:link w:val="5"/>
    <w:semiHidden/>
    <w:qFormat/>
    <w:locked/>
    <w:uiPriority w:val="99"/>
    <w:rPr>
      <w:rFonts w:ascii="Tahoma" w:hAnsi="Tahoma" w:eastAsia="微软雅黑" w:cs="Times New Roman"/>
      <w:kern w:val="0"/>
      <w:sz w:val="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04161-C553-4712-936B-45812D8E026F}">
  <ds:schemaRefs/>
</ds:datastoreItem>
</file>

<file path=docProps/app.xml><?xml version="1.0" encoding="utf-8"?>
<Properties xmlns="http://schemas.openxmlformats.org/officeDocument/2006/extended-properties" xmlns:vt="http://schemas.openxmlformats.org/officeDocument/2006/docPropsVTypes">
  <Template>Normal.dotm</Template>
  <Company>hb</Company>
  <Pages>11</Pages>
  <Words>1002</Words>
  <Characters>5717</Characters>
  <Lines>47</Lines>
  <Paragraphs>13</Paragraphs>
  <TotalTime>2</TotalTime>
  <ScaleCrop>false</ScaleCrop>
  <LinksUpToDate>false</LinksUpToDate>
  <CharactersWithSpaces>6706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2018-06-20T06:48:00Z</dcterms:created>
  <dc:creator>Administrator</dc:creator>
  <cp:lastModifiedBy>三皮</cp:lastModifiedBy>
  <cp:lastPrinted>2019-10-29T04:02:00Z</cp:lastPrinted>
  <dcterms:modified xsi:type="dcterms:W3CDTF">2019-11-08T10:04:23Z</dcterms:modified>
  <dc:title>川政字〔2019〕 号</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