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sz w:val="32"/>
          <w:szCs w:val="32"/>
        </w:rPr>
      </w:pPr>
      <w:r>
        <w:rPr>
          <w:rStyle w:val="5"/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3F3F3"/>
        </w:rPr>
        <w:t>淄川区人民政府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sz w:val="32"/>
          <w:szCs w:val="32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3F3F3"/>
        </w:rPr>
        <w:t>关于《淄博市淄川区太河镇下端士村村庄规划(2021-2035年)》的批复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3F3F3"/>
        </w:rPr>
        <w:t>川政字〔2023〕61号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太河镇人民政府: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你镇报来的《关于报批〈淄博市淄川区太河镇下端士村村庄规划(2021-2035年)〉的请示》(太政发[2023]154号)及规划成果收悉。经研究，原则同意请示内容，望你单位认真组织实施，依法建立长效管理机制，确保规划的严肃性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此复。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textAlignment w:val="auto"/>
        <w:rPr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淄川区人民政府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textAlignment w:val="auto"/>
        <w:rPr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2023年9月28日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420"/>
        <w:textAlignment w:val="auto"/>
        <w:rPr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(此件公开发布)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44DB7"/>
    <w:rsid w:val="64244D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2023-10-07T06:13:00Z</dcterms:created>
  <dc:creator>银杏果</dc:creator>
  <cp:lastModifiedBy>银杏果</cp:lastModifiedBy>
  <dcterms:modified xsi:type="dcterms:W3CDTF">2023-10-07T06:15:09Z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