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u w:val="none"/>
        </w:rPr>
        <w:t>川政</w:t>
      </w:r>
      <w:r>
        <w:rPr>
          <w:rFonts w:hint="default" w:ascii="Times New Roman" w:hAnsi="Times New Roman" w:eastAsia="仿宋_GB2312" w:cs="Times New Roman"/>
          <w:sz w:val="32"/>
          <w:u w:val="none"/>
          <w:lang w:eastAsia="zh-CN"/>
        </w:rPr>
        <w:t>字</w:t>
      </w:r>
      <w:r>
        <w:rPr>
          <w:rFonts w:hint="default" w:ascii="Times New Roman" w:hAnsi="Times New Roman" w:eastAsia="仿宋_GB2312" w:cs="Times New Roman"/>
          <w:sz w:val="32"/>
          <w:u w:val="none"/>
        </w:rPr>
        <w:t>〔</w:t>
      </w:r>
      <w:r>
        <w:rPr>
          <w:rFonts w:hint="eastAsia" w:cs="Times New Roman"/>
          <w:sz w:val="32"/>
          <w:u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u w:val="none"/>
        </w:rPr>
        <w:t>〕</w:t>
      </w:r>
      <w:r>
        <w:rPr>
          <w:rFonts w:hint="eastAsia" w:cs="Times New Roman"/>
          <w:sz w:val="32"/>
          <w:u w:val="none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sz w:val="32"/>
          <w:u w:val="none"/>
        </w:rPr>
        <w:t>号</w:t>
      </w:r>
      <w:r>
        <w:rPr>
          <w:rFonts w:hint="eastAsia" w:ascii="Times New Roman" w:hAnsi="Times New Roman" w:cs="Times New Roman"/>
          <w:sz w:val="32"/>
          <w:u w:val="non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u w:val="none"/>
          <w:lang w:val="en-US" w:eastAsia="zh-CN"/>
        </w:rPr>
        <w:t>签发人：</w:t>
      </w:r>
      <w:r>
        <w:rPr>
          <w:rFonts w:hint="eastAsia" w:ascii="楷体_GB2312" w:hAnsi="楷体_GB2312" w:eastAsia="楷体_GB2312" w:cs="楷体_GB2312"/>
          <w:sz w:val="32"/>
          <w:u w:val="none"/>
          <w:lang w:val="en-US" w:eastAsia="zh-CN"/>
        </w:rPr>
        <w:t>冯炳涛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年度区级预算执行和其他财政收支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审计情况审议意见整改落实情况的报告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szCs w:val="32"/>
        </w:rPr>
      </w:pPr>
      <w:bookmarkStart w:id="0" w:name="主送机关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区人大常委会：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第十九届人大常委会第十二次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会议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对《关于淄川区</w:t>
      </w:r>
      <w:r>
        <w:rPr>
          <w:rFonts w:hint="default" w:ascii="Times New Roman" w:hAnsi="Times New Roman" w:eastAsia="仿宋_GB2312" w:cs="Times New Roman"/>
          <w:color w:val="auto"/>
          <w:spacing w:val="0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区级预算执行和其他财政收支情况的审计工作报告》</w:t>
      </w:r>
      <w:r>
        <w:rPr>
          <w:rFonts w:hint="eastAsia" w:ascii="仿宋_GB2312" w:hAnsi="仿宋_GB2312" w:cs="仿宋_GB2312"/>
          <w:color w:val="auto"/>
          <w:spacing w:val="0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审议意见整改情况报告如下：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Cs w:val="32"/>
        </w:rPr>
        <w:t>一、整改工作总体情况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Cs w:val="32"/>
          <w:lang w:val="en-US" w:eastAsia="zh-CN"/>
        </w:rPr>
        <w:t>2023年8月，区第十九届人大常委会第十二次会议听取和审议了《关于淄川区2022年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度区级预算执行和其他财政收支情况的审计工作报告》，并就加强整改工作、加大审计监督力度、进一步规范财政管理提出了审议意见。区政府高度重视，立即召开全区审计整改工作会议，对审计整改工作进行全面部署，要求各部门单位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深刻认识抓好审计整改工作的重要性，把审计整改工作作为一项重大政治任务。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</w:rPr>
        <w:t>强化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审计整改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</w:rPr>
        <w:t>责任落实，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健全审计整改长效机制，推动揭示问题与解决问题相统一，扎实做好审计</w:t>
      </w:r>
      <w:r>
        <w:rPr>
          <w:rFonts w:hint="eastAsia" w:ascii="仿宋_GB2312" w:hAnsi="仿宋_GB2312" w:cs="仿宋_GB2312"/>
          <w:color w:val="auto"/>
          <w:spacing w:val="0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下半篇文章</w:t>
      </w:r>
      <w:r>
        <w:rPr>
          <w:rFonts w:hint="eastAsia" w:ascii="仿宋_GB2312" w:hAnsi="仿宋_GB2312" w:cs="仿宋_GB2312"/>
          <w:color w:val="auto"/>
          <w:spacing w:val="0"/>
          <w:szCs w:val="32"/>
          <w:lang w:eastAsia="zh-CN"/>
        </w:rPr>
        <w:t>”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各部门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按照区政府部署，认真落实整改要求，纠正存在问题，强化责任追究，积极采纳审计意见建议，建立健全制度，改进财政财务管理，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切实将审计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整改落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到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处</w:t>
      </w:r>
      <w:r>
        <w:rPr>
          <w:rFonts w:hint="default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Cs w:val="32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Cs w:val="32"/>
        </w:rPr>
        <w:t>二、财政管理中存在问题的整改情况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0"/>
          <w:lang w:val="en-US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（一）</w:t>
      </w:r>
      <w:r>
        <w:rPr>
          <w:rFonts w:hint="eastAsia" w:eastAsia="楷体_GB2312" w:cs="Times New Roman"/>
          <w:color w:val="auto"/>
          <w:spacing w:val="0"/>
          <w:szCs w:val="32"/>
          <w:lang w:val="en-US" w:eastAsia="zh-CN"/>
        </w:rPr>
        <w:t>关于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</w:rPr>
        <w:t>重大政策落实方面存在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  <w:lang w:eastAsia="zh-CN"/>
        </w:rPr>
        <w:t>直达资金未及时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</w:rPr>
        <w:t>支付</w:t>
      </w:r>
      <w:r>
        <w:rPr>
          <w:rFonts w:hint="eastAsia" w:eastAsia="楷体_GB2312" w:cs="Times New Roman"/>
          <w:color w:val="auto"/>
          <w:spacing w:val="0"/>
          <w:szCs w:val="32"/>
          <w:lang w:val="en-US" w:eastAsia="zh-CN"/>
        </w:rPr>
        <w:t>的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</w:rPr>
        <w:t>问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题。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区财政</w:t>
      </w:r>
      <w:r>
        <w:rPr>
          <w:rFonts w:hint="eastAsia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highlight w:val="none"/>
          <w:lang w:val="en-US" w:eastAsia="zh-CN" w:bidi="ar-SA"/>
        </w:rPr>
        <w:t>多渠道积极筹措资金，进一步加快直达资金支出进度，截至目前，直达资金支出进度已达89.5%。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（二）</w:t>
      </w:r>
      <w:r>
        <w:rPr>
          <w:rFonts w:hint="eastAsia" w:eastAsia="楷体_GB2312" w:cs="Times New Roman"/>
          <w:color w:val="auto"/>
          <w:spacing w:val="0"/>
          <w:szCs w:val="32"/>
          <w:lang w:val="en-US" w:eastAsia="zh-CN"/>
        </w:rPr>
        <w:t>关于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</w:rPr>
        <w:t>集中供养资金未及时收回入库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的问题。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截止2022年底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各镇办结余城乡特困人员集中供养资金258.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53万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元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截至目前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区财政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已全部收缴入库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（三）</w:t>
      </w:r>
      <w:r>
        <w:rPr>
          <w:rFonts w:hint="eastAsia" w:eastAsia="楷体_GB2312" w:cs="Times New Roman"/>
          <w:color w:val="auto"/>
          <w:spacing w:val="0"/>
          <w:szCs w:val="32"/>
          <w:lang w:val="en-US" w:eastAsia="zh-CN"/>
        </w:rPr>
        <w:t>关于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</w:rPr>
        <w:t>预备费支出不符合规定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的问题。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区财政局下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一步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将加强预算管理，严格按照预备费支出范围使用资金。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（四）</w:t>
      </w:r>
      <w:r>
        <w:rPr>
          <w:rFonts w:hint="eastAsia" w:eastAsia="楷体_GB2312" w:cs="Times New Roman"/>
          <w:color w:val="auto"/>
          <w:spacing w:val="0"/>
          <w:szCs w:val="32"/>
          <w:lang w:val="en-US" w:eastAsia="zh-CN"/>
        </w:rPr>
        <w:t>关于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</w:rPr>
        <w:t>未开展政府购买服务项目财政绩效评价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的问题。</w:t>
      </w:r>
      <w:r>
        <w:rPr>
          <w:rFonts w:hint="eastAsia" w:ascii="仿宋" w:hAnsi="仿宋" w:eastAsia="仿宋" w:cs="仿宋"/>
          <w:color w:val="auto"/>
          <w:spacing w:val="0"/>
          <w:szCs w:val="32"/>
          <w:lang w:eastAsia="zh-CN"/>
        </w:rPr>
        <w:t>区财政局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出台</w:t>
      </w:r>
      <w:r>
        <w:rPr>
          <w:rFonts w:hint="eastAsia" w:cs="Times New Roman"/>
          <w:spacing w:val="0"/>
          <w:sz w:val="32"/>
          <w:szCs w:val="32"/>
          <w:highlight w:val="none"/>
          <w:lang w:eastAsia="zh-CN"/>
        </w:rPr>
        <w:t>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转发淄博市财政局关于印发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&lt;淄博市政府采购和政府购买服务项目财政绩效评价实施方案的通知&gt;的通知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》（川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财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/>
        </w:rPr>
        <w:t>〔20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112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关于做好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2022年项目支出绩效财政评价工作的通知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》（川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财绩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zh-CN"/>
        </w:rPr>
        <w:t>〔20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号）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等文件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按照要求，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已选取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度政府购买服务项目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开展财政绩效评价工作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Times New Roman" w:hAnsi="Times New Roman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非税收入未及时缴库5.74亿元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的问题。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区财政局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2023年已分批缴入国库。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/>
          <w:spacing w:val="0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Times New Roman" w:hAnsi="Times New Roman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Times New Roman" w:hAnsi="Times New Roman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往来款项未及时清理</w:t>
      </w:r>
      <w:r>
        <w:rPr>
          <w:rFonts w:hint="eastAsia" w:eastAsia="楷体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的问题。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区财政局将积极组织收入、提升财政保障能力，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按照相关财政财务管理制度以及会计制度规定，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遵循“摸清存量、分类处理、全面统筹”的原则，强化对往来款的清理。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Cs w:val="32"/>
        </w:rPr>
        <w:t>三、部门预算执行和其他财政收支存在问题的整改情况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（一）关于</w:t>
      </w:r>
      <w:r>
        <w:rPr>
          <w:rFonts w:hint="eastAsia" w:ascii="Times New Roman" w:hAnsi="Times New Roman" w:eastAsia="楷体_GB2312" w:cs="Times New Roman"/>
          <w:color w:val="auto"/>
          <w:spacing w:val="0"/>
          <w:szCs w:val="32"/>
          <w:lang w:eastAsia="zh-CN"/>
        </w:rPr>
        <w:t>预决算编制方面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的问题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仿宋_GB2312" w:hAnsi="Times New Roman" w:cs="Times New Roman"/>
          <w:color w:val="auto"/>
          <w:spacing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spacing w:val="0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关于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5个单</w:t>
      </w:r>
      <w:r>
        <w:rPr>
          <w:rFonts w:hint="eastAsia" w:ascii="仿宋_GB2312" w:hAnsi="Times New Roman" w:cs="Times New Roman"/>
          <w:b w:val="0"/>
          <w:bCs w:val="0"/>
          <w:color w:val="auto"/>
          <w:spacing w:val="0"/>
        </w:rPr>
        <w:t>位存在预算编制不完整、未编制政府购买服务项目预算、预算编制依据不充分、预算项目编制不科学等问题</w:t>
      </w:r>
      <w:r>
        <w:rPr>
          <w:rFonts w:hint="eastAsia" w:ascii="仿宋_GB2312" w:cs="Times New Roman"/>
          <w:b w:val="0"/>
          <w:bCs w:val="0"/>
          <w:color w:val="auto"/>
          <w:spacing w:val="0"/>
          <w:lang w:eastAsia="zh-CN"/>
        </w:rPr>
        <w:t>。</w:t>
      </w:r>
      <w:r>
        <w:rPr>
          <w:rFonts w:hint="eastAsia" w:ascii="仿宋_GB2312" w:hAnsi="Times New Roman" w:cs="Times New Roman"/>
          <w:b w:val="0"/>
          <w:bCs w:val="0"/>
          <w:color w:val="auto"/>
          <w:spacing w:val="0"/>
          <w:lang w:val="en-US" w:eastAsia="zh-CN"/>
        </w:rPr>
        <w:t>区人社局</w:t>
      </w:r>
      <w:r>
        <w:rPr>
          <w:rFonts w:hint="eastAsia" w:ascii="仿宋_GB2312" w:cs="Times New Roman"/>
          <w:b w:val="0"/>
          <w:bCs w:val="0"/>
          <w:color w:val="auto"/>
          <w:spacing w:val="0"/>
          <w:lang w:val="en-US" w:eastAsia="zh-CN"/>
        </w:rPr>
        <w:t>将</w:t>
      </w:r>
      <w:r>
        <w:rPr>
          <w:rFonts w:hint="eastAsia" w:ascii="仿宋_GB2312" w:hAnsi="Times New Roman" w:cs="Times New Roman"/>
          <w:b w:val="0"/>
          <w:bCs w:val="0"/>
          <w:color w:val="auto"/>
          <w:spacing w:val="0"/>
          <w:lang w:val="en-US" w:eastAsia="zh-CN"/>
        </w:rPr>
        <w:t>按照《中华人民共和国预算法》</w:t>
      </w:r>
      <w:r>
        <w:rPr>
          <w:rFonts w:hint="eastAsia" w:ascii="仿宋_GB2312" w:cs="Times New Roman"/>
          <w:b w:val="0"/>
          <w:bCs w:val="0"/>
          <w:color w:val="auto"/>
          <w:spacing w:val="0"/>
          <w:lang w:val="en-US" w:eastAsia="zh-CN"/>
        </w:rPr>
        <w:t>、</w:t>
      </w:r>
      <w:r>
        <w:rPr>
          <w:rFonts w:hint="eastAsia" w:ascii="仿宋_GB2312" w:hAnsi="Times New Roman" w:cs="Times New Roman"/>
          <w:b w:val="0"/>
          <w:bCs w:val="0"/>
          <w:color w:val="auto"/>
          <w:spacing w:val="0"/>
          <w:lang w:val="en-US" w:eastAsia="zh-CN"/>
        </w:rPr>
        <w:t>《行政单位财务规则》</w:t>
      </w:r>
      <w:r>
        <w:rPr>
          <w:rFonts w:hint="eastAsia" w:ascii="仿宋_GB2312" w:cs="Times New Roman"/>
          <w:b w:val="0"/>
          <w:bCs w:val="0"/>
          <w:color w:val="auto"/>
          <w:spacing w:val="0"/>
          <w:lang w:val="en-US" w:eastAsia="zh-CN"/>
        </w:rPr>
        <w:t>规定，</w:t>
      </w:r>
      <w:r>
        <w:rPr>
          <w:rFonts w:hint="eastAsia" w:ascii="仿宋_GB2312" w:hAnsi="Times New Roman" w:cs="Times New Roman"/>
          <w:b w:val="0"/>
          <w:bCs w:val="0"/>
          <w:color w:val="auto"/>
          <w:spacing w:val="0"/>
          <w:lang w:val="en-US" w:eastAsia="zh-CN"/>
        </w:rPr>
        <w:t>统一核算，统一管理，确保预算编制的完整性</w:t>
      </w:r>
      <w:r>
        <w:rPr>
          <w:rFonts w:hint="eastAsia" w:ascii="仿宋_GB2312" w:cs="Times New Roman"/>
          <w:b w:val="0"/>
          <w:bCs w:val="0"/>
          <w:color w:val="auto"/>
          <w:spacing w:val="0"/>
          <w:lang w:val="en-US" w:eastAsia="zh-CN"/>
        </w:rPr>
        <w:t>；</w:t>
      </w:r>
      <w:r>
        <w:rPr>
          <w:rFonts w:hint="eastAsia" w:ascii="仿宋_GB2312" w:hAnsi="Times New Roman" w:cs="Times New Roman"/>
          <w:color w:val="auto"/>
          <w:spacing w:val="0"/>
          <w:lang w:val="en-US" w:eastAsia="zh-CN"/>
        </w:rPr>
        <w:t>区发改局、区民政局、</w:t>
      </w:r>
      <w:r>
        <w:rPr>
          <w:rFonts w:hint="eastAsia" w:ascii="仿宋_GB2312" w:hAnsi="Times New Roman" w:cs="Times New Roman"/>
          <w:b w:val="0"/>
          <w:bCs w:val="0"/>
          <w:color w:val="auto"/>
          <w:spacing w:val="0"/>
          <w:lang w:val="en-US" w:eastAsia="zh-CN"/>
        </w:rPr>
        <w:t>区住</w:t>
      </w:r>
      <w:r>
        <w:rPr>
          <w:rFonts w:hint="eastAsia" w:ascii="仿宋_GB2312" w:hAnsi="Times New Roman" w:cs="Times New Roman"/>
          <w:color w:val="auto"/>
          <w:spacing w:val="0"/>
          <w:lang w:val="en-US" w:eastAsia="zh-CN"/>
        </w:rPr>
        <w:t>建局、区综合行政执法局</w:t>
      </w:r>
      <w:r>
        <w:rPr>
          <w:rFonts w:hint="eastAsia" w:ascii="仿宋_GB2312" w:cs="Times New Roman"/>
          <w:color w:val="auto"/>
          <w:spacing w:val="0"/>
          <w:lang w:val="en-US" w:eastAsia="zh-CN"/>
        </w:rPr>
        <w:t>将</w:t>
      </w:r>
      <w:r>
        <w:rPr>
          <w:rFonts w:hint="eastAsia" w:ascii="仿宋_GB2312" w:hAnsi="Times New Roman" w:cs="Times New Roman"/>
          <w:color w:val="auto"/>
          <w:spacing w:val="0"/>
          <w:lang w:val="en-US" w:eastAsia="zh-CN"/>
        </w:rPr>
        <w:t>按照《山东省政府购买服务管理实施办法》规定</w:t>
      </w:r>
      <w:r>
        <w:rPr>
          <w:rFonts w:hint="eastAsia" w:ascii="仿宋_GB2312" w:cs="Times New Roman"/>
          <w:color w:val="auto"/>
          <w:spacing w:val="0"/>
          <w:lang w:val="en-US" w:eastAsia="zh-CN"/>
        </w:rPr>
        <w:t>，</w:t>
      </w:r>
      <w:r>
        <w:rPr>
          <w:rFonts w:hint="eastAsia" w:ascii="仿宋_GB2312" w:hAnsi="Times New Roman" w:cs="Times New Roman"/>
          <w:color w:val="auto"/>
          <w:spacing w:val="0"/>
          <w:lang w:val="en-US" w:eastAsia="zh-CN"/>
        </w:rPr>
        <w:t>规范政府购买服务行为，杜绝此类问题的发生。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hAnsi="仿宋_GB2312" w:eastAsia="仿宋_GB2312" w:cs="仿宋_GB2312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spacing w:val="0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关于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5个单位存在决算不实，待报解收入未编入决算、决算报表与账面实际支出内容不符等问题。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区财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政局</w:t>
      </w:r>
      <w:r>
        <w:rPr>
          <w:rFonts w:hint="default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区人社局、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区住建局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、区住房保障中心、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区综合</w:t>
      </w:r>
      <w:r>
        <w:rPr>
          <w:rFonts w:hint="eastAsia" w:cs="Times New Roman"/>
          <w:b w:val="0"/>
          <w:bCs w:val="0"/>
          <w:spacing w:val="0"/>
          <w:sz w:val="32"/>
          <w:szCs w:val="32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执法局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0"/>
          <w:sz w:val="32"/>
          <w:szCs w:val="32"/>
          <w:lang w:val="en-US" w:eastAsia="zh-CN"/>
        </w:rPr>
        <w:t>按照《</w:t>
      </w:r>
      <w:r>
        <w:rPr>
          <w:rFonts w:hint="eastAsia" w:ascii="Times New Roman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中华人民共和国预算法》的相关要求，做到预决算编制真实、准确、完整，规范决算管理工作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</w:rPr>
        <w:t>预算执行方面的问题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spacing w:val="0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spacing w:val="0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关于3个单位存在非税收入收取不到位、结余资金未上缴财政、应缴未缴利息收入等问题。</w:t>
      </w:r>
      <w:r>
        <w:rPr>
          <w:rFonts w:hint="eastAsia" w:ascii="Times New Roman" w:hAnsi="Times New Roman" w:cs="Times New Roman"/>
          <w:color w:val="auto"/>
          <w:spacing w:val="0"/>
          <w:lang w:val="en-US" w:eastAsia="zh-CN"/>
        </w:rPr>
        <w:t>区财政局</w:t>
      </w:r>
      <w:r>
        <w:rPr>
          <w:rFonts w:hint="eastAsia" w:cs="Times New Roman"/>
          <w:color w:val="auto"/>
          <w:spacing w:val="0"/>
          <w:lang w:val="en-US" w:eastAsia="zh-CN"/>
        </w:rPr>
        <w:t>、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区人社</w:t>
      </w:r>
      <w:r>
        <w:rPr>
          <w:rFonts w:hint="eastAsia" w:hAnsi="仿宋_GB2312" w:cs="仿宋_GB2312"/>
          <w:color w:val="000000"/>
          <w:spacing w:val="0"/>
          <w:sz w:val="32"/>
          <w:szCs w:val="32"/>
          <w:lang w:val="en-US" w:eastAsia="zh-CN"/>
        </w:rPr>
        <w:t>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pacing w:val="0"/>
          <w:lang w:val="en-US" w:eastAsia="zh-CN"/>
        </w:rPr>
        <w:t>住建局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已将存量资金上缴国库。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hAnsi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5个单位政府采购不规范，存在不履行采购程序、不定点采购、购买服务合同签订不规范，不公开政府购买服务信息等问题。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区人</w:t>
      </w:r>
      <w:r>
        <w:rPr>
          <w:rFonts w:hint="eastAsia" w:ascii="仿宋_GB2312"/>
          <w:color w:val="auto"/>
          <w:spacing w:val="0"/>
          <w:sz w:val="32"/>
          <w:szCs w:val="32"/>
          <w:lang w:val="en-US" w:eastAsia="zh-CN"/>
        </w:rPr>
        <w:t>社局、区住建局、区住房保障中心、区综合行政执法局等单位将严格</w:t>
      </w:r>
      <w:r>
        <w:rPr>
          <w:rFonts w:hint="eastAsia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按照《山东省政府购买服务管理实施办法》</w:t>
      </w:r>
      <w:r>
        <w:rPr>
          <w:rFonts w:hint="eastAsia" w:hAnsi="仿宋_GB2312" w:cs="仿宋_GB2312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《山东省财政厅关于印发山东省政府集中采购目录及标准的通知》</w:t>
      </w:r>
      <w:r>
        <w:rPr>
          <w:rFonts w:hint="eastAsia" w:hAnsi="仿宋_GB2312" w:cs="仿宋_GB2312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eastAsia" w:ascii="Calibri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《关于全区党政机关事业单位公务用车定点社会化租赁的通知》要求，</w:t>
      </w:r>
      <w:r>
        <w:rPr>
          <w:rFonts w:hint="eastAsia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履行政府采购程序</w:t>
      </w:r>
      <w:r>
        <w:rPr>
          <w:rFonts w:hint="eastAsia" w:hAnsi="仿宋_GB2312" w:cs="仿宋_GB2312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尽快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列入定点采购名单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lang w:val="en-US" w:eastAsia="zh-CN"/>
        </w:rPr>
        <w:t>，规范合同签定，</w:t>
      </w:r>
      <w:r>
        <w:rPr>
          <w:rFonts w:hint="eastAsia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通过政府信息公开平台及预算一体化信息平台公开</w:t>
      </w:r>
      <w:r>
        <w:rPr>
          <w:rFonts w:hint="eastAsia" w:hAnsi="仿宋_GB2312" w:cs="仿宋_GB2312"/>
          <w:color w:val="auto"/>
          <w:spacing w:val="0"/>
          <w:sz w:val="32"/>
          <w:szCs w:val="32"/>
          <w:lang w:val="en-US" w:eastAsia="zh-CN"/>
        </w:rPr>
        <w:t>信息，</w:t>
      </w:r>
      <w:r>
        <w:rPr>
          <w:rFonts w:hint="eastAsia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接受社会监督</w:t>
      </w:r>
      <w:r>
        <w:rPr>
          <w:rFonts w:hint="eastAsia" w:hAnsi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spacing w:val="0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1个单位存在未按投标文件内容签订政府采购合同、政府购买服务履约管理不到位等问题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。区综合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执法</w:t>
      </w:r>
      <w:r>
        <w:rPr>
          <w:rFonts w:hint="eastAsia" w:hAnsi="仿宋_GB2312" w:eastAsia="仿宋_GB2312" w:cs="仿宋_GB2312"/>
          <w:spacing w:val="0"/>
          <w:sz w:val="32"/>
          <w:szCs w:val="32"/>
        </w:rPr>
        <w:t>局在项目采购中，将严格按照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《山东省财政厅关于印发山东省政府集中采购目录及标准的通知》</w:t>
      </w:r>
      <w:r>
        <w:rPr>
          <w:rFonts w:hint="eastAsia" w:hAnsi="仿宋_GB2312" w:eastAsia="仿宋_GB2312" w:cs="仿宋_GB2312"/>
          <w:spacing w:val="0"/>
          <w:sz w:val="32"/>
          <w:szCs w:val="32"/>
        </w:rPr>
        <w:t>确定的事项签订政府采购合同</w:t>
      </w:r>
      <w:r>
        <w:rPr>
          <w:rFonts w:hint="eastAsia" w:hAnsi="仿宋_GB2312" w:cs="仿宋_GB2312"/>
          <w:spacing w:val="0"/>
          <w:sz w:val="32"/>
          <w:szCs w:val="32"/>
          <w:lang w:eastAsia="zh-CN"/>
        </w:rPr>
        <w:t>，并加强合同管理，确保合同履约到位。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关于6个单位存在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公车运行费、公务接待费压减不到位、资产配备及人员配备超标准问题</w:t>
      </w:r>
      <w:r>
        <w:rPr>
          <w:rFonts w:hint="default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区发改局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区民政局、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区人社局</w:t>
      </w:r>
      <w:r>
        <w:rPr>
          <w:rFonts w:hint="eastAsia" w:hAnsi="仿宋_GB2312" w:cs="仿宋_GB2312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区住房保障中心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等单位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将严格按照文件规定压减预算，集中财力保障重点支出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严格执行公务用车使用管理制度，加强公车管理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按照资产管理制度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要求，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及时调整变更资产信息，保证按标准配置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人员及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资产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关于4个单位预算约束力不强，存在超预算支出65.85万元问题。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区发改局、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仿宋_GB2312" w:cs="Times New Roman"/>
          <w:snapToGrid w:val="0"/>
          <w:color w:val="auto"/>
          <w:spacing w:val="0"/>
          <w:kern w:val="2"/>
          <w:sz w:val="32"/>
          <w:szCs w:val="32"/>
          <w:lang w:val="en-US" w:eastAsia="zh-CN" w:bidi="ar-SA"/>
        </w:rPr>
        <w:t>财政局、区住建局、区综合行政执法局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将严格梳理预算项目，加强预算管理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确保项目资金的合理使用和管理，</w:t>
      </w:r>
      <w:r>
        <w:rPr>
          <w:rFonts w:hint="eastAsia" w:ascii="Times New Roman" w:hAnsi="Times New Roman" w:cs="Times New Roman"/>
          <w:spacing w:val="0"/>
          <w:sz w:val="32"/>
          <w:szCs w:val="32"/>
          <w:lang w:val="en-US" w:eastAsia="zh-CN"/>
        </w:rPr>
        <w:t>杜绝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类似问题再次发生。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关于4个单位会计基础工作不规范，用不合规单据入账</w:t>
      </w:r>
      <w:r>
        <w:rPr>
          <w:rFonts w:hint="default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公务用车管理不规范，存在未履行审批程序等问题。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区发改局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民政局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区住房保障中心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、区综合行政执法局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将严格按照《中华人民共和国会计法》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《现金管理暂行条例》要求，严格票据审核，杜绝不合规票据入账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；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在结算限额范围内使用现金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制度，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规范审批流程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Times New Roman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7</w:t>
      </w:r>
      <w:r>
        <w:rPr>
          <w:rFonts w:hint="eastAsia" w:cs="Times New Roman"/>
          <w:b w:val="0"/>
          <w:bCs w:val="0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5个单位存在内部控制制度执行不到位、会计核算不规范，手续不完善，项目资金未单独核算，未按规定计提及拨付工会经费等问题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。区</w:t>
      </w:r>
      <w:r>
        <w:rPr>
          <w:rFonts w:hint="eastAsia" w:hAnsi="仿宋_GB2312" w:cs="仿宋_GB2312"/>
          <w:b w:val="0"/>
          <w:bCs w:val="0"/>
          <w:spacing w:val="0"/>
          <w:sz w:val="32"/>
          <w:szCs w:val="32"/>
          <w:lang w:eastAsia="zh-CN"/>
        </w:rPr>
        <w:t>发改局、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区民政局、区人社局、</w:t>
      </w:r>
      <w:r>
        <w:rPr>
          <w:rFonts w:hint="eastAsia" w:ascii="Times New Roman" w:hAnsi="仿宋_GB2312" w:eastAsia="仿宋_GB2312" w:cs="仿宋_GB2312"/>
          <w:spacing w:val="0"/>
          <w:sz w:val="32"/>
          <w:szCs w:val="32"/>
          <w:lang w:val="en-US" w:eastAsia="zh-CN"/>
        </w:rPr>
        <w:t>区住建局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仿宋_GB2312" w:eastAsia="仿宋_GB2312" w:cs="仿宋_GB2312"/>
          <w:spacing w:val="0"/>
          <w:sz w:val="32"/>
          <w:szCs w:val="32"/>
          <w:lang w:val="en-US" w:eastAsia="zh-CN"/>
        </w:rPr>
        <w:t>区住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房保障中心将按照《行政事业单位内部控制规范（试行）》规定</w:t>
      </w:r>
      <w:r>
        <w:rPr>
          <w:rFonts w:hint="eastAsia" w:ascii="仿宋_GB2312" w:hAnsi="仿宋_GB2312" w:cs="仿宋_GB2312"/>
          <w:spacing w:val="0"/>
          <w:sz w:val="32"/>
          <w:szCs w:val="32"/>
          <w:lang w:val="en-US" w:eastAsia="zh-CN"/>
        </w:rPr>
        <w:t>，严格执行内控制度、会计核算制度，督促相关单位加快手续办理进度，</w:t>
      </w:r>
      <w:r>
        <w:rPr>
          <w:rFonts w:hint="eastAsia" w:ascii="Times New Roman" w:hAnsi="仿宋_GB2312" w:eastAsia="仿宋_GB2312" w:cs="仿宋_GB2312"/>
          <w:spacing w:val="0"/>
          <w:sz w:val="32"/>
          <w:szCs w:val="32"/>
          <w:lang w:val="en-US" w:eastAsia="zh-CN"/>
        </w:rPr>
        <w:t>及时拨付工会经费。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8</w:t>
      </w:r>
      <w:r>
        <w:rPr>
          <w:rFonts w:hint="eastAsia" w:cs="Times New Roman"/>
          <w:b w:val="0"/>
          <w:bCs w:val="0"/>
          <w:color w:val="auto"/>
          <w:spacing w:val="0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关于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2个单位银行账户管理不规范，违规在政策性银行开设专户、从零余额账户转出资金问题。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区住房保障中心物业专项维修资金已交付区综合行政执法局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按规定使用。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区人社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局自5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月份已经对离休补贴、职教幼教补贴实行零余额拨付，已整改</w:t>
      </w:r>
      <w:r>
        <w:rPr>
          <w:rFonts w:hint="eastAsia" w:hAnsi="仿宋_GB2312" w:cs="仿宋_GB2312"/>
          <w:color w:val="000000"/>
          <w:spacing w:val="0"/>
          <w:sz w:val="32"/>
          <w:szCs w:val="32"/>
          <w:lang w:val="en-US" w:eastAsia="zh-CN"/>
        </w:rPr>
        <w:t>到位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  <w:t>）国有资产管理方面的问题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1</w:t>
      </w:r>
      <w:r>
        <w:rPr>
          <w:rFonts w:hint="eastAsia" w:cs="Times New Roman"/>
          <w:b w:val="0"/>
          <w:bCs w:val="0"/>
          <w:color w:val="auto"/>
          <w:spacing w:val="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</w:rPr>
        <w:t>关于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个单位固定资产管理不规范问题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发改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局、区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民政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局、区财政局、区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住建局对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台账登记、资产盘点等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进行了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规范，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按资产管理规定及时进行会计核算。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hAnsi="仿宋_GB2312" w:eastAsia="仿宋_GB2312" w:cs="仿宋_GB2312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2个单位存在出借资金和车辆问题。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住建局</w:t>
      </w:r>
      <w:r>
        <w:rPr>
          <w:rFonts w:hint="eastAsia" w:ascii="仿宋_GB2312" w:cs="仿宋_GB2312"/>
          <w:spacing w:val="0"/>
          <w:sz w:val="32"/>
          <w:szCs w:val="32"/>
          <w:lang w:val="en-US" w:eastAsia="zh-CN"/>
        </w:rPr>
        <w:t>已与相关单位进行协调，</w:t>
      </w:r>
      <w:r>
        <w:rPr>
          <w:rFonts w:hint="eastAsia" w:ascii="仿宋_GB2312" w:cs="仿宋_GB2312"/>
          <w:color w:val="auto"/>
          <w:spacing w:val="0"/>
          <w:sz w:val="32"/>
          <w:szCs w:val="32"/>
          <w:lang w:val="en-US" w:eastAsia="zh-CN"/>
        </w:rPr>
        <w:t>并已作出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处理。</w:t>
      </w:r>
      <w:r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  <w:t>区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综合</w:t>
      </w:r>
      <w:r>
        <w:rPr>
          <w:rFonts w:hint="eastAsia" w:hAnsi="仿宋_GB2312" w:eastAsia="仿宋_GB2312" w:cs="仿宋_GB2312"/>
          <w:spacing w:val="0"/>
          <w:sz w:val="32"/>
          <w:szCs w:val="32"/>
          <w:lang w:val="en-US" w:eastAsia="zh-CN"/>
        </w:rPr>
        <w:t>行政执法局</w:t>
      </w:r>
      <w:r>
        <w:rPr>
          <w:rFonts w:hint="eastAsia" w:hAnsi="仿宋_GB2312" w:eastAsia="仿宋_GB2312" w:cs="仿宋_GB2312"/>
          <w:spacing w:val="0"/>
          <w:sz w:val="32"/>
          <w:szCs w:val="32"/>
        </w:rPr>
        <w:t>将严格按照《行政单位国有资产管理暂行办法》（财政部第35号令）的规定，将出借车辆履行审批手续。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  <w:t>（四）资金绩效管理方面的问题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关于4个单位未制定本部门预算绩效管理制度问题。区发改局、区民政局、区人社局、区住房保障中心已制定本部门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预算绩效管理制度。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4个单位存在项目资金未进行事前绩效评估、绩效目标和绩效评价指标设置过于简单及绩效评价质量不高等问题。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区发改局、区民政局、区人社局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、区住房保障中心将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根据《淄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川区区级部门单位预算绩效管理办法》</w:t>
      </w:r>
      <w:r>
        <w:rPr>
          <w:rFonts w:hint="eastAsia" w:ascii="仿宋_GB2312" w:hAnsi="宋体" w:eastAsia="仿宋_GB2312" w:cs="宋体"/>
          <w:spacing w:val="0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今后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严格进行绩效评估</w:t>
      </w:r>
      <w:r>
        <w:rPr>
          <w:rFonts w:hint="eastAsia" w:hAnsi="仿宋_GB2312" w:cs="仿宋_GB2312"/>
          <w:spacing w:val="0"/>
          <w:sz w:val="32"/>
          <w:szCs w:val="32"/>
          <w:lang w:val="en-US" w:eastAsia="zh-CN"/>
        </w:rPr>
        <w:t>，并</w:t>
      </w:r>
      <w:r>
        <w:rPr>
          <w:rFonts w:hint="eastAsia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采取有效措施，提高绩效评价质量，确保资金支出真实、安全、完整。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  <w:t>（五）网络安全和信息化建设方面的问题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个单位未制定网络安全责任制等相关制度、1</w:t>
      </w:r>
      <w:r>
        <w:rPr>
          <w:rFonts w:hint="default" w:ascii="Times New Roman" w:hAnsi="Times New Roman" w:cs="Times New Roman"/>
          <w:b w:val="0"/>
          <w:bCs w:val="0"/>
          <w:spacing w:val="0"/>
          <w:lang w:val="en-US" w:eastAsia="zh-CN"/>
        </w:rPr>
        <w:t>个单位</w:t>
      </w:r>
      <w:r>
        <w:rPr>
          <w:rFonts w:hint="default" w:ascii="Times New Roman" w:hAnsi="Times New Roman" w:cs="Times New Roman"/>
          <w:b w:val="0"/>
          <w:bCs w:val="0"/>
          <w:spacing w:val="0"/>
        </w:rPr>
        <w:t>未签订网络运维保密协议</w:t>
      </w:r>
      <w:r>
        <w:rPr>
          <w:rFonts w:hint="default" w:ascii="Times New Roman" w:hAnsi="Times New Roman" w:cs="Times New Roman"/>
          <w:b w:val="0"/>
          <w:bCs w:val="0"/>
          <w:spacing w:val="0"/>
          <w:lang w:eastAsia="zh-CN"/>
        </w:rPr>
        <w:t>问题</w:t>
      </w:r>
      <w:r>
        <w:rPr>
          <w:rFonts w:hint="default" w:ascii="Times New Roman" w:hAnsi="Times New Roman" w:cs="Times New Roman"/>
          <w:b w:val="0"/>
          <w:bCs w:val="0"/>
          <w:spacing w:val="0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发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局、区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住建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局、区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综合行政执法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局已制定本部门网络安全责任相关制度，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加强网络信息安全管理。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区住房保障中心已签订保密协议</w:t>
      </w:r>
      <w:r>
        <w:rPr>
          <w:rFonts w:hint="eastAsia" w:ascii="仿宋_GB2312"/>
          <w:spacing w:val="0"/>
          <w:sz w:val="32"/>
          <w:szCs w:val="32"/>
          <w:lang w:val="en-US" w:eastAsia="zh-CN"/>
        </w:rPr>
        <w:t>，完成整改。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  <w:t>（六）对下属单位监管方面的问题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内部审计制度不健全的问题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。区住建局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已依照有关法律法规和内部审计职业规范，结合本单位实际情况，健全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内部审计制度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对所属单位考核工作不到位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问题。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区民政局加大对下属单位的内部监督，定期定项进行考核指导，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督促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下属单位规范运行。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违规减免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事业性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收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问题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区民政局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督促区殡仪馆严格按照文件规定，对惠民殡葬项目强化审核，按标准落实免费政策。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收取基本殡葬服务费用未落实“收支两条线”管理规定的问题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区殡仪馆计划在制定2024年预算时，将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相关收费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纳入财政预算，实行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收支两条线</w:t>
      </w:r>
      <w:r>
        <w:rPr>
          <w:rFonts w:hint="eastAsia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管理。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大额资金支出未经集体研究决策问题。区殡仪馆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严格执行单位财务管理制度，坚决杜绝此类问题再次发生。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报销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发票开具单位与服务提供单位不一致问题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区殡仪馆将加强合同管理，杜绝违规操作。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关于项目资金结余造成资金沉淀问题。区人社局下属区就业中心目前已支付资金171万元。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pacing w:val="0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lang w:eastAsia="zh-CN"/>
        </w:rPr>
        <w:t>（七）</w:t>
      </w:r>
      <w:r>
        <w:rPr>
          <w:rFonts w:hint="eastAsia" w:ascii="楷体_GB2312" w:hAnsi="楷体_GB2312" w:eastAsia="楷体_GB2312" w:cs="楷体_GB2312"/>
          <w:b w:val="0"/>
          <w:bCs w:val="0"/>
          <w:spacing w:val="0"/>
        </w:rPr>
        <w:t>其他方面的问题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spacing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3个单位存在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长期借用下属单位人员、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车辆及办公用房问题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区住建局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已将借调人员退回原单位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区综合行政执法局已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退还下属单位车辆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区发改局将积极与相关部门协商处理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办公用房问题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，履行相关</w:t>
      </w:r>
      <w:r>
        <w:rPr>
          <w:rFonts w:hint="default" w:ascii="Times New Roman" w:hAnsi="Times New Roman" w:cs="Times New Roman"/>
          <w:b w:val="0"/>
          <w:bCs w:val="0"/>
          <w:spacing w:val="0"/>
          <w:sz w:val="32"/>
          <w:szCs w:val="32"/>
          <w:lang w:val="en-US" w:eastAsia="zh-CN"/>
        </w:rPr>
        <w:t>合法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程序。</w:t>
      </w:r>
    </w:p>
    <w:p>
      <w:pPr>
        <w:pStyle w:val="11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640" w:firstLineChars="200"/>
        <w:rPr>
          <w:rFonts w:hint="default" w:ascii="Times New Roman" w:hAnsi="Times New Roman" w:cs="Times New Roman"/>
          <w:b w:val="0"/>
          <w:bCs w:val="0"/>
          <w:color w:val="auto"/>
          <w:spacing w:val="0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关于1个单位存在部分工程未按计划完工问题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区民政局</w:t>
      </w:r>
      <w:r>
        <w:rPr>
          <w:rFonts w:hint="default" w:ascii="Times New Roman" w:hAnsi="Times New Roman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已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highlight w:val="none"/>
          <w:lang w:val="en-US" w:eastAsia="zh-CN"/>
        </w:rPr>
        <w:t>督促有条件的村居开办长者食堂，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截至目前</w:t>
      </w:r>
      <w:r>
        <w:rPr>
          <w:rFonts w:hint="eastAsia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我区长者食堂已达到78处。其余未建设的22处长者食堂因临时不具备开工条件，待条件成熟后再进行建设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cs="Times New Roman"/>
          <w:color w:val="auto"/>
          <w:spacing w:val="0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以上是审计工作报告反映问题的整改情况，大部分问题得到了</w:t>
      </w:r>
      <w:r>
        <w:rPr>
          <w:rFonts w:hint="eastAsia" w:cs="Times New Roman"/>
          <w:b w:val="0"/>
          <w:bCs w:val="0"/>
          <w:color w:val="auto"/>
          <w:spacing w:val="0"/>
          <w:lang w:val="en-US" w:eastAsia="zh-CN"/>
        </w:rPr>
        <w:t>有效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整改，但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  <w:t>个别</w:t>
      </w:r>
      <w:r>
        <w:rPr>
          <w:rFonts w:hint="default" w:ascii="Times New Roman" w:hAnsi="Times New Roman" w:cs="Times New Roman"/>
          <w:b w:val="0"/>
          <w:bCs w:val="0"/>
          <w:color w:val="auto"/>
          <w:spacing w:val="0"/>
        </w:rPr>
        <w:t>单位对整改重视程度不够、整改主动性不强。下一步，区政府将认真落实好区人大常委会审议意见，进一步加大工作力度，确保问题整改到位</w:t>
      </w:r>
      <w:r>
        <w:rPr>
          <w:rFonts w:cs="Times New Roman"/>
          <w:color w:val="auto"/>
          <w:spacing w:val="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pacing w:val="0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pacing w:val="0"/>
          <w:szCs w:val="32"/>
        </w:rPr>
        <w:t>下一步</w:t>
      </w:r>
      <w:r>
        <w:rPr>
          <w:rFonts w:hint="default" w:ascii="Times New Roman" w:hAnsi="Times New Roman" w:eastAsia="黑体" w:cs="Times New Roman"/>
          <w:color w:val="auto"/>
          <w:spacing w:val="0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</w:rPr>
        <w:t>一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  <w:lang w:eastAsia="zh-CN"/>
        </w:rPr>
        <w:t>）</w:t>
      </w:r>
      <w:r>
        <w:rPr>
          <w:rFonts w:hint="eastAsia" w:eastAsia="楷体_GB2312" w:cs="Times New Roman"/>
          <w:color w:val="auto"/>
          <w:spacing w:val="0"/>
          <w:szCs w:val="32"/>
          <w:lang w:eastAsia="zh-CN"/>
        </w:rPr>
        <w:t>强化政治责任，依法履行职责。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坚持以习近平新时代中国特色社会主义思想为指导，增强审计政治属性和政治功能，立足经济监督定位，加大重大政策落实、重点民生资金及政府性债务的审计力度，及时揭示经济社会各领域的新情况、新问题、新趋势，充分发挥审计的独特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  <w:lang w:eastAsia="zh-CN"/>
        </w:rPr>
        <w:t>（二）</w:t>
      </w:r>
      <w:r>
        <w:rPr>
          <w:rFonts w:hint="eastAsia" w:eastAsia="楷体_GB2312" w:cs="Times New Roman"/>
          <w:color w:val="auto"/>
          <w:spacing w:val="0"/>
          <w:szCs w:val="32"/>
          <w:lang w:eastAsia="zh-CN"/>
        </w:rPr>
        <w:t>优化资源配置，创新审计方法。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坚持科技强审，以审计署“金审三期”为抓手，积极开展大数据审计，推动智慧审计健康深入发展。创新审计理念，做实研究型审计，加大“纪审联动”、“巡审联动”力度，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制定“编审联动”机制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，下一步探索开展“检审联动”，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进一步加强审计合力，提升监督效能。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pacing w:val="0"/>
          <w:szCs w:val="32"/>
          <w:lang w:eastAsia="zh-CN"/>
        </w:rPr>
        <w:t>（三）</w:t>
      </w:r>
      <w:r>
        <w:rPr>
          <w:rFonts w:hint="eastAsia" w:eastAsia="楷体_GB2312" w:cs="Times New Roman"/>
          <w:color w:val="auto"/>
          <w:spacing w:val="0"/>
          <w:szCs w:val="32"/>
          <w:lang w:eastAsia="zh-CN"/>
        </w:rPr>
        <w:t>加强自身建设，提升审计质量</w:t>
      </w:r>
      <w:r>
        <w:rPr>
          <w:rFonts w:hint="default" w:ascii="Times New Roman" w:hAnsi="Times New Roman" w:eastAsia="楷体_GB2312" w:cs="Times New Roman"/>
          <w:color w:val="auto"/>
          <w:spacing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践行“三提三争”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不断提升审计人员素质能力和水平。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定期编写《审计战报》，动态调度审计项目重点环节进展情况，严格审计限时制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开展审计竞赛活动，组织举办审计大讲堂，打造创新实干的内行审计干部，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进一步推进新时代审计工作高质量发展</w:t>
      </w:r>
      <w:r>
        <w:rPr>
          <w:rFonts w:hint="eastAsia" w:ascii="仿宋_GB2312" w:hAnsi="仿宋_GB2312" w:eastAsia="仿宋_GB2312" w:cs="仿宋_GB2312"/>
          <w:color w:val="auto"/>
          <w:spacing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/>
          <w:spacing w:val="0"/>
          <w:lang w:val="en-US" w:eastAsia="zh-CN"/>
        </w:rPr>
      </w:pPr>
      <w:r>
        <w:rPr>
          <w:rFonts w:hint="default" w:ascii="Times New Roman" w:hAnsi="Times New Roman" w:cs="Times New Roman"/>
          <w:color w:val="auto"/>
          <w:spacing w:val="0"/>
          <w:lang w:val="en-US" w:eastAsia="zh-CN"/>
        </w:rPr>
        <w:t>特此报告。</w:t>
      </w:r>
    </w:p>
    <w:p>
      <w:pPr>
        <w:pStyle w:val="6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/>
          <w:spacing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280" w:firstLineChars="1650"/>
        <w:textAlignment w:val="auto"/>
        <w:rPr>
          <w:rFonts w:hint="default" w:ascii="Times New Roman" w:hAnsi="Times New Roman" w:cs="Times New Roman"/>
          <w:color w:val="auto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1165" w:rightChars="364" w:firstLine="5280" w:firstLineChars="1650"/>
        <w:textAlignment w:val="auto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cs="Times New Roman"/>
          <w:color w:val="auto"/>
          <w:spacing w:val="0"/>
        </w:rPr>
        <w:t>淄川区人民政府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120" w:firstLineChars="1600"/>
        <w:textAlignment w:val="auto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cs="Times New Roman"/>
          <w:color w:val="auto"/>
          <w:spacing w:val="0"/>
        </w:rPr>
        <w:t>202</w:t>
      </w:r>
      <w:r>
        <w:rPr>
          <w:rFonts w:hint="eastAsia" w:cs="Times New Roman"/>
          <w:color w:val="auto"/>
          <w:spacing w:val="0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pacing w:val="0"/>
        </w:rPr>
        <w:t>年</w:t>
      </w:r>
      <w:r>
        <w:rPr>
          <w:rFonts w:hint="default" w:ascii="Times New Roman" w:hAnsi="Times New Roman" w:cs="Times New Roman"/>
          <w:color w:val="auto"/>
          <w:spacing w:val="0"/>
          <w:lang w:val="en-US" w:eastAsia="zh-CN"/>
        </w:rPr>
        <w:t>1</w:t>
      </w:r>
      <w:r>
        <w:rPr>
          <w:rFonts w:hint="eastAsia" w:cs="Times New Roman"/>
          <w:color w:val="auto"/>
          <w:spacing w:val="0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pacing w:val="0"/>
        </w:rPr>
        <w:t>月</w:t>
      </w:r>
      <w:r>
        <w:rPr>
          <w:rFonts w:hint="eastAsia" w:cs="Times New Roman"/>
          <w:color w:val="auto"/>
          <w:spacing w:val="0"/>
          <w:lang w:val="en-US" w:eastAsia="zh-CN"/>
        </w:rPr>
        <w:t>30</w:t>
      </w:r>
      <w:bookmarkStart w:id="1" w:name="_GoBack"/>
      <w:bookmarkEnd w:id="1"/>
      <w:r>
        <w:rPr>
          <w:rFonts w:hint="default" w:ascii="Times New Roman" w:hAnsi="Times New Roman" w:cs="Times New Roman"/>
          <w:color w:val="auto"/>
          <w:spacing w:val="0"/>
        </w:rPr>
        <w:t>日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329565</wp:posOffset>
                </wp:positionV>
                <wp:extent cx="5600700" cy="635"/>
                <wp:effectExtent l="0" t="0" r="0" b="0"/>
                <wp:wrapNone/>
                <wp:docPr id="6" name="直线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27" o:spid="_x0000_s1026" o:spt="20" style="position:absolute;left:0pt;margin-left:1.05pt;margin-top:25.95pt;height:0.05pt;width:441pt;z-index:251661312;mso-width-relative:page;mso-height-relative:page;" filled="f" stroked="t" coordsize="21600,21600" o:gfxdata="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Q/rH0wAAAAcB&#10;AAAPAAAAAAAAAAEAIAAAACIAAABkcnMvZG93bnJldi54bWxQSwECFAAUAAAACACHTuJAQul67+cB&#10;AADjAwAADgAAAAAAAAABACAAAAAi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0" w:firstLineChars="100"/>
        <w:textAlignment w:val="auto"/>
        <w:rPr>
          <w:lang w:val="en-US" w:eastAsia="zh-CN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372110</wp:posOffset>
                </wp:positionV>
                <wp:extent cx="5600700" cy="635"/>
                <wp:effectExtent l="0" t="0" r="0" b="0"/>
                <wp:wrapNone/>
                <wp:docPr id="2" name="直线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28" o:spid="_x0000_s1026" o:spt="20" style="position:absolute;left:0pt;margin-left:1.05pt;margin-top:29.3pt;height:0.05pt;width:441pt;z-index:251660288;mso-width-relative:page;mso-height-relative:page;" filled="f" stroked="t" coordsize="21600,21600" o:gfxdata="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QJeq0wAAAAcB&#10;AAAPAAAAAAAAAAEAIAAAACIAAABkcnMvZG93bnJldi54bWxQSwECFAAUAAAACACHTuJAcNKEHucB&#10;AADjAwAADgAAAAAAAAABACAAAAAi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淄川区人民政府办公室　　　　　　　　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　20</w:t>
      </w:r>
      <w:r>
        <w:rPr>
          <w:rFonts w:hint="eastAsia" w:eastAsia="仿宋_GB2312"/>
          <w:sz w:val="28"/>
          <w:szCs w:val="28"/>
        </w:rPr>
        <w:t>23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rFonts w:eastAsia="仿宋_GB2312"/>
          <w:sz w:val="28"/>
          <w:szCs w:val="28"/>
        </w:rPr>
        <w:t>日印发</w:t>
      </w: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pStyle w:val="6"/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474" w:bottom="1984" w:left="1588" w:header="567" w:footer="1247" w:gutter="0"/>
      <w:cols w:space="720" w:num="1"/>
      <w:formProt w:val="0"/>
      <w:rtlGutter w:val="0"/>
      <w:docGrid w:type="lines" w:linePitch="5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4883150</wp:posOffset>
              </wp:positionH>
              <wp:positionV relativeFrom="paragraph">
                <wp:posOffset>-228600</wp:posOffset>
              </wp:positionV>
              <wp:extent cx="73406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06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5pt;margin-top:-18pt;height:18.15pt;width:57.8pt;mso-position-horizontal-relative:margin;z-index:251659264;mso-width-relative:page;mso-height-relative:page;" filled="f" stroked="f" coordsize="21600,21600" o:gfxdata="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oNbjPWAAAACAEAAA8AAAAAAAAAAQAgAAAAIgAAAGRycy9kb3ducmV2&#10;LnhtbFBLAQIUABQAAAAIAIdO4kAHtq5PxQEAAIsDAAAOAAAAAAAAAAEAIAAAACU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-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N2Y2MDg4OWRkMDhiZTZlMTc4MDJmYmE4NDg4YjEifQ=="/>
  </w:docVars>
  <w:rsids>
    <w:rsidRoot w:val="0AA86FD6"/>
    <w:rsid w:val="00067F8B"/>
    <w:rsid w:val="077706A0"/>
    <w:rsid w:val="08B74DEC"/>
    <w:rsid w:val="099C263F"/>
    <w:rsid w:val="0AA86FD6"/>
    <w:rsid w:val="114A7A11"/>
    <w:rsid w:val="15110960"/>
    <w:rsid w:val="15C827F4"/>
    <w:rsid w:val="1788351F"/>
    <w:rsid w:val="18664544"/>
    <w:rsid w:val="1A993936"/>
    <w:rsid w:val="1B9969DF"/>
    <w:rsid w:val="1C11326F"/>
    <w:rsid w:val="1C601B6E"/>
    <w:rsid w:val="1D8819D9"/>
    <w:rsid w:val="20BD5785"/>
    <w:rsid w:val="23EA06FA"/>
    <w:rsid w:val="24932CF8"/>
    <w:rsid w:val="26EF21BB"/>
    <w:rsid w:val="27C60B5C"/>
    <w:rsid w:val="28A50F36"/>
    <w:rsid w:val="29C13EEE"/>
    <w:rsid w:val="2F16386D"/>
    <w:rsid w:val="31BC3D0F"/>
    <w:rsid w:val="31D976DD"/>
    <w:rsid w:val="32F50877"/>
    <w:rsid w:val="335B675A"/>
    <w:rsid w:val="34D128EE"/>
    <w:rsid w:val="3BF953D0"/>
    <w:rsid w:val="3E373543"/>
    <w:rsid w:val="3E9F4E3F"/>
    <w:rsid w:val="43CF6B92"/>
    <w:rsid w:val="455657E6"/>
    <w:rsid w:val="458D6B68"/>
    <w:rsid w:val="4C1E06B7"/>
    <w:rsid w:val="4EF158D4"/>
    <w:rsid w:val="51E24BEC"/>
    <w:rsid w:val="55AC6D33"/>
    <w:rsid w:val="55C24288"/>
    <w:rsid w:val="58B02697"/>
    <w:rsid w:val="59EC5950"/>
    <w:rsid w:val="5DBD5A8A"/>
    <w:rsid w:val="605A37BF"/>
    <w:rsid w:val="60C13E60"/>
    <w:rsid w:val="623C143F"/>
    <w:rsid w:val="62AC0373"/>
    <w:rsid w:val="6B340F05"/>
    <w:rsid w:val="6E411CD2"/>
    <w:rsid w:val="73920EBF"/>
    <w:rsid w:val="76AE73A4"/>
    <w:rsid w:val="79CC49FF"/>
    <w:rsid w:val="7BA479E1"/>
    <w:rsid w:val="7CD65F9B"/>
    <w:rsid w:val="7D052701"/>
    <w:rsid w:val="7E75659D"/>
    <w:rsid w:val="7F9D0A58"/>
    <w:rsid w:val="7FA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adjustRightInd w:val="0"/>
      <w:spacing w:after="120" w:line="312" w:lineRule="atLeast"/>
      <w:ind w:left="420" w:leftChars="200"/>
      <w:textAlignment w:val="baseline"/>
    </w:pPr>
    <w:rPr>
      <w:snapToGrid/>
      <w:spacing w:val="0"/>
      <w:szCs w:val="20"/>
    </w:rPr>
  </w:style>
  <w:style w:type="paragraph" w:styleId="3">
    <w:name w:val="Body Text First Indent 2"/>
    <w:basedOn w:val="2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6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hAnsi="宋体"/>
      <w:color w:val="000000"/>
      <w:kern w:val="0"/>
      <w:sz w:val="24"/>
    </w:rPr>
  </w:style>
  <w:style w:type="paragraph" w:customStyle="1" w:styleId="11">
    <w:name w:val="正文首行缩进 21"/>
    <w:basedOn w:val="12"/>
    <w:qFormat/>
    <w:uiPriority w:val="0"/>
    <w:pPr>
      <w:ind w:firstLine="420" w:firstLineChars="200"/>
    </w:pPr>
  </w:style>
  <w:style w:type="paragraph" w:customStyle="1" w:styleId="12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2023-10-21T02:18:00Z</dcterms:created>
  <dc:creator>王娟</dc:creator>
  <cp:lastModifiedBy>王亮</cp:lastModifiedBy>
  <cp:lastPrinted>2023-10-27T07:11:00Z</cp:lastPrinted>
  <dcterms:modified xsi:type="dcterms:W3CDTF">2023-11-11T03:15:16Z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BC6400BB95E54A64AF8A2A00E24FCC5D_13</vt:lpwstr>
  </property>
</Properties>
</file>