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Times New Roman" w:hAnsi="Times New Roman" w:eastAsia="方正小标宋简体"/>
          <w:sz w:val="44"/>
          <w:szCs w:val="44"/>
        </w:rPr>
      </w:pPr>
      <w:r>
        <w:rPr>
          <w:rFonts w:hint="eastAsia" w:ascii="Times New Roman" w:hAnsi="Times New Roman" w:eastAsia="方正小标宋简体"/>
          <w:sz w:val="44"/>
          <w:szCs w:val="44"/>
        </w:rPr>
        <w:t>般阳路街道</w:t>
      </w:r>
      <w:r>
        <w:rPr>
          <w:rFonts w:ascii="Times New Roman" w:hAnsi="Times New Roman" w:eastAsia="方正小标宋简体"/>
          <w:sz w:val="44"/>
          <w:szCs w:val="44"/>
        </w:rPr>
        <w:t>政务公开事项目录</w:t>
      </w:r>
    </w:p>
    <w:tbl>
      <w:tblPr>
        <w:tblStyle w:val="5"/>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567"/>
        <w:gridCol w:w="851"/>
        <w:gridCol w:w="849"/>
        <w:gridCol w:w="2545"/>
        <w:gridCol w:w="1418"/>
        <w:gridCol w:w="992"/>
        <w:gridCol w:w="992"/>
        <w:gridCol w:w="3261"/>
        <w:gridCol w:w="567"/>
        <w:gridCol w:w="567"/>
        <w:gridCol w:w="56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45"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序号</w:t>
            </w:r>
          </w:p>
        </w:tc>
        <w:tc>
          <w:tcPr>
            <w:tcW w:w="567"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过程</w:t>
            </w:r>
          </w:p>
        </w:tc>
        <w:tc>
          <w:tcPr>
            <w:tcW w:w="1700" w:type="dxa"/>
            <w:gridSpan w:val="2"/>
            <w:vAlign w:val="center"/>
          </w:tcPr>
          <w:p>
            <w:pPr>
              <w:spacing w:line="260" w:lineRule="exact"/>
              <w:jc w:val="center"/>
              <w:rPr>
                <w:rFonts w:ascii="Times New Roman" w:hAnsi="Times New Roman"/>
                <w:sz w:val="18"/>
                <w:szCs w:val="18"/>
              </w:rPr>
            </w:pPr>
            <w:r>
              <w:rPr>
                <w:rFonts w:ascii="Times New Roman" w:hAnsi="Times New Roman"/>
                <w:sz w:val="18"/>
                <w:szCs w:val="18"/>
              </w:rPr>
              <w:t>公开事项</w:t>
            </w:r>
          </w:p>
        </w:tc>
        <w:tc>
          <w:tcPr>
            <w:tcW w:w="2545" w:type="dxa"/>
            <w:vMerge w:val="restart"/>
            <w:vAlign w:val="center"/>
          </w:tcPr>
          <w:p>
            <w:pPr>
              <w:spacing w:line="260" w:lineRule="exact"/>
              <w:rPr>
                <w:rFonts w:ascii="Times New Roman" w:hAnsi="Times New Roman"/>
                <w:sz w:val="18"/>
                <w:szCs w:val="18"/>
              </w:rPr>
            </w:pPr>
            <w:r>
              <w:rPr>
                <w:rFonts w:ascii="Times New Roman" w:hAnsi="Times New Roman"/>
                <w:sz w:val="18"/>
                <w:szCs w:val="18"/>
              </w:rPr>
              <w:t>公开内容（要素）</w:t>
            </w:r>
          </w:p>
        </w:tc>
        <w:tc>
          <w:tcPr>
            <w:tcW w:w="1418"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公  开  依  据</w:t>
            </w:r>
          </w:p>
        </w:tc>
        <w:tc>
          <w:tcPr>
            <w:tcW w:w="992"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公开时限</w:t>
            </w:r>
          </w:p>
        </w:tc>
        <w:tc>
          <w:tcPr>
            <w:tcW w:w="992"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公开主体</w:t>
            </w:r>
          </w:p>
        </w:tc>
        <w:tc>
          <w:tcPr>
            <w:tcW w:w="3261" w:type="dxa"/>
            <w:vMerge w:val="restart"/>
            <w:vAlign w:val="center"/>
          </w:tcPr>
          <w:p>
            <w:pPr>
              <w:spacing w:line="260" w:lineRule="exact"/>
              <w:jc w:val="center"/>
              <w:rPr>
                <w:rFonts w:ascii="Times New Roman" w:hAnsi="Times New Roman"/>
                <w:sz w:val="18"/>
                <w:szCs w:val="18"/>
              </w:rPr>
            </w:pPr>
            <w:r>
              <w:rPr>
                <w:rFonts w:ascii="Times New Roman" w:hAnsi="Times New Roman"/>
                <w:sz w:val="18"/>
                <w:szCs w:val="18"/>
              </w:rPr>
              <w:t>公开渠道和载体</w:t>
            </w:r>
          </w:p>
        </w:tc>
        <w:tc>
          <w:tcPr>
            <w:tcW w:w="1134" w:type="dxa"/>
            <w:gridSpan w:val="2"/>
            <w:vAlign w:val="center"/>
          </w:tcPr>
          <w:p>
            <w:pPr>
              <w:spacing w:line="260" w:lineRule="exact"/>
              <w:jc w:val="center"/>
              <w:rPr>
                <w:rFonts w:ascii="Times New Roman" w:hAnsi="Times New Roman"/>
                <w:sz w:val="18"/>
                <w:szCs w:val="18"/>
              </w:rPr>
            </w:pPr>
            <w:r>
              <w:rPr>
                <w:rFonts w:ascii="Times New Roman" w:hAnsi="Times New Roman"/>
                <w:sz w:val="18"/>
                <w:szCs w:val="18"/>
              </w:rPr>
              <w:t>公开对象</w:t>
            </w:r>
          </w:p>
        </w:tc>
        <w:tc>
          <w:tcPr>
            <w:tcW w:w="1358" w:type="dxa"/>
            <w:gridSpan w:val="2"/>
            <w:vAlign w:val="center"/>
          </w:tcPr>
          <w:p>
            <w:pPr>
              <w:spacing w:line="260" w:lineRule="exact"/>
              <w:jc w:val="center"/>
              <w:rPr>
                <w:rFonts w:ascii="Times New Roman" w:hAnsi="Times New Roman"/>
                <w:sz w:val="18"/>
                <w:szCs w:val="18"/>
              </w:rPr>
            </w:pPr>
            <w:r>
              <w:rPr>
                <w:rFonts w:ascii="Times New Roman" w:hAnsi="Times New Roman"/>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45" w:type="dxa"/>
            <w:vMerge w:val="continue"/>
            <w:vAlign w:val="center"/>
          </w:tcPr>
          <w:p>
            <w:pPr>
              <w:spacing w:line="260" w:lineRule="exact"/>
              <w:jc w:val="center"/>
              <w:rPr>
                <w:rFonts w:ascii="Times New Roman" w:hAnsi="Times New Roman"/>
                <w:sz w:val="18"/>
                <w:szCs w:val="18"/>
              </w:rPr>
            </w:pPr>
          </w:p>
        </w:tc>
        <w:tc>
          <w:tcPr>
            <w:tcW w:w="567" w:type="dxa"/>
            <w:vMerge w:val="continue"/>
            <w:vAlign w:val="center"/>
          </w:tcPr>
          <w:p>
            <w:pPr>
              <w:spacing w:line="260" w:lineRule="exact"/>
              <w:jc w:val="center"/>
              <w:rPr>
                <w:rFonts w:ascii="Times New Roman" w:hAnsi="Times New Roman"/>
                <w:sz w:val="18"/>
                <w:szCs w:val="18"/>
              </w:rPr>
            </w:pPr>
          </w:p>
        </w:tc>
        <w:tc>
          <w:tcPr>
            <w:tcW w:w="851" w:type="dxa"/>
            <w:vAlign w:val="center"/>
          </w:tcPr>
          <w:p>
            <w:pPr>
              <w:spacing w:line="260" w:lineRule="exact"/>
              <w:jc w:val="center"/>
              <w:rPr>
                <w:rFonts w:ascii="Times New Roman" w:hAnsi="Times New Roman"/>
                <w:sz w:val="18"/>
                <w:szCs w:val="18"/>
              </w:rPr>
            </w:pPr>
            <w:r>
              <w:rPr>
                <w:rFonts w:ascii="Times New Roman" w:hAnsi="Times New Roman"/>
                <w:sz w:val="18"/>
                <w:szCs w:val="18"/>
              </w:rPr>
              <w:t>一级目录</w:t>
            </w:r>
          </w:p>
        </w:tc>
        <w:tc>
          <w:tcPr>
            <w:tcW w:w="849" w:type="dxa"/>
            <w:vAlign w:val="center"/>
          </w:tcPr>
          <w:p>
            <w:pPr>
              <w:spacing w:line="260" w:lineRule="exact"/>
              <w:jc w:val="center"/>
              <w:rPr>
                <w:rFonts w:ascii="Times New Roman" w:hAnsi="Times New Roman"/>
                <w:sz w:val="18"/>
                <w:szCs w:val="18"/>
              </w:rPr>
            </w:pPr>
            <w:r>
              <w:rPr>
                <w:rFonts w:ascii="Times New Roman" w:hAnsi="Times New Roman"/>
                <w:sz w:val="18"/>
                <w:szCs w:val="18"/>
              </w:rPr>
              <w:t>二级目录</w:t>
            </w:r>
          </w:p>
        </w:tc>
        <w:tc>
          <w:tcPr>
            <w:tcW w:w="2545" w:type="dxa"/>
            <w:vMerge w:val="continue"/>
            <w:vAlign w:val="center"/>
          </w:tcPr>
          <w:p>
            <w:pPr>
              <w:spacing w:line="260" w:lineRule="exact"/>
              <w:rPr>
                <w:rFonts w:ascii="Times New Roman" w:hAnsi="Times New Roman"/>
                <w:sz w:val="18"/>
                <w:szCs w:val="18"/>
              </w:rPr>
            </w:pPr>
          </w:p>
        </w:tc>
        <w:tc>
          <w:tcPr>
            <w:tcW w:w="1418" w:type="dxa"/>
            <w:vMerge w:val="continue"/>
            <w:vAlign w:val="center"/>
          </w:tcPr>
          <w:p>
            <w:pPr>
              <w:spacing w:line="260" w:lineRule="exact"/>
              <w:rPr>
                <w:rFonts w:ascii="Times New Roman" w:hAnsi="Times New Roman"/>
                <w:sz w:val="18"/>
                <w:szCs w:val="18"/>
              </w:rPr>
            </w:pPr>
          </w:p>
        </w:tc>
        <w:tc>
          <w:tcPr>
            <w:tcW w:w="992" w:type="dxa"/>
            <w:vMerge w:val="continue"/>
          </w:tcPr>
          <w:p>
            <w:pPr>
              <w:spacing w:line="260" w:lineRule="exact"/>
              <w:jc w:val="center"/>
              <w:rPr>
                <w:rFonts w:ascii="Times New Roman" w:hAnsi="Times New Roman"/>
                <w:sz w:val="18"/>
                <w:szCs w:val="18"/>
              </w:rPr>
            </w:pPr>
          </w:p>
        </w:tc>
        <w:tc>
          <w:tcPr>
            <w:tcW w:w="992" w:type="dxa"/>
            <w:vMerge w:val="continue"/>
            <w:vAlign w:val="center"/>
          </w:tcPr>
          <w:p>
            <w:pPr>
              <w:spacing w:line="260" w:lineRule="exact"/>
              <w:jc w:val="center"/>
              <w:rPr>
                <w:rFonts w:ascii="Times New Roman" w:hAnsi="Times New Roman"/>
                <w:sz w:val="18"/>
                <w:szCs w:val="18"/>
              </w:rPr>
            </w:pPr>
          </w:p>
        </w:tc>
        <w:tc>
          <w:tcPr>
            <w:tcW w:w="3261" w:type="dxa"/>
            <w:vMerge w:val="continue"/>
            <w:vAlign w:val="center"/>
          </w:tcPr>
          <w:p>
            <w:pPr>
              <w:spacing w:line="260" w:lineRule="exact"/>
              <w:rPr>
                <w:rFonts w:ascii="Times New Roman" w:hAnsi="Times New Roman"/>
                <w:sz w:val="18"/>
                <w:szCs w:val="18"/>
              </w:rPr>
            </w:pPr>
          </w:p>
        </w:tc>
        <w:tc>
          <w:tcPr>
            <w:tcW w:w="567" w:type="dxa"/>
            <w:vAlign w:val="center"/>
          </w:tcPr>
          <w:p>
            <w:pPr>
              <w:spacing w:line="260" w:lineRule="exact"/>
              <w:jc w:val="center"/>
              <w:rPr>
                <w:rFonts w:ascii="Times New Roman" w:hAnsi="Times New Roman"/>
                <w:sz w:val="18"/>
                <w:szCs w:val="18"/>
              </w:rPr>
            </w:pPr>
            <w:r>
              <w:rPr>
                <w:rFonts w:ascii="Times New Roman" w:hAnsi="Times New Roman"/>
                <w:sz w:val="18"/>
                <w:szCs w:val="18"/>
              </w:rPr>
              <w:t>全社会</w:t>
            </w:r>
          </w:p>
        </w:tc>
        <w:tc>
          <w:tcPr>
            <w:tcW w:w="567" w:type="dxa"/>
            <w:vAlign w:val="center"/>
          </w:tcPr>
          <w:p>
            <w:pPr>
              <w:spacing w:line="260" w:lineRule="exact"/>
              <w:jc w:val="center"/>
              <w:rPr>
                <w:rFonts w:ascii="Times New Roman" w:hAnsi="Times New Roman"/>
                <w:sz w:val="18"/>
                <w:szCs w:val="18"/>
              </w:rPr>
            </w:pPr>
            <w:r>
              <w:rPr>
                <w:rFonts w:ascii="Times New Roman" w:hAnsi="Times New Roman"/>
                <w:sz w:val="18"/>
                <w:szCs w:val="18"/>
              </w:rPr>
              <w:t>特定</w:t>
            </w:r>
          </w:p>
          <w:p>
            <w:pPr>
              <w:spacing w:line="260" w:lineRule="exact"/>
              <w:jc w:val="center"/>
              <w:rPr>
                <w:rFonts w:ascii="Times New Roman" w:hAnsi="Times New Roman"/>
                <w:sz w:val="18"/>
                <w:szCs w:val="18"/>
              </w:rPr>
            </w:pPr>
            <w:r>
              <w:rPr>
                <w:rFonts w:ascii="Times New Roman" w:hAnsi="Times New Roman"/>
                <w:sz w:val="18"/>
                <w:szCs w:val="18"/>
              </w:rPr>
              <w:t>群众</w:t>
            </w:r>
          </w:p>
        </w:tc>
        <w:tc>
          <w:tcPr>
            <w:tcW w:w="567" w:type="dxa"/>
            <w:vAlign w:val="center"/>
          </w:tcPr>
          <w:p>
            <w:pPr>
              <w:spacing w:line="260" w:lineRule="exact"/>
              <w:jc w:val="center"/>
              <w:rPr>
                <w:rFonts w:ascii="Times New Roman" w:hAnsi="Times New Roman"/>
                <w:sz w:val="18"/>
                <w:szCs w:val="18"/>
              </w:rPr>
            </w:pPr>
            <w:r>
              <w:rPr>
                <w:rFonts w:ascii="Times New Roman" w:hAnsi="Times New Roman"/>
                <w:sz w:val="18"/>
                <w:szCs w:val="18"/>
              </w:rPr>
              <w:t>主动</w:t>
            </w:r>
          </w:p>
        </w:tc>
        <w:tc>
          <w:tcPr>
            <w:tcW w:w="791" w:type="dxa"/>
            <w:vAlign w:val="center"/>
          </w:tcPr>
          <w:p>
            <w:pPr>
              <w:spacing w:line="260" w:lineRule="exact"/>
              <w:jc w:val="center"/>
              <w:rPr>
                <w:rFonts w:ascii="Times New Roman" w:hAnsi="Times New Roman"/>
                <w:sz w:val="18"/>
                <w:szCs w:val="18"/>
              </w:rPr>
            </w:pPr>
            <w:r>
              <w:rPr>
                <w:rFonts w:ascii="Times New Roman" w:hAnsi="Times New Roman"/>
                <w:sz w:val="18"/>
                <w:szCs w:val="18"/>
              </w:rPr>
              <w:t>依申</w:t>
            </w:r>
          </w:p>
          <w:p>
            <w:pPr>
              <w:spacing w:line="260" w:lineRule="exact"/>
              <w:jc w:val="center"/>
              <w:rPr>
                <w:rFonts w:ascii="Times New Roman" w:hAnsi="Times New Roman"/>
                <w:sz w:val="18"/>
                <w:szCs w:val="18"/>
              </w:rPr>
            </w:pPr>
            <w:r>
              <w:rPr>
                <w:rFonts w:ascii="Times New Roman" w:hAnsi="Times New Roman"/>
                <w:sz w:val="18"/>
                <w:szCs w:val="18"/>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6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决策</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本级政府文件</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本级政府制定的文件</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567" w:type="dxa"/>
          </w:tcPr>
          <w:p>
            <w:pPr>
              <w:spacing w:line="260" w:lineRule="exact"/>
              <w:rPr>
                <w:rFonts w:ascii="Times New Roman" w:hAnsi="Times New Roman"/>
                <w:bCs/>
                <w:sz w:val="18"/>
                <w:szCs w:val="18"/>
              </w:rPr>
            </w:pP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6"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重大决策预公开</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公开涉及群众切身利益需要社会广泛知晓的重要改革方案、重大政策措施和重点工程项目等，公开意见收集和采纳情况</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《重大行政决策程序暂行条例》（国务院令第713号）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■两微一端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567" w:type="dxa"/>
          </w:tcPr>
          <w:p>
            <w:pPr>
              <w:spacing w:line="260" w:lineRule="exact"/>
              <w:rPr>
                <w:rFonts w:ascii="Times New Roman" w:hAnsi="Times New Roman"/>
                <w:bCs/>
                <w:sz w:val="18"/>
                <w:szCs w:val="18"/>
              </w:rPr>
            </w:pP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11"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rPr>
                <w:rFonts w:ascii="Times New Roman" w:hAnsi="Times New Roman"/>
                <w:bCs/>
                <w:sz w:val="18"/>
                <w:szCs w:val="18"/>
              </w:rPr>
            </w:pPr>
            <w:r>
              <w:rPr>
                <w:rFonts w:ascii="Times New Roman" w:hAnsi="Times New Roman"/>
                <w:bCs/>
                <w:sz w:val="18"/>
                <w:szCs w:val="18"/>
              </w:rPr>
              <w:t>决策</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政府工作报告</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发布经本级人代会审议通过的年度政府工作报告</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r>
              <w:rPr>
                <w:rFonts w:ascii="Times New Roman" w:hAnsi="Times New Roman"/>
                <w:bCs/>
                <w:sz w:val="18"/>
                <w:szCs w:val="18"/>
              </w:rPr>
              <w:br w:type="textWrapping"/>
            </w:r>
            <w:r>
              <w:rPr>
                <w:rFonts w:hint="eastAsia" w:ascii="Times New Roman" w:hAnsi="Times New Roman"/>
                <w:bCs/>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567" w:type="dxa"/>
          </w:tcPr>
          <w:p>
            <w:pPr>
              <w:spacing w:line="260" w:lineRule="exact"/>
              <w:rPr>
                <w:rFonts w:ascii="Times New Roman" w:hAnsi="Times New Roman"/>
                <w:bCs/>
                <w:sz w:val="18"/>
                <w:szCs w:val="18"/>
              </w:rPr>
            </w:pP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4"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政府会议</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召开会议的名称、时间、地点、与会人员、主持人，会议研究的事项等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■两微一端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567" w:type="dxa"/>
          </w:tcPr>
          <w:p>
            <w:pPr>
              <w:spacing w:line="260" w:lineRule="exact"/>
              <w:rPr>
                <w:rFonts w:ascii="Times New Roman" w:hAnsi="Times New Roman"/>
                <w:bCs/>
                <w:sz w:val="18"/>
                <w:szCs w:val="18"/>
              </w:rPr>
            </w:pPr>
          </w:p>
        </w:tc>
        <w:tc>
          <w:tcPr>
            <w:tcW w:w="567" w:type="dxa"/>
          </w:tcPr>
          <w:p>
            <w:pPr>
              <w:spacing w:line="260" w:lineRule="exact"/>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86"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国民经济和社会</w:t>
            </w:r>
          </w:p>
          <w:p>
            <w:pPr>
              <w:spacing w:line="260" w:lineRule="exact"/>
              <w:jc w:val="center"/>
              <w:rPr>
                <w:rFonts w:ascii="Times New Roman" w:hAnsi="Times New Roman"/>
                <w:bCs/>
                <w:sz w:val="18"/>
                <w:szCs w:val="18"/>
              </w:rPr>
            </w:pPr>
            <w:r>
              <w:rPr>
                <w:rFonts w:ascii="Times New Roman" w:hAnsi="Times New Roman"/>
                <w:bCs/>
                <w:sz w:val="18"/>
                <w:szCs w:val="18"/>
              </w:rPr>
              <w:t>发展规划</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本地经济社会发展年度计划；年度计划重要事项的解读；各类重点工作规划等信息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r>
              <w:rPr>
                <w:rFonts w:ascii="Times New Roman" w:hAnsi="Times New Roman"/>
                <w:bCs/>
                <w:sz w:val="18"/>
                <w:szCs w:val="18"/>
              </w:rPr>
              <w:t>《国务院关于加强国民经济和社会发展规划编制工作的若干意见》（国发〔2005〕33号）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经发办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11"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执行和结果</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年度重点工作任务分解、执行及落实情况</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政府工作报告分解; 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《中共中央办公厅国务院办公厅印发〈关于全面推进政务公开工作的意见〉的通知》（中办发〔2016〕8号）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4"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经济和</w:t>
            </w:r>
          </w:p>
          <w:p>
            <w:pPr>
              <w:spacing w:line="260" w:lineRule="exact"/>
              <w:jc w:val="center"/>
              <w:rPr>
                <w:rFonts w:ascii="Times New Roman" w:hAnsi="Times New Roman"/>
                <w:bCs/>
                <w:sz w:val="18"/>
                <w:szCs w:val="18"/>
              </w:rPr>
            </w:pPr>
            <w:r>
              <w:rPr>
                <w:rFonts w:ascii="Times New Roman" w:hAnsi="Times New Roman"/>
                <w:bCs/>
                <w:sz w:val="18"/>
                <w:szCs w:val="18"/>
              </w:rPr>
              <w:t>社会发展</w:t>
            </w:r>
          </w:p>
          <w:p>
            <w:pPr>
              <w:spacing w:line="260" w:lineRule="exact"/>
              <w:jc w:val="center"/>
              <w:rPr>
                <w:rFonts w:ascii="Times New Roman" w:hAnsi="Times New Roman"/>
                <w:bCs/>
                <w:sz w:val="18"/>
                <w:szCs w:val="18"/>
              </w:rPr>
            </w:pPr>
            <w:r>
              <w:rPr>
                <w:rFonts w:ascii="Times New Roman" w:hAnsi="Times New Roman"/>
                <w:bCs/>
                <w:sz w:val="18"/>
                <w:szCs w:val="18"/>
              </w:rPr>
              <w:t>统计信息</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年度统计信息及年度统计数据分析；月度统计数据；月度季度统计数据分析等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《中华人民共和国统计法实施细则》（国务院令第453号）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经发办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■两微一端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50"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建议提案办理</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人大代表建议和政协委员提案办理工作制度、办理情况年度报告、办理答复</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《国务院办公厅关于做好全国人大代表建议和全国政协委员提案办理结果公开工作的通知》（国办发﹝2014﹞46号）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 ■两微一端</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5"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管理和</w:t>
            </w:r>
          </w:p>
          <w:p>
            <w:pPr>
              <w:spacing w:line="260" w:lineRule="exact"/>
              <w:jc w:val="center"/>
              <w:rPr>
                <w:rFonts w:ascii="Times New Roman" w:hAnsi="Times New Roman"/>
                <w:bCs/>
                <w:sz w:val="18"/>
                <w:szCs w:val="18"/>
              </w:rPr>
            </w:pPr>
            <w:r>
              <w:rPr>
                <w:rFonts w:ascii="Times New Roman" w:hAnsi="Times New Roman"/>
                <w:bCs/>
                <w:sz w:val="18"/>
                <w:szCs w:val="18"/>
              </w:rPr>
              <w:t>服务</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政府领导</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领导分工、简历、联系方式、照片等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w:t>
            </w:r>
          </w:p>
          <w:p>
            <w:pPr>
              <w:spacing w:line="260" w:lineRule="exact"/>
              <w:rPr>
                <w:rFonts w:ascii="Times New Roman" w:hAnsi="Times New Roman"/>
                <w:bCs/>
                <w:sz w:val="18"/>
                <w:szCs w:val="18"/>
              </w:rPr>
            </w:pPr>
            <w:r>
              <w:rPr>
                <w:rFonts w:ascii="Times New Roman" w:hAnsi="Times New Roman"/>
                <w:bCs/>
                <w:sz w:val="18"/>
                <w:szCs w:val="18"/>
              </w:rPr>
              <w:t xml:space="preserve">■两微一端 ■政务服务中心             </w:t>
            </w:r>
          </w:p>
          <w:p>
            <w:pPr>
              <w:spacing w:line="260" w:lineRule="exact"/>
              <w:rPr>
                <w:rFonts w:ascii="Times New Roman" w:hAnsi="Times New Roman"/>
                <w:bCs/>
                <w:sz w:val="18"/>
                <w:szCs w:val="18"/>
              </w:rPr>
            </w:pPr>
            <w:r>
              <w:rPr>
                <w:rFonts w:ascii="Times New Roman" w:hAnsi="Times New Roman"/>
                <w:bCs/>
                <w:sz w:val="18"/>
                <w:szCs w:val="18"/>
              </w:rPr>
              <w:t>■便民服务站</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0"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机构设置</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镇（街道、开发区）简介</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镇（街道、开发区）简介及特色</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r>
              <w:rPr>
                <w:rFonts w:ascii="Times New Roman" w:hAnsi="Times New Roman"/>
                <w:bCs/>
                <w:sz w:val="18"/>
                <w:szCs w:val="18"/>
              </w:rPr>
              <w:br w:type="textWrapping"/>
            </w:r>
            <w:r>
              <w:rPr>
                <w:rFonts w:hint="eastAsia" w:ascii="Times New Roman" w:hAnsi="Times New Roman"/>
                <w:bCs/>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■两微一端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8"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Merge w:val="continue"/>
            <w:vAlign w:val="center"/>
          </w:tcPr>
          <w:p>
            <w:pPr>
              <w:spacing w:line="260" w:lineRule="exact"/>
              <w:jc w:val="center"/>
              <w:rPr>
                <w:rFonts w:ascii="Times New Roman" w:hAnsi="Times New Roman"/>
                <w:bCs/>
                <w:sz w:val="18"/>
                <w:szCs w:val="18"/>
              </w:rPr>
            </w:pP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内设机构</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名称，职能，办公地址、负责人、联系方式等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■两微一端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6"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机构设置</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基层站所</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名称，职能，办公地址、负责人、联系方式等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p>
            <w:pPr>
              <w:spacing w:line="260" w:lineRule="exact"/>
              <w:rPr>
                <w:rFonts w:ascii="Times New Roman" w:hAnsi="Times New Roman"/>
                <w:bCs/>
                <w:sz w:val="18"/>
                <w:szCs w:val="18"/>
              </w:rPr>
            </w:pPr>
            <w:r>
              <w:rPr>
                <w:rFonts w:ascii="Times New Roman" w:hAnsi="Times New Roman"/>
                <w:bCs/>
                <w:sz w:val="18"/>
                <w:szCs w:val="18"/>
              </w:rPr>
              <w:t>■便民服务站</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19"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管理和</w:t>
            </w:r>
          </w:p>
          <w:p>
            <w:pPr>
              <w:spacing w:line="260" w:lineRule="exact"/>
              <w:jc w:val="center"/>
              <w:rPr>
                <w:rFonts w:ascii="Times New Roman" w:hAnsi="Times New Roman"/>
                <w:bCs/>
                <w:sz w:val="18"/>
                <w:szCs w:val="18"/>
              </w:rPr>
            </w:pPr>
            <w:r>
              <w:rPr>
                <w:rFonts w:ascii="Times New Roman" w:hAnsi="Times New Roman"/>
                <w:bCs/>
                <w:sz w:val="18"/>
                <w:szCs w:val="18"/>
              </w:rPr>
              <w:t>服务</w:t>
            </w:r>
          </w:p>
        </w:tc>
        <w:tc>
          <w:tcPr>
            <w:tcW w:w="851" w:type="dxa"/>
            <w:vMerge w:val="continue"/>
            <w:vAlign w:val="center"/>
          </w:tcPr>
          <w:p>
            <w:pPr>
              <w:spacing w:line="260" w:lineRule="exact"/>
              <w:jc w:val="center"/>
              <w:rPr>
                <w:rFonts w:ascii="Times New Roman" w:hAnsi="Times New Roman"/>
                <w:bCs/>
                <w:sz w:val="18"/>
                <w:szCs w:val="18"/>
              </w:rPr>
            </w:pP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行政村（社区）</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名称，概况，办公地址、负责人、联系方式等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sz w:val="18"/>
                <w:szCs w:val="18"/>
              </w:rPr>
            </w:pPr>
            <w:r>
              <w:rPr>
                <w:rFonts w:ascii="Times New Roman" w:hAnsi="Times New Roman"/>
                <w:bCs/>
                <w:sz w:val="18"/>
                <w:szCs w:val="18"/>
              </w:rPr>
              <w:t>党政办</w:t>
            </w:r>
            <w:r>
              <w:rPr>
                <w:rFonts w:ascii="Times New Roman" w:hAnsi="Times New Roman"/>
                <w:bCs/>
                <w:sz w:val="18"/>
                <w:szCs w:val="18"/>
              </w:rPr>
              <w:br w:type="textWrapping"/>
            </w:r>
            <w:r>
              <w:rPr>
                <w:rFonts w:hint="eastAsia" w:ascii="Times New Roman" w:hAnsi="Times New Roman"/>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■两微一端 ■便民服务站</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人事信息</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人事任免、人员招考录用等信息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党建办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财政资金</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年度财政预决算</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上年度财政预算执行情况和本年度财政预算草案报告；本年度预算报表及说明，预算调整的决定或批复；上年度决算报表及说明等信息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《中华人民共和国预算法》；</w:t>
            </w:r>
          </w:p>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《中共中央办公厅国务院办公厅印发〈关于进一步推进预算公开工作的意见〉的通知》（中办发〔2016〕13号）；</w:t>
            </w:r>
          </w:p>
          <w:p>
            <w:pPr>
              <w:spacing w:line="260" w:lineRule="exact"/>
              <w:rPr>
                <w:rFonts w:ascii="Times New Roman" w:hAnsi="Times New Roman"/>
                <w:bCs/>
                <w:sz w:val="18"/>
                <w:szCs w:val="18"/>
              </w:rPr>
            </w:pPr>
            <w:r>
              <w:rPr>
                <w:rFonts w:ascii="Times New Roman" w:hAnsi="Times New Roman"/>
                <w:bCs/>
                <w:sz w:val="18"/>
                <w:szCs w:val="18"/>
              </w:rPr>
              <w:t>《关于印发〈地方预决算公开操作规程〉的通知》（财预〔2016〕143号）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财政所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管理和</w:t>
            </w:r>
          </w:p>
          <w:p>
            <w:pPr>
              <w:spacing w:line="260" w:lineRule="exact"/>
              <w:jc w:val="center"/>
              <w:rPr>
                <w:rFonts w:ascii="Times New Roman" w:hAnsi="Times New Roman"/>
                <w:bCs/>
                <w:sz w:val="18"/>
                <w:szCs w:val="18"/>
              </w:rPr>
            </w:pPr>
            <w:r>
              <w:rPr>
                <w:rFonts w:ascii="Times New Roman" w:hAnsi="Times New Roman"/>
                <w:bCs/>
                <w:sz w:val="18"/>
                <w:szCs w:val="18"/>
              </w:rPr>
              <w:t>服务</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财政资金</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“三公”经费情况</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本年度“三公”经费预算安排；上年度“三公”经费决算报告包括细化说明因公出国（境）团组数及人数；公务用车购置数及保有量；国内公务接待的批次、人数；“三公”经费增减变化原因等信息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《中华人民共和国预算法》；</w:t>
            </w:r>
          </w:p>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《中共中央办公厅国务院办公厅印发〈关于进一步推进预算公开工作的意见〉的通知》（中办发〔2016〕13号）；</w:t>
            </w:r>
          </w:p>
          <w:p>
            <w:pPr>
              <w:spacing w:line="260" w:lineRule="exact"/>
              <w:rPr>
                <w:rFonts w:ascii="Times New Roman" w:hAnsi="Times New Roman"/>
                <w:bCs/>
                <w:sz w:val="18"/>
                <w:szCs w:val="18"/>
              </w:rPr>
            </w:pPr>
            <w:r>
              <w:rPr>
                <w:rFonts w:ascii="Times New Roman" w:hAnsi="Times New Roman"/>
                <w:bCs/>
                <w:sz w:val="18"/>
                <w:szCs w:val="18"/>
              </w:rPr>
              <w:t>《关于印发〈地方预决算公开操作规程〉的通知》（财预〔2016〕143号）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财政所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9"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管理和</w:t>
            </w:r>
          </w:p>
          <w:p>
            <w:pPr>
              <w:spacing w:line="260" w:lineRule="exact"/>
              <w:jc w:val="center"/>
              <w:rPr>
                <w:rFonts w:ascii="Times New Roman" w:hAnsi="Times New Roman"/>
                <w:bCs/>
                <w:sz w:val="18"/>
                <w:szCs w:val="18"/>
              </w:rPr>
            </w:pPr>
            <w:r>
              <w:rPr>
                <w:rFonts w:ascii="Times New Roman" w:hAnsi="Times New Roman"/>
                <w:bCs/>
                <w:sz w:val="18"/>
                <w:szCs w:val="18"/>
              </w:rPr>
              <w:t>服务</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权责清单</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公开乡镇级政府权力清单和责任清单，乡镇级政府廉政风险点情况表，乡镇级政府权力运行流程图 </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《中共中央办公厅国务院办公厅印发〈关于推行地方各级政府工作部门权力清单制度的指导意见〉的通知》（中办发〔2015〕21号）；</w:t>
            </w:r>
          </w:p>
          <w:p>
            <w:pPr>
              <w:spacing w:line="260" w:lineRule="exact"/>
              <w:rPr>
                <w:rFonts w:ascii="Times New Roman" w:hAnsi="Times New Roman"/>
                <w:bCs/>
                <w:sz w:val="18"/>
                <w:szCs w:val="18"/>
              </w:rPr>
            </w:pPr>
            <w:r>
              <w:rPr>
                <w:rFonts w:ascii="Times New Roman" w:hAnsi="Times New Roman"/>
                <w:bCs/>
                <w:sz w:val="18"/>
                <w:szCs w:val="18"/>
              </w:rPr>
              <w:t>《国务院办公厅关于做好证明事项清理工作的通知》（国办发〔2018〕47号）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按照法定时间公开</w:t>
            </w:r>
          </w:p>
        </w:tc>
        <w:tc>
          <w:tcPr>
            <w:tcW w:w="992" w:type="dxa"/>
            <w:vAlign w:val="center"/>
          </w:tcPr>
          <w:p>
            <w:pPr>
              <w:spacing w:line="260" w:lineRule="exact"/>
              <w:jc w:val="center"/>
              <w:rPr>
                <w:rFonts w:hint="eastAsia"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vertAlign w:val="subscript"/>
              </w:rPr>
            </w:pPr>
            <w:r>
              <w:rPr>
                <w:rFonts w:hint="eastAsia" w:ascii="Times New Roman" w:hAnsi="Times New Roman"/>
                <w:bCs/>
                <w:sz w:val="18"/>
                <w:szCs w:val="18"/>
              </w:rPr>
              <w:t>纪工委</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公共服务清单</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公开公共服务目录清单，包括提供所有服务事项的名称、内容、办理主体，行使依据，期限，监督渠道等信息 </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《国务院办公厅关于简化优化公共服务流程方便基层群众办事创业的通知》(国办发〔2015〕86号)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及时公开</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权力运行结果</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定期（月或季度）公开各项行政权力事项办理结果，结果要素齐全、具体 </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《山东省人民政府关于印发＜山东省政府部门权责清单管理办法＞的通知》（鲁政字〔2019〕247号）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hint="eastAsia"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hint="eastAsia" w:ascii="Times New Roman" w:hAnsi="Times New Roman"/>
                <w:bCs/>
                <w:sz w:val="18"/>
                <w:szCs w:val="18"/>
              </w:rPr>
              <w:t>纪工委</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3"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管理和</w:t>
            </w:r>
          </w:p>
          <w:p>
            <w:pPr>
              <w:spacing w:line="260" w:lineRule="exact"/>
              <w:jc w:val="center"/>
              <w:rPr>
                <w:rFonts w:ascii="Times New Roman" w:hAnsi="Times New Roman"/>
                <w:bCs/>
                <w:sz w:val="18"/>
                <w:szCs w:val="18"/>
              </w:rPr>
            </w:pPr>
            <w:r>
              <w:rPr>
                <w:rFonts w:ascii="Times New Roman" w:hAnsi="Times New Roman"/>
                <w:bCs/>
                <w:sz w:val="18"/>
                <w:szCs w:val="18"/>
              </w:rPr>
              <w:t>服务</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人口与</w:t>
            </w:r>
          </w:p>
          <w:p>
            <w:pPr>
              <w:spacing w:line="260" w:lineRule="exact"/>
              <w:jc w:val="center"/>
              <w:rPr>
                <w:rFonts w:ascii="Times New Roman" w:hAnsi="Times New Roman"/>
                <w:bCs/>
                <w:sz w:val="18"/>
                <w:szCs w:val="18"/>
              </w:rPr>
            </w:pPr>
            <w:r>
              <w:rPr>
                <w:rFonts w:ascii="Times New Roman" w:hAnsi="Times New Roman"/>
                <w:bCs/>
                <w:sz w:val="18"/>
                <w:szCs w:val="18"/>
              </w:rPr>
              <w:t>计生</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人口计生的相关政策，奖励与帮扶，工作推进</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《国家卫生计生委办公厅关于印发医院、计划生育技术服务机构等9类医疗卫生机构信息公开目录的通知》（国卫办政务发〔2015〕12号）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科教文卫</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66"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网上政务服务</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按照事项办理类别公开为民服务办事结果，办事结果要素齐全、具体（可链接到山东政务服务网本地分厅）</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《国务院关于加快推进“互联网+政务服务”工作的指导意见》（国发〔2016〕55号）；</w:t>
            </w:r>
          </w:p>
          <w:p>
            <w:pPr>
              <w:spacing w:line="260" w:lineRule="exact"/>
              <w:rPr>
                <w:rFonts w:ascii="Times New Roman" w:hAnsi="Times New Roman"/>
                <w:bCs/>
                <w:sz w:val="18"/>
                <w:szCs w:val="18"/>
              </w:rPr>
            </w:pPr>
            <w:r>
              <w:rPr>
                <w:rFonts w:ascii="Times New Roman" w:hAnsi="Times New Roman"/>
                <w:bCs/>
                <w:sz w:val="18"/>
                <w:szCs w:val="18"/>
              </w:rPr>
              <w:t>《国务院办公厅关于印发进一步深化“互联网+政务服务”推进政务服务“一网、一门、一次”改革实施方案的通知》（国办发〔2018〕45号）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按照有关规定及时公开</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11"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tabs>
                <w:tab w:val="left" w:pos="585"/>
              </w:tabs>
              <w:spacing w:line="260" w:lineRule="exact"/>
              <w:jc w:val="center"/>
              <w:rPr>
                <w:rFonts w:ascii="Times New Roman" w:hAnsi="Times New Roman"/>
                <w:bCs/>
                <w:sz w:val="18"/>
                <w:szCs w:val="18"/>
              </w:rPr>
            </w:pPr>
            <w:r>
              <w:rPr>
                <w:rFonts w:ascii="Times New Roman" w:hAnsi="Times New Roman"/>
                <w:bCs/>
                <w:sz w:val="18"/>
                <w:szCs w:val="18"/>
              </w:rPr>
              <w:t>精准脱贫</w:t>
            </w:r>
          </w:p>
        </w:tc>
        <w:tc>
          <w:tcPr>
            <w:tcW w:w="849" w:type="dxa"/>
            <w:vAlign w:val="center"/>
          </w:tcPr>
          <w:p>
            <w:pPr>
              <w:tabs>
                <w:tab w:val="left" w:pos="585"/>
              </w:tabs>
              <w:spacing w:line="260" w:lineRule="exact"/>
              <w:jc w:val="center"/>
              <w:rPr>
                <w:rFonts w:ascii="Times New Roman" w:hAnsi="Times New Roman"/>
                <w:bCs/>
                <w:sz w:val="18"/>
                <w:szCs w:val="18"/>
              </w:rPr>
            </w:pPr>
          </w:p>
        </w:tc>
        <w:tc>
          <w:tcPr>
            <w:tcW w:w="2545" w:type="dxa"/>
            <w:vAlign w:val="center"/>
          </w:tcPr>
          <w:p>
            <w:pPr>
              <w:tabs>
                <w:tab w:val="left" w:pos="585"/>
              </w:tabs>
              <w:spacing w:line="260" w:lineRule="exact"/>
              <w:rPr>
                <w:rFonts w:ascii="Times New Roman" w:hAnsi="Times New Roman"/>
                <w:bCs/>
                <w:sz w:val="18"/>
                <w:szCs w:val="18"/>
              </w:rPr>
            </w:pPr>
            <w:r>
              <w:rPr>
                <w:rFonts w:ascii="Times New Roman" w:hAnsi="Times New Roman"/>
                <w:bCs/>
                <w:sz w:val="18"/>
                <w:szCs w:val="18"/>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1418" w:type="dxa"/>
            <w:vAlign w:val="center"/>
          </w:tcPr>
          <w:p>
            <w:pPr>
              <w:tabs>
                <w:tab w:val="left" w:pos="585"/>
              </w:tabs>
              <w:spacing w:line="260" w:lineRule="exact"/>
              <w:rPr>
                <w:rFonts w:ascii="Times New Roman" w:hAnsi="Times New Roman"/>
                <w:bCs/>
                <w:sz w:val="18"/>
                <w:szCs w:val="18"/>
              </w:rPr>
            </w:pPr>
            <w:r>
              <w:rPr>
                <w:rFonts w:ascii="Times New Roman" w:hAnsi="Times New Roman"/>
                <w:bCs/>
                <w:sz w:val="18"/>
                <w:szCs w:val="18"/>
              </w:rPr>
              <w:t>《国务院办公厅关于推进社会公益事业建设领域政府信息公开的意见》（国办发〔2018〕10号）；</w:t>
            </w:r>
          </w:p>
          <w:p>
            <w:pPr>
              <w:spacing w:line="260" w:lineRule="exact"/>
              <w:rPr>
                <w:rFonts w:ascii="Times New Roman" w:hAnsi="Times New Roman"/>
                <w:bCs/>
                <w:sz w:val="18"/>
                <w:szCs w:val="18"/>
              </w:rPr>
            </w:pPr>
            <w:r>
              <w:rPr>
                <w:rFonts w:ascii="Times New Roman" w:hAnsi="Times New Roman"/>
                <w:bCs/>
                <w:sz w:val="18"/>
                <w:szCs w:val="18"/>
              </w:rPr>
              <w:t>《山东人民政府办公厅推进重大建设项目批准和实施、公共资源配置、社会公益事业建设领域政府信息公开任务分工方案》</w:t>
            </w:r>
          </w:p>
        </w:tc>
        <w:tc>
          <w:tcPr>
            <w:tcW w:w="992" w:type="dxa"/>
            <w:vAlign w:val="center"/>
          </w:tcPr>
          <w:p>
            <w:pPr>
              <w:tabs>
                <w:tab w:val="left" w:pos="585"/>
              </w:tabs>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tabs>
                <w:tab w:val="left" w:pos="585"/>
              </w:tabs>
              <w:spacing w:line="260" w:lineRule="exact"/>
              <w:jc w:val="center"/>
              <w:rPr>
                <w:rFonts w:ascii="Times New Roman" w:hAnsi="Times New Roman"/>
                <w:bCs/>
                <w:sz w:val="18"/>
                <w:szCs w:val="18"/>
              </w:rPr>
            </w:pPr>
            <w:r>
              <w:rPr>
                <w:rFonts w:ascii="Times New Roman" w:hAnsi="Times New Roman"/>
                <w:bCs/>
                <w:sz w:val="18"/>
                <w:szCs w:val="18"/>
              </w:rPr>
              <w:t>扶贫</w:t>
            </w:r>
            <w:r>
              <w:rPr>
                <w:rFonts w:hint="eastAsia" w:ascii="Times New Roman" w:hAnsi="Times New Roman"/>
                <w:bCs/>
                <w:sz w:val="18"/>
                <w:szCs w:val="18"/>
              </w:rPr>
              <w:t>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p>
            <w:pPr>
              <w:spacing w:line="260" w:lineRule="exact"/>
              <w:rPr>
                <w:rFonts w:ascii="Times New Roman" w:hAnsi="Times New Roman"/>
                <w:bCs/>
                <w:sz w:val="18"/>
                <w:szCs w:val="18"/>
              </w:rPr>
            </w:pPr>
            <w:r>
              <w:rPr>
                <w:rFonts w:ascii="Times New Roman" w:hAnsi="Times New Roman"/>
                <w:bCs/>
                <w:sz w:val="18"/>
                <w:szCs w:val="18"/>
              </w:rPr>
              <w:t xml:space="preserve"> ■入户/现场</w:t>
            </w:r>
          </w:p>
          <w:p>
            <w:pPr>
              <w:tabs>
                <w:tab w:val="left" w:pos="585"/>
              </w:tabs>
              <w:spacing w:line="260" w:lineRule="exact"/>
              <w:rPr>
                <w:rFonts w:ascii="Times New Roman" w:hAnsi="Times New Roman"/>
                <w:bCs/>
                <w:sz w:val="18"/>
                <w:szCs w:val="18"/>
              </w:rPr>
            </w:pPr>
          </w:p>
        </w:tc>
        <w:tc>
          <w:tcPr>
            <w:tcW w:w="567" w:type="dxa"/>
            <w:vAlign w:val="center"/>
          </w:tcPr>
          <w:p>
            <w:pPr>
              <w:tabs>
                <w:tab w:val="left" w:pos="585"/>
              </w:tabs>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tabs>
                <w:tab w:val="left" w:pos="585"/>
              </w:tabs>
              <w:spacing w:line="260" w:lineRule="exact"/>
              <w:jc w:val="center"/>
              <w:rPr>
                <w:rFonts w:ascii="Times New Roman" w:hAnsi="Times New Roman"/>
                <w:bCs/>
                <w:sz w:val="18"/>
                <w:szCs w:val="18"/>
              </w:rPr>
            </w:pPr>
          </w:p>
        </w:tc>
        <w:tc>
          <w:tcPr>
            <w:tcW w:w="567" w:type="dxa"/>
            <w:vAlign w:val="center"/>
          </w:tcPr>
          <w:p>
            <w:pPr>
              <w:tabs>
                <w:tab w:val="left" w:pos="585"/>
              </w:tabs>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tabs>
                <w:tab w:val="left" w:pos="585"/>
              </w:tabs>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70"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基本医疗卫生</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发布突发公共卫生事件、传染病疫情及防控、国家免疫计划、重大疾病、预防控制、健康科普、医疗服务等信息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r>
              <w:rPr>
                <w:rFonts w:ascii="Times New Roman" w:hAnsi="Times New Roman"/>
                <w:bCs/>
                <w:sz w:val="18"/>
                <w:szCs w:val="18"/>
              </w:rPr>
              <w:t>《国家卫生计生委关于印发国家卫生计生委政府信息公开管理办法的通知》（国卫办发〔2014〕2号）；</w:t>
            </w:r>
          </w:p>
          <w:p>
            <w:pPr>
              <w:spacing w:line="260" w:lineRule="exact"/>
              <w:rPr>
                <w:rFonts w:ascii="Times New Roman" w:hAnsi="Times New Roman"/>
                <w:bCs/>
                <w:sz w:val="18"/>
                <w:szCs w:val="18"/>
              </w:rPr>
            </w:pPr>
            <w:r>
              <w:rPr>
                <w:rFonts w:ascii="Times New Roman" w:hAnsi="Times New Roman"/>
                <w:bCs/>
                <w:sz w:val="18"/>
                <w:szCs w:val="18"/>
              </w:rPr>
              <w:t>《突发公共卫生事件应急条例》（国务院令第588号）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科教文卫</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社会保障</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城乡低保办理流程、保障标准，按月度或季度发放城乡低保发放花名册；农村特困救助供养办理流程、保障标准，按月度或季度发布特困救助供养花名册；孤儿基本生活费办理流程、保障标准，按月度或季度发布供养孤儿基本生活费发放人数统计; 经济困难老年人补贴申领及申请审批程序，福利补贴发放；残疾人两项补贴申领及申请审批程序，福利补贴发放；儿童福利补贴申领及申请审批程序</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《国务院办公厅关于推进社会公益事业建设领域政府信息公开的意见》（国办发〔2018〕10号）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民政</w:t>
            </w:r>
            <w:r>
              <w:rPr>
                <w:rFonts w:hint="eastAsia" w:ascii="Times New Roman" w:hAnsi="Times New Roman"/>
                <w:bCs/>
                <w:sz w:val="18"/>
                <w:szCs w:val="18"/>
              </w:rPr>
              <w:t>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   ■两微一端     ■纸质媒体</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促进就业</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公益性岗位开发、就业驿站、技能培训的上级政策及工作方案、工作推进、工作成效等信息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及时公开</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人社所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   ■两微一端   ■纸质媒体</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bookmarkStart w:id="0" w:name="_GoBack"/>
            <w:bookmarkEnd w:id="0"/>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宅基地使用情况审核</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发布宅基地使用情况审核统计表包括使用人姓名、用地面积、耕地或非耕地等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hint="eastAsia" w:ascii="Times New Roman" w:hAnsi="Times New Roman"/>
                <w:bCs/>
                <w:sz w:val="18"/>
                <w:szCs w:val="18"/>
              </w:rPr>
            </w:pPr>
            <w:r>
              <w:rPr>
                <w:rFonts w:ascii="Times New Roman" w:hAnsi="Times New Roman"/>
                <w:bCs/>
                <w:sz w:val="18"/>
                <w:szCs w:val="18"/>
              </w:rPr>
              <w:t>国土所</w:t>
            </w:r>
          </w:p>
          <w:p>
            <w:pPr>
              <w:spacing w:line="260" w:lineRule="exact"/>
              <w:jc w:val="center"/>
              <w:rPr>
                <w:rFonts w:ascii="Times New Roman" w:hAnsi="Times New Roman"/>
                <w:bCs/>
                <w:sz w:val="18"/>
                <w:szCs w:val="18"/>
              </w:rPr>
            </w:pP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5"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房屋征收</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转发征收批复、征收公告，发布补偿安置等信息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《国有土地上房屋征收与补偿条例》（国务院令第590号）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城建办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545" w:type="dxa"/>
            <w:vAlign w:val="center"/>
          </w:tcPr>
          <w:p>
            <w:pPr>
              <w:numPr>
                <w:ilvl w:val="0"/>
                <w:numId w:val="1"/>
              </w:numPr>
              <w:adjustRightInd/>
              <w:snapToGrid/>
              <w:spacing w:after="0" w:line="260" w:lineRule="exact"/>
              <w:jc w:val="both"/>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社会救助</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医疗救助办理流程，救助标准，按月度或季度发布医疗救助花名册；临时救助办理流程，救助标准；按月度或季度发布困难群众临时救助花名册；计生特殊困难家庭扶助对象认定、本年度救助标准；按月度或按季度公开分配救助款物、资金管理使用安排；灾情统计核定、救灾工作情况；救灾资金物资调拨使用；贫困精神病患者免费服药调查花名册、送温暖对象花名册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《社会救助暂行办法》（国务院令第649号）；</w:t>
            </w:r>
          </w:p>
          <w:p>
            <w:pPr>
              <w:spacing w:line="260" w:lineRule="exact"/>
              <w:rPr>
                <w:rFonts w:ascii="Times New Roman" w:hAnsi="Times New Roman"/>
                <w:bCs/>
                <w:sz w:val="18"/>
                <w:szCs w:val="18"/>
              </w:rPr>
            </w:pPr>
            <w:r>
              <w:rPr>
                <w:rFonts w:ascii="Times New Roman" w:hAnsi="Times New Roman"/>
                <w:bCs/>
                <w:sz w:val="18"/>
                <w:szCs w:val="18"/>
              </w:rPr>
              <w:t>《国务院办公厅关于推进社会公益事业建设领域政府信息公开的意见》（国办发〔2018〕10号）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自该信息形成或者变更之日起20个工作日内。（征地批复、征地公告自信息形成10个工作日内）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民政</w:t>
            </w:r>
            <w:r>
              <w:rPr>
                <w:rFonts w:hint="eastAsia" w:ascii="Times New Roman" w:hAnsi="Times New Roman"/>
                <w:bCs/>
                <w:sz w:val="18"/>
                <w:szCs w:val="18"/>
              </w:rPr>
              <w:t>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 ■政务服务中心             </w:t>
            </w:r>
          </w:p>
          <w:p>
            <w:pPr>
              <w:spacing w:line="260" w:lineRule="exact"/>
              <w:rPr>
                <w:rFonts w:ascii="Times New Roman" w:hAnsi="Times New Roman"/>
                <w:bCs/>
                <w:sz w:val="18"/>
                <w:szCs w:val="18"/>
              </w:rPr>
            </w:pPr>
            <w:r>
              <w:rPr>
                <w:rFonts w:ascii="Times New Roman" w:hAnsi="Times New Roman"/>
                <w:bCs/>
                <w:sz w:val="18"/>
                <w:szCs w:val="18"/>
              </w:rPr>
              <w:t>■便民服务站</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生态环境</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河（湖）长制、林长制、畜禽养殖、改水改厕、垃圾治理等环境保护领域政策落实、工作推进监督检查等信息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《中华人民共和国环境保护法》（主席令第9号）；</w:t>
            </w:r>
          </w:p>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br w:type="textWrapping"/>
            </w:r>
            <w:r>
              <w:rPr>
                <w:rFonts w:ascii="Times New Roman" w:hAnsi="Times New Roman"/>
                <w:bCs/>
                <w:sz w:val="18"/>
                <w:szCs w:val="18"/>
              </w:rPr>
              <w:t>林业站</w:t>
            </w:r>
            <w:r>
              <w:rPr>
                <w:rFonts w:ascii="Times New Roman" w:hAnsi="Times New Roman"/>
                <w:bCs/>
                <w:sz w:val="18"/>
                <w:szCs w:val="18"/>
              </w:rPr>
              <w:br w:type="textWrapping"/>
            </w:r>
            <w:r>
              <w:rPr>
                <w:rFonts w:ascii="Times New Roman" w:hAnsi="Times New Roman"/>
                <w:bCs/>
                <w:sz w:val="18"/>
                <w:szCs w:val="18"/>
              </w:rPr>
              <w:t>水利站</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  ■入户/现场</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70"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美丽乡村</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发布美丽乡村建设规划、省市县美丽乡村建设示范点；本辖区的美丽乡村建设进展情况等</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国土所</w:t>
            </w:r>
            <w:r>
              <w:rPr>
                <w:rFonts w:ascii="Times New Roman" w:hAnsi="Times New Roman"/>
                <w:bCs/>
                <w:sz w:val="18"/>
                <w:szCs w:val="18"/>
              </w:rPr>
              <w:br w:type="textWrapping"/>
            </w:r>
            <w:r>
              <w:rPr>
                <w:rFonts w:hint="eastAsia" w:ascii="Times New Roman" w:hAnsi="Times New Roman"/>
                <w:bCs/>
                <w:sz w:val="18"/>
                <w:szCs w:val="18"/>
              </w:rPr>
              <w:t>城建办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44"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restart"/>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土地利用</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发布本辖区土地利用总体规划编制情况、土地整治（土地增减挂钩、新增耕地、工矿废弃地复垦等）实施情况</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国土所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90"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农村危房改造</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实施方案、文件通知、申请改造条件、申请程序、危房鉴定标准；改造资金安排、数量，年度完成情况等信息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《中华人民共和国政府信息公开条例》（国务院令第711号） </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br w:type="textWrapping"/>
            </w:r>
            <w:r>
              <w:rPr>
                <w:rFonts w:hint="eastAsia" w:ascii="Times New Roman" w:hAnsi="Times New Roman"/>
                <w:bCs/>
                <w:sz w:val="18"/>
                <w:szCs w:val="18"/>
              </w:rPr>
              <w:t>城建办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■公开查阅点 ■政务服务中心             </w:t>
            </w:r>
          </w:p>
          <w:p>
            <w:pPr>
              <w:spacing w:line="260" w:lineRule="exact"/>
              <w:rPr>
                <w:rFonts w:ascii="Times New Roman" w:hAnsi="Times New Roman"/>
                <w:bCs/>
                <w:sz w:val="18"/>
                <w:szCs w:val="18"/>
              </w:rPr>
            </w:pPr>
            <w:r>
              <w:rPr>
                <w:rFonts w:ascii="Times New Roman" w:hAnsi="Times New Roman"/>
                <w:bCs/>
                <w:sz w:val="18"/>
                <w:szCs w:val="18"/>
              </w:rPr>
              <w:t>■便民服务站 ■入户/现场</w:t>
            </w:r>
          </w:p>
          <w:p>
            <w:pPr>
              <w:spacing w:line="260" w:lineRule="exact"/>
              <w:rPr>
                <w:rFonts w:ascii="Times New Roman" w:hAnsi="Times New Roman"/>
                <w:bCs/>
                <w:sz w:val="18"/>
                <w:szCs w:val="18"/>
              </w:rPr>
            </w:pPr>
            <w:r>
              <w:rPr>
                <w:rFonts w:ascii="Times New Roman" w:hAnsi="Times New Roman"/>
                <w:bCs/>
                <w:sz w:val="18"/>
                <w:szCs w:val="18"/>
              </w:rPr>
              <w:t>■社区/企事业单位/村公示栏（电子屏）</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86"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Merge w:val="continue"/>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公共资源交易</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交易公告</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发布交易预算和交易公告</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《国务院办公厅关于推进公共资源配置领域政府信息公开的意见》（国办发〔2017〕97号）；</w:t>
            </w:r>
          </w:p>
          <w:p>
            <w:pPr>
              <w:spacing w:line="260" w:lineRule="exact"/>
              <w:rPr>
                <w:rFonts w:ascii="Times New Roman" w:hAnsi="Times New Roman"/>
                <w:bCs/>
                <w:sz w:val="18"/>
                <w:szCs w:val="18"/>
              </w:rPr>
            </w:pPr>
            <w:r>
              <w:rPr>
                <w:rFonts w:ascii="Times New Roman" w:hAnsi="Times New Roman"/>
                <w:bCs/>
                <w:sz w:val="18"/>
                <w:szCs w:val="18"/>
              </w:rPr>
              <w:t>《中华人民共和国政府采购法实施条例》（国务院令第658号）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财政所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 ■其他</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78"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重点领域信息公开</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公共资源交易</w:t>
            </w:r>
          </w:p>
        </w:tc>
        <w:tc>
          <w:tcPr>
            <w:tcW w:w="849"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中标成交</w:t>
            </w:r>
          </w:p>
          <w:p>
            <w:pPr>
              <w:spacing w:line="260" w:lineRule="exact"/>
              <w:jc w:val="center"/>
              <w:rPr>
                <w:rFonts w:ascii="Times New Roman" w:hAnsi="Times New Roman"/>
                <w:bCs/>
                <w:sz w:val="18"/>
                <w:szCs w:val="18"/>
              </w:rPr>
            </w:pPr>
            <w:r>
              <w:rPr>
                <w:rFonts w:ascii="Times New Roman" w:hAnsi="Times New Roman"/>
                <w:bCs/>
                <w:sz w:val="18"/>
                <w:szCs w:val="18"/>
              </w:rPr>
              <w:t>公告</w:t>
            </w:r>
            <w:r>
              <w:rPr>
                <w:rFonts w:ascii="Times New Roman" w:hAnsi="Times New Roman"/>
                <w:bCs/>
                <w:sz w:val="18"/>
                <w:szCs w:val="18"/>
              </w:rPr>
              <w:br w:type="textWrapping"/>
            </w: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发布中标成交公告</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《国务院办公厅关于推进公共资源配置领域政府信息公开的意见》（国办发〔2017〕97号）；</w:t>
            </w:r>
          </w:p>
          <w:p>
            <w:pPr>
              <w:spacing w:line="260" w:lineRule="exact"/>
              <w:rPr>
                <w:rFonts w:ascii="Times New Roman" w:hAnsi="Times New Roman"/>
                <w:bCs/>
                <w:sz w:val="18"/>
                <w:szCs w:val="18"/>
              </w:rPr>
            </w:pPr>
            <w:r>
              <w:rPr>
                <w:rFonts w:ascii="Times New Roman" w:hAnsi="Times New Roman"/>
                <w:bCs/>
                <w:sz w:val="18"/>
                <w:szCs w:val="18"/>
              </w:rPr>
              <w:t>《中华人民共和国政府采购法实施条例》（国务院令第658号）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财政所</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w:t>
            </w:r>
          </w:p>
          <w:p>
            <w:pPr>
              <w:spacing w:line="260" w:lineRule="exact"/>
              <w:rPr>
                <w:rFonts w:ascii="Times New Roman" w:hAnsi="Times New Roman"/>
                <w:bCs/>
                <w:sz w:val="18"/>
                <w:szCs w:val="18"/>
              </w:rPr>
            </w:pPr>
            <w:r>
              <w:rPr>
                <w:rFonts w:ascii="Times New Roman" w:hAnsi="Times New Roman"/>
                <w:bCs/>
                <w:sz w:val="18"/>
                <w:szCs w:val="18"/>
              </w:rPr>
              <w:t xml:space="preserve"> ■其他</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jc w:val="center"/>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4"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新闻发布</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新闻</w:t>
            </w:r>
          </w:p>
          <w:p>
            <w:pPr>
              <w:spacing w:line="260" w:lineRule="exact"/>
              <w:jc w:val="center"/>
              <w:rPr>
                <w:rFonts w:ascii="Times New Roman" w:hAnsi="Times New Roman"/>
                <w:bCs/>
                <w:sz w:val="18"/>
                <w:szCs w:val="18"/>
              </w:rPr>
            </w:pPr>
            <w:r>
              <w:rPr>
                <w:rFonts w:ascii="Times New Roman" w:hAnsi="Times New Roman"/>
                <w:bCs/>
                <w:sz w:val="18"/>
                <w:szCs w:val="18"/>
              </w:rPr>
              <w:t>发布</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新闻发布会及其他形式的新闻宣传信息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92"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政策</w:t>
            </w:r>
          </w:p>
          <w:p>
            <w:pPr>
              <w:spacing w:line="260" w:lineRule="exact"/>
              <w:jc w:val="center"/>
              <w:rPr>
                <w:rFonts w:ascii="Times New Roman" w:hAnsi="Times New Roman"/>
                <w:bCs/>
                <w:sz w:val="18"/>
                <w:szCs w:val="18"/>
              </w:rPr>
            </w:pPr>
            <w:r>
              <w:rPr>
                <w:rFonts w:ascii="Times New Roman" w:hAnsi="Times New Roman"/>
                <w:bCs/>
                <w:sz w:val="18"/>
                <w:szCs w:val="18"/>
              </w:rPr>
              <w:t>解读</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政策</w:t>
            </w:r>
          </w:p>
          <w:p>
            <w:pPr>
              <w:spacing w:line="260" w:lineRule="exact"/>
              <w:jc w:val="center"/>
              <w:rPr>
                <w:rFonts w:ascii="Times New Roman" w:hAnsi="Times New Roman"/>
                <w:bCs/>
                <w:sz w:val="18"/>
                <w:szCs w:val="18"/>
              </w:rPr>
            </w:pPr>
            <w:r>
              <w:rPr>
                <w:rFonts w:ascii="Times New Roman" w:hAnsi="Times New Roman"/>
                <w:bCs/>
                <w:sz w:val="18"/>
                <w:szCs w:val="18"/>
              </w:rPr>
              <w:t>解读</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上级政策解读；本级相关政策解读；高质量发展政策文件、政策解读、工作推进及成效等信息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《中共中央办公厅国务院办公厅印发〈关于全面推进政务公开工作的意见〉的通知》（中办发〔2016〕8号）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按规定及时公开</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■政务服务中心             </w:t>
            </w:r>
          </w:p>
          <w:p>
            <w:pPr>
              <w:spacing w:line="260" w:lineRule="exact"/>
              <w:rPr>
                <w:rFonts w:ascii="Times New Roman" w:hAnsi="Times New Roman"/>
                <w:bCs/>
                <w:sz w:val="18"/>
                <w:szCs w:val="18"/>
              </w:rPr>
            </w:pPr>
            <w:r>
              <w:rPr>
                <w:rFonts w:ascii="Times New Roman" w:hAnsi="Times New Roman"/>
                <w:bCs/>
                <w:sz w:val="18"/>
                <w:szCs w:val="18"/>
              </w:rPr>
              <w:t xml:space="preserve">■便民服务站 </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53"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回应关切</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回应</w:t>
            </w:r>
          </w:p>
          <w:p>
            <w:pPr>
              <w:spacing w:line="260" w:lineRule="exact"/>
              <w:jc w:val="center"/>
              <w:rPr>
                <w:rFonts w:ascii="Times New Roman" w:hAnsi="Times New Roman"/>
                <w:bCs/>
                <w:sz w:val="18"/>
                <w:szCs w:val="18"/>
              </w:rPr>
            </w:pPr>
            <w:r>
              <w:rPr>
                <w:rFonts w:ascii="Times New Roman" w:hAnsi="Times New Roman"/>
                <w:bCs/>
                <w:sz w:val="18"/>
                <w:szCs w:val="18"/>
              </w:rPr>
              <w:t>关切</w:t>
            </w:r>
          </w:p>
        </w:tc>
        <w:tc>
          <w:tcPr>
            <w:tcW w:w="849" w:type="dxa"/>
            <w:vAlign w:val="center"/>
          </w:tcPr>
          <w:p>
            <w:pPr>
              <w:spacing w:line="260" w:lineRule="exact"/>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发布针对涉及群众切身利益、影响社会稳定和突发公共事件的重点事项等信息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《中共中央办公厅国务院办公厅印发〈关于全面推进政务公开工作的意见〉的通知》（中办发〔2016〕8号）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按规定及时发布</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p>
            <w:pPr>
              <w:spacing w:line="260" w:lineRule="exact"/>
              <w:jc w:val="center"/>
              <w:rPr>
                <w:rFonts w:ascii="Times New Roman" w:hAnsi="Times New Roman"/>
                <w:bCs/>
                <w:sz w:val="18"/>
                <w:szCs w:val="18"/>
              </w:rPr>
            </w:pPr>
            <w:r>
              <w:rPr>
                <w:rFonts w:ascii="Times New Roman" w:hAnsi="Times New Roman"/>
                <w:bCs/>
                <w:sz w:val="18"/>
                <w:szCs w:val="18"/>
              </w:rPr>
              <w:t>有关</w:t>
            </w:r>
            <w:r>
              <w:rPr>
                <w:rFonts w:hint="eastAsia" w:ascii="Times New Roman" w:hAnsi="Times New Roman"/>
                <w:bCs/>
                <w:sz w:val="18"/>
                <w:szCs w:val="18"/>
              </w:rPr>
              <w:t>部门</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■政府网站  ■两微一端   ■纸质媒体</w:t>
            </w:r>
          </w:p>
          <w:p>
            <w:pPr>
              <w:spacing w:line="260" w:lineRule="exact"/>
              <w:rPr>
                <w:rFonts w:ascii="Times New Roman" w:hAnsi="Times New Roman"/>
                <w:bCs/>
                <w:sz w:val="18"/>
                <w:szCs w:val="18"/>
              </w:rPr>
            </w:pPr>
            <w:r>
              <w:rPr>
                <w:rFonts w:ascii="Times New Roman" w:hAnsi="Times New Roman"/>
                <w:bCs/>
                <w:sz w:val="18"/>
                <w:szCs w:val="18"/>
              </w:rPr>
              <w:t xml:space="preserve"> ■入户/现场</w:t>
            </w:r>
          </w:p>
          <w:p>
            <w:pPr>
              <w:spacing w:line="260" w:lineRule="exact"/>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w:t>
            </w:r>
          </w:p>
        </w:tc>
        <w:tc>
          <w:tcPr>
            <w:tcW w:w="791" w:type="dxa"/>
            <w:vAlign w:val="center"/>
          </w:tcPr>
          <w:p>
            <w:pPr>
              <w:spacing w:line="26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63"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监督保障</w:t>
            </w:r>
          </w:p>
        </w:tc>
        <w:tc>
          <w:tcPr>
            <w:tcW w:w="851"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监督</w:t>
            </w:r>
          </w:p>
          <w:p>
            <w:pPr>
              <w:spacing w:line="260" w:lineRule="exact"/>
              <w:jc w:val="center"/>
              <w:rPr>
                <w:rFonts w:ascii="Times New Roman" w:hAnsi="Times New Roman"/>
                <w:bCs/>
                <w:sz w:val="18"/>
                <w:szCs w:val="18"/>
              </w:rPr>
            </w:pPr>
            <w:r>
              <w:rPr>
                <w:rFonts w:ascii="Times New Roman" w:hAnsi="Times New Roman"/>
                <w:bCs/>
                <w:sz w:val="18"/>
                <w:szCs w:val="18"/>
              </w:rPr>
              <w:t>保障</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ascii="Times New Roman" w:hAnsi="Times New Roman"/>
                <w:bCs/>
                <w:sz w:val="18"/>
                <w:szCs w:val="18"/>
              </w:rPr>
            </w:pPr>
            <w:r>
              <w:rPr>
                <w:rFonts w:ascii="Times New Roman" w:hAnsi="Times New Roman"/>
                <w:bCs/>
                <w:sz w:val="18"/>
                <w:szCs w:val="18"/>
              </w:rPr>
              <w:t>发布政务公开制度及政务公开工作开展、工作交流等信息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p>
            <w:pPr>
              <w:spacing w:line="260" w:lineRule="exact"/>
              <w:rPr>
                <w:rFonts w:ascii="Times New Roman" w:hAnsi="Times New Roman"/>
                <w:bCs/>
                <w:sz w:val="18"/>
                <w:szCs w:val="18"/>
              </w:rPr>
            </w:pPr>
            <w:r>
              <w:rPr>
                <w:rFonts w:ascii="Times New Roman" w:hAnsi="Times New Roman"/>
                <w:bCs/>
                <w:sz w:val="18"/>
                <w:szCs w:val="18"/>
              </w:rPr>
              <w:t>《中共中央办公厅国务院办公厅印发〈关于全面推进政务公开工作的意见〉的通知》（中办发〔2016〕8号）</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自该信息形成或者变更之日起20个工作日内</w:t>
            </w:r>
          </w:p>
        </w:tc>
        <w:tc>
          <w:tcPr>
            <w:tcW w:w="992" w:type="dxa"/>
            <w:vAlign w:val="center"/>
          </w:tcPr>
          <w:p>
            <w:pPr>
              <w:spacing w:line="260" w:lineRule="exact"/>
              <w:jc w:val="center"/>
              <w:rPr>
                <w:rFonts w:ascii="Times New Roman" w:hAnsi="Times New Roman"/>
                <w:bCs/>
                <w:sz w:val="18"/>
                <w:szCs w:val="18"/>
              </w:rPr>
            </w:pPr>
            <w:r>
              <w:rPr>
                <w:rFonts w:ascii="Times New Roman" w:hAnsi="Times New Roman"/>
                <w:bCs/>
                <w:sz w:val="18"/>
                <w:szCs w:val="18"/>
              </w:rPr>
              <w:t>党政办</w:t>
            </w:r>
          </w:p>
        </w:tc>
        <w:tc>
          <w:tcPr>
            <w:tcW w:w="3261" w:type="dxa"/>
            <w:vAlign w:val="center"/>
          </w:tcPr>
          <w:p>
            <w:pPr>
              <w:spacing w:line="260" w:lineRule="exact"/>
              <w:rPr>
                <w:rFonts w:ascii="Times New Roman" w:hAnsi="Times New Roman"/>
                <w:bCs/>
                <w:sz w:val="18"/>
                <w:szCs w:val="18"/>
              </w:rPr>
            </w:pPr>
            <w:r>
              <w:rPr>
                <w:rFonts w:ascii="Times New Roman" w:hAnsi="Times New Roman"/>
                <w:bCs/>
                <w:sz w:val="18"/>
                <w:szCs w:val="18"/>
              </w:rPr>
              <w:t xml:space="preserve">■政府网站   ■两微一端  </w:t>
            </w: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pacing w:val="-4"/>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791" w:type="dxa"/>
            <w:vAlign w:val="center"/>
          </w:tcPr>
          <w:p>
            <w:pPr>
              <w:spacing w:line="260" w:lineRule="exact"/>
              <w:jc w:val="center"/>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02" w:hRule="atLeast"/>
          <w:jc w:val="center"/>
        </w:trPr>
        <w:tc>
          <w:tcPr>
            <w:tcW w:w="545" w:type="dxa"/>
            <w:vAlign w:val="center"/>
          </w:tcPr>
          <w:p>
            <w:pPr>
              <w:numPr>
                <w:ilvl w:val="0"/>
                <w:numId w:val="1"/>
              </w:numPr>
              <w:adjustRightInd/>
              <w:snapToGrid/>
              <w:spacing w:after="0"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z w:val="18"/>
                <w:szCs w:val="18"/>
              </w:rPr>
            </w:pPr>
          </w:p>
        </w:tc>
        <w:tc>
          <w:tcPr>
            <w:tcW w:w="851"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依申请公开</w:t>
            </w:r>
          </w:p>
        </w:tc>
        <w:tc>
          <w:tcPr>
            <w:tcW w:w="849" w:type="dxa"/>
            <w:vAlign w:val="center"/>
          </w:tcPr>
          <w:p>
            <w:pPr>
              <w:spacing w:line="260" w:lineRule="exact"/>
              <w:jc w:val="center"/>
              <w:rPr>
                <w:rFonts w:ascii="Times New Roman" w:hAnsi="Times New Roman"/>
                <w:bCs/>
                <w:sz w:val="18"/>
                <w:szCs w:val="18"/>
              </w:rPr>
            </w:pPr>
          </w:p>
        </w:tc>
        <w:tc>
          <w:tcPr>
            <w:tcW w:w="2545" w:type="dxa"/>
            <w:vAlign w:val="center"/>
          </w:tcPr>
          <w:p>
            <w:pPr>
              <w:spacing w:line="260" w:lineRule="exact"/>
              <w:rPr>
                <w:rFonts w:hint="eastAsia" w:ascii="Times New Roman" w:hAnsi="Times New Roman" w:eastAsia="微软雅黑"/>
                <w:bCs/>
                <w:sz w:val="18"/>
                <w:szCs w:val="18"/>
                <w:lang w:eastAsia="zh-CN"/>
              </w:rPr>
            </w:pPr>
            <w:r>
              <w:rPr>
                <w:rFonts w:hint="eastAsia" w:ascii="Times New Roman" w:hAnsi="Times New Roman"/>
                <w:bCs/>
                <w:sz w:val="18"/>
                <w:szCs w:val="18"/>
              </w:rPr>
              <w:t>申请人提交的</w:t>
            </w:r>
            <w:r>
              <w:rPr>
                <w:rFonts w:hint="eastAsia" w:ascii="Times New Roman" w:hAnsi="Times New Roman"/>
                <w:bCs/>
                <w:sz w:val="18"/>
                <w:szCs w:val="18"/>
                <w:lang w:eastAsia="zh-CN"/>
              </w:rPr>
              <w:t>《政府信息公开申请表》中</w:t>
            </w:r>
            <w:r>
              <w:rPr>
                <w:rFonts w:hint="eastAsia" w:ascii="Times New Roman" w:hAnsi="Times New Roman"/>
                <w:bCs/>
                <w:sz w:val="18"/>
                <w:szCs w:val="18"/>
              </w:rPr>
              <w:t>申请公开</w:t>
            </w:r>
            <w:r>
              <w:rPr>
                <w:rFonts w:hint="eastAsia" w:ascii="Times New Roman" w:hAnsi="Times New Roman"/>
                <w:bCs/>
                <w:sz w:val="18"/>
                <w:szCs w:val="18"/>
                <w:lang w:eastAsia="zh-CN"/>
              </w:rPr>
              <w:t>的信息</w:t>
            </w:r>
          </w:p>
        </w:tc>
        <w:tc>
          <w:tcPr>
            <w:tcW w:w="1418" w:type="dxa"/>
            <w:vAlign w:val="center"/>
          </w:tcPr>
          <w:p>
            <w:pPr>
              <w:spacing w:line="260" w:lineRule="exact"/>
              <w:rPr>
                <w:rFonts w:ascii="Times New Roman" w:hAnsi="Times New Roman"/>
                <w:bCs/>
                <w:sz w:val="18"/>
                <w:szCs w:val="18"/>
              </w:rPr>
            </w:pPr>
            <w:r>
              <w:rPr>
                <w:rFonts w:ascii="Times New Roman" w:hAnsi="Times New Roman"/>
                <w:bCs/>
                <w:sz w:val="18"/>
                <w:szCs w:val="18"/>
              </w:rPr>
              <w:t>《中华人民共和国政府信息公开条例》（国务院令第711号）</w:t>
            </w:r>
          </w:p>
        </w:tc>
        <w:tc>
          <w:tcPr>
            <w:tcW w:w="992" w:type="dxa"/>
            <w:vAlign w:val="center"/>
          </w:tcPr>
          <w:p>
            <w:pPr>
              <w:spacing w:line="260" w:lineRule="exact"/>
              <w:jc w:val="center"/>
              <w:rPr>
                <w:rFonts w:ascii="Times New Roman" w:hAnsi="Times New Roman"/>
                <w:bCs/>
                <w:sz w:val="18"/>
                <w:szCs w:val="18"/>
              </w:rPr>
            </w:pPr>
            <w:r>
              <w:rPr>
                <w:rFonts w:hint="eastAsia" w:ascii="Times New Roman" w:hAnsi="Times New Roman"/>
                <w:bCs/>
                <w:sz w:val="18"/>
                <w:szCs w:val="18"/>
              </w:rPr>
              <w:t>自收到申请之日起20个工作日内</w:t>
            </w:r>
          </w:p>
        </w:tc>
        <w:tc>
          <w:tcPr>
            <w:tcW w:w="992" w:type="dxa"/>
            <w:vAlign w:val="center"/>
          </w:tcPr>
          <w:p>
            <w:pPr>
              <w:spacing w:line="260" w:lineRule="exact"/>
              <w:jc w:val="center"/>
              <w:rPr>
                <w:rFonts w:hint="eastAsia" w:ascii="Times New Roman" w:hAnsi="Times New Roman" w:eastAsia="微软雅黑"/>
                <w:bCs/>
                <w:sz w:val="18"/>
                <w:szCs w:val="18"/>
                <w:lang w:eastAsia="zh-CN"/>
              </w:rPr>
            </w:pPr>
            <w:r>
              <w:rPr>
                <w:rFonts w:hint="eastAsia" w:ascii="Times New Roman" w:hAnsi="Times New Roman"/>
                <w:bCs/>
                <w:sz w:val="18"/>
                <w:szCs w:val="18"/>
                <w:lang w:eastAsia="zh-CN"/>
              </w:rPr>
              <w:t>党政办</w:t>
            </w:r>
          </w:p>
        </w:tc>
        <w:tc>
          <w:tcPr>
            <w:tcW w:w="3261" w:type="dxa"/>
            <w:vAlign w:val="center"/>
          </w:tcPr>
          <w:p>
            <w:pPr>
              <w:spacing w:line="260" w:lineRule="exact"/>
              <w:rPr>
                <w:rFonts w:hint="eastAsia" w:ascii="Times New Roman" w:hAnsi="Times New Roman" w:eastAsia="微软雅黑"/>
                <w:bCs/>
                <w:sz w:val="18"/>
                <w:szCs w:val="18"/>
                <w:lang w:val="en-US" w:eastAsia="zh-CN"/>
              </w:rPr>
            </w:pPr>
            <w:r>
              <w:rPr>
                <w:rFonts w:ascii="Times New Roman" w:hAnsi="Times New Roman"/>
                <w:bCs/>
                <w:sz w:val="18"/>
                <w:szCs w:val="18"/>
              </w:rPr>
              <w:t>■</w:t>
            </w:r>
            <w:r>
              <w:rPr>
                <w:rFonts w:hint="eastAsia" w:ascii="Times New Roman" w:hAnsi="Times New Roman"/>
                <w:bCs/>
                <w:sz w:val="18"/>
                <w:szCs w:val="18"/>
                <w:lang w:eastAsia="zh-CN"/>
              </w:rPr>
              <w:t>邮寄</w:t>
            </w:r>
            <w:r>
              <w:rPr>
                <w:rFonts w:ascii="Times New Roman" w:hAnsi="Times New Roman"/>
                <w:bCs/>
                <w:sz w:val="18"/>
                <w:szCs w:val="18"/>
              </w:rPr>
              <w:t xml:space="preserve">  ■</w:t>
            </w:r>
            <w:r>
              <w:rPr>
                <w:rFonts w:hint="eastAsia" w:ascii="Times New Roman" w:hAnsi="Times New Roman"/>
                <w:bCs/>
                <w:sz w:val="18"/>
                <w:szCs w:val="18"/>
                <w:lang w:eastAsia="zh-CN"/>
              </w:rPr>
              <w:t>电子邮件</w:t>
            </w:r>
            <w:r>
              <w:rPr>
                <w:rFonts w:ascii="Times New Roman" w:hAnsi="Times New Roman"/>
                <w:bCs/>
                <w:sz w:val="18"/>
                <w:szCs w:val="18"/>
              </w:rPr>
              <w:t>■</w:t>
            </w:r>
            <w:r>
              <w:rPr>
                <w:rFonts w:hint="eastAsia" w:ascii="Times New Roman" w:hAnsi="Times New Roman"/>
                <w:bCs/>
                <w:sz w:val="18"/>
                <w:szCs w:val="18"/>
                <w:lang w:eastAsia="zh-CN"/>
              </w:rPr>
              <w:t>自行领取</w:t>
            </w:r>
            <w:r>
              <w:rPr>
                <w:rFonts w:hint="eastAsia" w:ascii="Times New Roman" w:hAnsi="Times New Roman"/>
                <w:bCs/>
                <w:sz w:val="18"/>
                <w:szCs w:val="18"/>
                <w:lang w:val="en-US" w:eastAsia="zh-CN"/>
              </w:rPr>
              <w:t>/当场阅读、抄录</w:t>
            </w:r>
          </w:p>
        </w:tc>
        <w:tc>
          <w:tcPr>
            <w:tcW w:w="567" w:type="dxa"/>
            <w:vAlign w:val="center"/>
          </w:tcPr>
          <w:p>
            <w:pPr>
              <w:spacing w:line="260" w:lineRule="exact"/>
              <w:jc w:val="center"/>
              <w:rPr>
                <w:rFonts w:ascii="Times New Roman" w:hAnsi="Times New Roman"/>
                <w:bCs/>
                <w:sz w:val="18"/>
                <w:szCs w:val="18"/>
              </w:rPr>
            </w:pPr>
          </w:p>
        </w:tc>
        <w:tc>
          <w:tcPr>
            <w:tcW w:w="567"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c>
          <w:tcPr>
            <w:tcW w:w="567" w:type="dxa"/>
            <w:vAlign w:val="center"/>
          </w:tcPr>
          <w:p>
            <w:pPr>
              <w:spacing w:line="260" w:lineRule="exact"/>
              <w:jc w:val="center"/>
              <w:rPr>
                <w:rFonts w:ascii="Times New Roman" w:hAnsi="Times New Roman"/>
                <w:bCs/>
                <w:sz w:val="18"/>
                <w:szCs w:val="18"/>
              </w:rPr>
            </w:pPr>
          </w:p>
        </w:tc>
        <w:tc>
          <w:tcPr>
            <w:tcW w:w="791" w:type="dxa"/>
            <w:vAlign w:val="center"/>
          </w:tcPr>
          <w:p>
            <w:pPr>
              <w:spacing w:line="260" w:lineRule="exact"/>
              <w:jc w:val="center"/>
              <w:rPr>
                <w:rFonts w:ascii="Times New Roman" w:hAnsi="Times New Roman"/>
                <w:bCs/>
                <w:spacing w:val="-4"/>
                <w:sz w:val="18"/>
                <w:szCs w:val="18"/>
              </w:rPr>
            </w:pPr>
            <w:r>
              <w:rPr>
                <w:rFonts w:ascii="Times New Roman" w:hAnsi="Times New Roman"/>
                <w:bCs/>
                <w:sz w:val="18"/>
                <w:szCs w:val="18"/>
              </w:rPr>
              <w:t>√</w:t>
            </w:r>
          </w:p>
        </w:tc>
      </w:tr>
    </w:tbl>
    <w:p>
      <w:pPr>
        <w:rPr>
          <w:rFonts w:ascii="Times New Roman" w:hAnsi="Times New Roman" w:eastAsia="文星标宋"/>
          <w:sz w:val="40"/>
          <w:szCs w:val="40"/>
          <w:shd w:val="clear" w:color="auto" w:fill="FFFFFF"/>
        </w:rPr>
        <w:sectPr>
          <w:headerReference r:id="rId3" w:type="default"/>
          <w:footerReference r:id="rId4" w:type="default"/>
          <w:pgSz w:w="16840" w:h="11907" w:orient="landscape"/>
          <w:pgMar w:top="1418" w:right="1418" w:bottom="1418" w:left="1418" w:header="851" w:footer="851" w:gutter="0"/>
          <w:cols w:space="720" w:num="1"/>
          <w:docGrid w:type="lines" w:linePitch="312" w:charSpace="0"/>
        </w:sect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lvlText w:val="%1"/>
      <w:lvlJc w:val="center"/>
      <w:pPr>
        <w:tabs>
          <w:tab w:val="left" w:pos="397"/>
        </w:tabs>
        <w:ind w:left="454" w:hanging="227"/>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29B0"/>
    <w:rsid w:val="000E5F3F"/>
    <w:rsid w:val="00323B43"/>
    <w:rsid w:val="0032506A"/>
    <w:rsid w:val="003C0AC3"/>
    <w:rsid w:val="003D37D8"/>
    <w:rsid w:val="00426133"/>
    <w:rsid w:val="004358AB"/>
    <w:rsid w:val="0045382E"/>
    <w:rsid w:val="005F1D4A"/>
    <w:rsid w:val="00616C37"/>
    <w:rsid w:val="006D44F8"/>
    <w:rsid w:val="007E42EE"/>
    <w:rsid w:val="008B7726"/>
    <w:rsid w:val="009506AD"/>
    <w:rsid w:val="00C64A7B"/>
    <w:rsid w:val="00D31D50"/>
    <w:rsid w:val="00D7171B"/>
    <w:rsid w:val="00E906D4"/>
    <w:rsid w:val="00F47415"/>
    <w:rsid w:val="00F51C21"/>
    <w:rsid w:val="00FE28C3"/>
    <w:rsid w:val="0692163F"/>
    <w:rsid w:val="096102DE"/>
    <w:rsid w:val="09AD108A"/>
    <w:rsid w:val="0CE400D3"/>
    <w:rsid w:val="0CF73764"/>
    <w:rsid w:val="1AEB0FB6"/>
    <w:rsid w:val="1C5C1F7B"/>
    <w:rsid w:val="1EE261C9"/>
    <w:rsid w:val="231D05DE"/>
    <w:rsid w:val="273C49C3"/>
    <w:rsid w:val="282E3954"/>
    <w:rsid w:val="29A336F4"/>
    <w:rsid w:val="2D2307FE"/>
    <w:rsid w:val="30AD08F9"/>
    <w:rsid w:val="32D10D9A"/>
    <w:rsid w:val="389D76DE"/>
    <w:rsid w:val="3C0846C3"/>
    <w:rsid w:val="4C9F278C"/>
    <w:rsid w:val="4F9F5CA3"/>
    <w:rsid w:val="5D6524EC"/>
    <w:rsid w:val="5FE0482D"/>
    <w:rsid w:val="646F25BD"/>
    <w:rsid w:val="726164E4"/>
    <w:rsid w:val="73B34C4F"/>
    <w:rsid w:val="74F1412D"/>
    <w:rsid w:val="7A13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1156</Words>
  <Characters>6590</Characters>
  <Lines>54</Lines>
  <Paragraphs>15</Paragraphs>
  <TotalTime>4</TotalTime>
  <ScaleCrop>false</ScaleCrop>
  <LinksUpToDate>false</LinksUpToDate>
  <CharactersWithSpaces>7731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李鹏飞</cp:lastModifiedBy>
  <cp:lastPrinted>2020-09-16T02:09:00Z</cp:lastPrinted>
  <dcterms:modified xsi:type="dcterms:W3CDTF">2020-09-21T09:08:01Z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