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0" w:afterAutospacing="0" w:line="560" w:lineRule="exact"/>
        <w:jc w:val="center"/>
        <w:rPr>
          <w:rFonts w:ascii="Times New Roman" w:hAnsi="Times New Roman" w:eastAsia="方正小标宋简体"/>
          <w:bCs/>
          <w:sz w:val="44"/>
          <w:szCs w:val="44"/>
          <w:shd w:val="clear" w:color="auto" w:fill="FFFFFF"/>
        </w:rPr>
      </w:pPr>
      <w:r>
        <w:rPr>
          <w:rFonts w:ascii="Times New Roman" w:hAnsi="Times New Roman" w:eastAsia="方正小标宋简体"/>
          <w:bCs/>
          <w:sz w:val="44"/>
          <w:szCs w:val="44"/>
          <w:shd w:val="clear" w:color="auto" w:fill="FFFFFF"/>
        </w:rPr>
        <w:t>淄博市淄川区财政局</w:t>
      </w:r>
    </w:p>
    <w:p>
      <w:pPr>
        <w:pStyle w:val="2"/>
        <w:widowControl/>
        <w:shd w:val="clear" w:color="auto" w:fill="FFFFFF"/>
        <w:spacing w:before="0" w:beforeAutospacing="0" w:after="0" w:afterAutospacing="0" w:line="560" w:lineRule="exact"/>
        <w:jc w:val="center"/>
        <w:rPr>
          <w:rFonts w:ascii="Times New Roman" w:hAnsi="Times New Roman" w:eastAsia="方正小标宋简体"/>
          <w:bCs/>
          <w:sz w:val="44"/>
          <w:szCs w:val="44"/>
          <w:shd w:val="clear" w:color="auto" w:fill="FFFFFF"/>
        </w:rPr>
      </w:pPr>
      <w:r>
        <w:rPr>
          <w:rFonts w:ascii="Times New Roman" w:hAnsi="Times New Roman" w:eastAsia="方正小标宋简体"/>
          <w:bCs/>
          <w:sz w:val="44"/>
          <w:szCs w:val="44"/>
          <w:shd w:val="clear" w:color="auto" w:fill="FFFFFF"/>
        </w:rPr>
        <w:t>20</w:t>
      </w:r>
      <w:r>
        <w:rPr>
          <w:rFonts w:ascii="Times New Roman" w:hAnsi="Times New Roman" w:eastAsia="方正小标宋简体"/>
          <w:bCs/>
          <w:spacing w:val="-17"/>
          <w:sz w:val="44"/>
          <w:szCs w:val="44"/>
          <w:shd w:val="clear" w:color="auto" w:fill="FFFFFF"/>
        </w:rPr>
        <w:t>23年政府信息公开工作</w:t>
      </w:r>
      <w:r>
        <w:rPr>
          <w:rFonts w:ascii="Times New Roman" w:hAnsi="Times New Roman" w:eastAsia="方正小标宋简体"/>
          <w:bCs/>
          <w:sz w:val="44"/>
          <w:szCs w:val="44"/>
          <w:shd w:val="clear" w:color="auto" w:fill="FFFFFF"/>
        </w:rPr>
        <w:t>年度报告</w:t>
      </w:r>
    </w:p>
    <w:p>
      <w:pPr>
        <w:pStyle w:val="2"/>
        <w:widowControl/>
        <w:shd w:val="clear" w:color="auto" w:fill="FFFFFF"/>
        <w:spacing w:before="0" w:beforeAutospacing="0" w:after="0" w:afterAutospacing="0"/>
        <w:rPr>
          <w:rFonts w:ascii="Times New Roman" w:hAnsi="Times New Roman" w:eastAsia="仿宋_GB2312"/>
          <w:sz w:val="32"/>
          <w:szCs w:val="32"/>
        </w:rPr>
      </w:pPr>
    </w:p>
    <w:p>
      <w:pPr>
        <w:pStyle w:val="2"/>
        <w:widowControl/>
        <w:shd w:val="clear" w:color="auto" w:fill="FFFFFF"/>
        <w:spacing w:before="0" w:beforeAutospacing="0" w:after="0" w:afterAutospacing="0"/>
        <w:ind w:firstLine="640" w:firstLineChars="200"/>
        <w:rPr>
          <w:rFonts w:ascii="Times New Roman" w:hAnsi="Times New Roman" w:eastAsia="仿宋_GB2312"/>
          <w:sz w:val="32"/>
          <w:szCs w:val="32"/>
        </w:rPr>
      </w:pPr>
      <w:r>
        <w:rPr>
          <w:rFonts w:ascii="Times New Roman" w:hAnsi="Times New Roman" w:eastAsia="仿宋_GB2312"/>
          <w:sz w:val="32"/>
          <w:szCs w:val="32"/>
        </w:rPr>
        <w:t>本年度报告中所列数据的统计期限自2023年1月1日起，至2023年12月31日止。如对报告内容有疑问，请与淄博市淄川区财政局联系（地址：山东省淄博市淄川区般阳路78 号；邮编：255100；电话：0533-5181561</w:t>
      </w:r>
      <w:r>
        <w:rPr>
          <w:rFonts w:hint="eastAsia" w:ascii="Times New Roman" w:hAnsi="Times New Roman" w:eastAsia="仿宋_GB2312"/>
          <w:sz w:val="32"/>
          <w:szCs w:val="32"/>
        </w:rPr>
        <w:t>；</w:t>
      </w:r>
      <w:r>
        <w:rPr>
          <w:rFonts w:ascii="Times New Roman" w:hAnsi="Times New Roman" w:eastAsia="仿宋_GB2312"/>
          <w:sz w:val="32"/>
          <w:szCs w:val="32"/>
        </w:rPr>
        <w:t>电子邮箱：</w:t>
      </w:r>
      <w:r>
        <w:fldChar w:fldCharType="begin"/>
      </w:r>
      <w:r>
        <w:instrText xml:space="preserve"> HYPERLINK "mailto:qczjbgs@zb.shandong.cn）。" </w:instrText>
      </w:r>
      <w:r>
        <w:fldChar w:fldCharType="separate"/>
      </w:r>
      <w:r>
        <w:rPr>
          <w:rStyle w:val="6"/>
          <w:rFonts w:ascii="Times New Roman" w:hAnsi="Times New Roman" w:eastAsia="仿宋_GB2312"/>
          <w:color w:val="auto"/>
          <w:sz w:val="32"/>
          <w:szCs w:val="32"/>
          <w:u w:val="none"/>
        </w:rPr>
        <w:t>qczjbgs@zb.shandong.cn）。</w:t>
      </w:r>
      <w:r>
        <w:rPr>
          <w:rStyle w:val="6"/>
          <w:rFonts w:ascii="Times New Roman" w:hAnsi="Times New Roman" w:eastAsia="仿宋_GB2312"/>
          <w:color w:val="auto"/>
          <w:sz w:val="32"/>
          <w:szCs w:val="32"/>
          <w:u w:val="none"/>
        </w:rPr>
        <w:fldChar w:fldCharType="end"/>
      </w:r>
    </w:p>
    <w:p>
      <w:pPr>
        <w:pStyle w:val="2"/>
        <w:widowControl/>
        <w:shd w:val="clear" w:color="auto" w:fill="FFFFFF"/>
        <w:spacing w:before="0" w:beforeAutospacing="0" w:after="0" w:afterAutospacing="0"/>
        <w:ind w:firstLine="420"/>
        <w:jc w:val="both"/>
        <w:rPr>
          <w:rFonts w:ascii="Times New Roman" w:hAnsi="Times New Roman" w:eastAsia="仿宋_GB2312"/>
          <w:sz w:val="32"/>
          <w:szCs w:val="32"/>
        </w:rPr>
      </w:pPr>
      <w:r>
        <w:rPr>
          <w:rFonts w:ascii="Times New Roman" w:hAnsi="Times New Roman" w:eastAsia="仿宋_GB2312"/>
          <w:b/>
          <w:sz w:val="32"/>
          <w:szCs w:val="32"/>
          <w:shd w:val="clear" w:color="auto" w:fill="FFFFFF"/>
        </w:rPr>
        <w:t>一、总体情况</w:t>
      </w:r>
    </w:p>
    <w:p>
      <w:pPr>
        <w:pStyle w:val="2"/>
        <w:widowControl/>
        <w:shd w:val="clear" w:color="auto" w:fill="FFFFFF"/>
        <w:spacing w:before="0" w:beforeAutospacing="0" w:after="0" w:afterAutospacing="0"/>
        <w:ind w:firstLine="640" w:firstLineChars="200"/>
        <w:rPr>
          <w:rFonts w:ascii="Times New Roman" w:hAnsi="Times New Roman" w:eastAsia="仿宋_GB2312"/>
          <w:sz w:val="32"/>
          <w:szCs w:val="32"/>
        </w:rPr>
      </w:pPr>
      <w:r>
        <w:rPr>
          <w:rFonts w:ascii="Times New Roman" w:hAnsi="Times New Roman" w:eastAsia="仿宋_GB2312"/>
          <w:sz w:val="32"/>
          <w:szCs w:val="32"/>
        </w:rPr>
        <w:t>2023年，本机关政府信息公开工作坚持以习近平新时代中国特色社会主义思想为指导，深入贯彻落实《中华人民共和国政府信息公开条例》要求部署，结合本机关实际，坚持以人民为中心，深化政府信息公开和政务公开各项工作，着力提高工作水平和效率，为社会公众提供准确及时的政府信息服务。</w:t>
      </w:r>
    </w:p>
    <w:p>
      <w:pPr>
        <w:pStyle w:val="2"/>
        <w:widowControl/>
        <w:numPr>
          <w:ilvl w:val="0"/>
          <w:numId w:val="1"/>
        </w:numPr>
        <w:shd w:val="clear" w:color="auto" w:fill="FFFFFF"/>
        <w:spacing w:before="0" w:beforeAutospacing="0" w:after="0" w:afterAutospacing="0"/>
        <w:ind w:firstLine="640" w:firstLineChars="200"/>
        <w:rPr>
          <w:rFonts w:ascii="Times New Roman" w:hAnsi="Times New Roman" w:eastAsia="仿宋_GB2312"/>
          <w:sz w:val="32"/>
          <w:szCs w:val="32"/>
        </w:rPr>
      </w:pPr>
      <w:r>
        <w:rPr>
          <w:rFonts w:ascii="Times New Roman" w:hAnsi="Times New Roman" w:eastAsia="楷体"/>
          <w:sz w:val="32"/>
          <w:szCs w:val="32"/>
        </w:rPr>
        <w:t>主动公开方面。</w:t>
      </w:r>
      <w:r>
        <w:rPr>
          <w:rFonts w:ascii="Times New Roman" w:hAnsi="Times New Roman" w:eastAsia="仿宋_GB2312"/>
          <w:color w:val="000000"/>
          <w:sz w:val="32"/>
          <w:szCs w:val="32"/>
          <w:shd w:val="clear" w:color="auto" w:fill="FFFFFF"/>
        </w:rPr>
        <w:t>聚焦区委、区政府重点工作，围绕全区财政工作，及时做好法定公开内容的日常维护。</w:t>
      </w:r>
      <w:r>
        <w:rPr>
          <w:rFonts w:ascii="Times New Roman" w:hAnsi="Times New Roman" w:eastAsia="仿宋_GB2312"/>
          <w:sz w:val="32"/>
          <w:szCs w:val="32"/>
        </w:rPr>
        <w:t>2023年淄川区财政局通过淄川区人民政府网站政务公开平台主动公开政府信息235条，同比增长4条，公开信息包括机构职能、规划计划、政策文件、重要部署执行、建议提案办理、财政信息等</w:t>
      </w:r>
      <w:r>
        <w:rPr>
          <w:rFonts w:hint="eastAsia" w:ascii="Times New Roman" w:hAnsi="Times New Roman" w:eastAsia="仿宋_GB2312"/>
          <w:sz w:val="32"/>
          <w:szCs w:val="32"/>
        </w:rPr>
        <w:t>内容</w:t>
      </w:r>
      <w:r>
        <w:rPr>
          <w:rFonts w:ascii="Times New Roman" w:hAnsi="Times New Roman" w:eastAsia="仿宋_GB2312"/>
          <w:sz w:val="32"/>
          <w:szCs w:val="32"/>
        </w:rPr>
        <w:t>。</w:t>
      </w:r>
    </w:p>
    <w:p>
      <w:pPr>
        <w:pStyle w:val="2"/>
        <w:widowControl/>
        <w:numPr>
          <w:ilvl w:val="0"/>
          <w:numId w:val="1"/>
        </w:numPr>
        <w:shd w:val="clear" w:color="auto" w:fill="FFFFFF"/>
        <w:spacing w:before="0" w:beforeAutospacing="0" w:after="0" w:afterAutospacing="0"/>
        <w:ind w:firstLine="640" w:firstLineChars="200"/>
        <w:rPr>
          <w:rFonts w:ascii="Times New Roman" w:hAnsi="Times New Roman" w:eastAsia="仿宋_GB2312"/>
          <w:sz w:val="32"/>
          <w:szCs w:val="32"/>
        </w:rPr>
      </w:pPr>
      <w:r>
        <w:rPr>
          <w:rFonts w:ascii="Times New Roman" w:hAnsi="Times New Roman" w:eastAsia="楷体"/>
          <w:sz w:val="32"/>
          <w:szCs w:val="32"/>
        </w:rPr>
        <w:t>依申请公开工作方面</w:t>
      </w:r>
      <w:r>
        <w:rPr>
          <w:rFonts w:ascii="Times New Roman" w:hAnsi="Times New Roman" w:eastAsia="仿宋_GB2312"/>
          <w:sz w:val="32"/>
          <w:szCs w:val="32"/>
        </w:rPr>
        <w:t>。2023年，收到政府信息公开申请2件，涉及财政支出数据公开和财政拨款事项，全部依法依规予以办理，保障了群众获取政府信息的权利。</w:t>
      </w:r>
    </w:p>
    <w:p>
      <w:pPr>
        <w:ind w:firstLine="640" w:firstLineChars="200"/>
        <w:rPr>
          <w:rFonts w:ascii="Times New Roman" w:hAnsi="Times New Roman" w:eastAsia="仿宋_GB2312" w:cs="Times New Roman"/>
          <w:sz w:val="32"/>
          <w:szCs w:val="32"/>
          <w:shd w:val="clear" w:color="auto" w:fill="FFFFFF"/>
        </w:rPr>
      </w:pPr>
      <w:r>
        <w:rPr>
          <w:rFonts w:ascii="Times New Roman" w:hAnsi="Times New Roman" w:eastAsia="楷体" w:cs="Times New Roman"/>
          <w:sz w:val="32"/>
          <w:szCs w:val="32"/>
          <w:shd w:val="clear" w:color="auto" w:fill="FFFFFF"/>
        </w:rPr>
        <w:t>3、政府信息管理</w:t>
      </w:r>
      <w:r>
        <w:rPr>
          <w:rFonts w:ascii="Times New Roman" w:hAnsi="Times New Roman" w:eastAsia="仿宋_GB2312" w:cs="Times New Roman"/>
          <w:sz w:val="32"/>
          <w:szCs w:val="32"/>
          <w:shd w:val="clear" w:color="auto" w:fill="FFFFFF"/>
        </w:rPr>
        <w:t>。淄川区财政局严格执行政府信息公开保密审查制度，明确政务公开工作牵头科室，落实工作人员具体负责政务公开工作，按照公开流程，将财政领域相关信息及时在区政府网站公开。</w:t>
      </w:r>
    </w:p>
    <w:p>
      <w:pPr>
        <w:ind w:firstLine="640"/>
        <w:rPr>
          <w:rFonts w:ascii="Times New Roman" w:hAnsi="Times New Roman" w:eastAsia="仿宋_GB2312" w:cs="Times New Roman"/>
          <w:sz w:val="32"/>
          <w:szCs w:val="32"/>
          <w:shd w:val="clear" w:color="auto" w:fill="FFFFFF"/>
        </w:rPr>
      </w:pPr>
      <w:r>
        <w:rPr>
          <w:rFonts w:ascii="Times New Roman" w:hAnsi="Times New Roman" w:eastAsia="楷体" w:cs="Times New Roman"/>
          <w:sz w:val="32"/>
          <w:szCs w:val="32"/>
          <w:shd w:val="clear" w:color="auto" w:fill="FFFFFF"/>
        </w:rPr>
        <w:t>4、平台建设方面</w:t>
      </w:r>
      <w:r>
        <w:rPr>
          <w:rFonts w:ascii="Times New Roman" w:hAnsi="Times New Roman" w:eastAsia="仿宋_GB2312" w:cs="Times New Roman"/>
          <w:sz w:val="32"/>
          <w:szCs w:val="32"/>
          <w:shd w:val="clear" w:color="auto" w:fill="FFFFFF"/>
        </w:rPr>
        <w:t>。2023年，依托区政府门户网站，结合财政工作实际，</w:t>
      </w:r>
      <w:r>
        <w:rPr>
          <w:rFonts w:hint="eastAsia" w:ascii="Times New Roman" w:hAnsi="Times New Roman" w:eastAsia="仿宋_GB2312" w:cs="Times New Roman"/>
          <w:sz w:val="32"/>
          <w:szCs w:val="32"/>
          <w:shd w:val="clear" w:color="auto" w:fill="FFFFFF"/>
        </w:rPr>
        <w:t>财政局</w:t>
      </w:r>
      <w:r>
        <w:rPr>
          <w:rFonts w:ascii="Times New Roman" w:hAnsi="Times New Roman" w:eastAsia="仿宋_GB2312" w:cs="Times New Roman"/>
          <w:sz w:val="32"/>
          <w:szCs w:val="32"/>
          <w:shd w:val="clear" w:color="auto" w:fill="FFFFFF"/>
        </w:rPr>
        <w:t>制定政务公开标准目录，加强公开栏目的内容保障更新，实现了财政信息公开的标准化规范化。</w:t>
      </w:r>
    </w:p>
    <w:p>
      <w:pPr>
        <w:ind w:firstLine="640"/>
        <w:rPr>
          <w:rFonts w:ascii="Times New Roman" w:hAnsi="Times New Roman" w:eastAsia="仿宋_GB2312" w:cs="Times New Roman"/>
          <w:sz w:val="32"/>
          <w:szCs w:val="32"/>
          <w:shd w:val="clear" w:color="auto" w:fill="FFFFFF"/>
        </w:rPr>
      </w:pPr>
      <w:r>
        <w:rPr>
          <w:rFonts w:ascii="Times New Roman" w:hAnsi="Times New Roman" w:eastAsia="楷体" w:cs="Times New Roman"/>
          <w:sz w:val="32"/>
          <w:szCs w:val="32"/>
          <w:shd w:val="clear" w:color="auto" w:fill="FFFFFF"/>
        </w:rPr>
        <w:t>5、监督保障方面。</w:t>
      </w:r>
      <w:r>
        <w:rPr>
          <w:rFonts w:ascii="Times New Roman" w:hAnsi="Times New Roman" w:eastAsia="仿宋_GB2312" w:cs="Times New Roman"/>
          <w:sz w:val="32"/>
          <w:szCs w:val="32"/>
          <w:shd w:val="clear" w:color="auto" w:fill="FFFFFF"/>
        </w:rPr>
        <w:t>为更好的贯彻执行政务公开工作条例，加强政务公开培训管理，结合我单位工作实际，制定</w:t>
      </w:r>
      <w:r>
        <w:rPr>
          <w:rFonts w:hint="eastAsia" w:ascii="Times New Roman" w:hAnsi="Times New Roman" w:eastAsia="仿宋_GB2312" w:cs="Times New Roman"/>
          <w:sz w:val="32"/>
          <w:szCs w:val="32"/>
          <w:shd w:val="clear" w:color="auto" w:fill="FFFFFF"/>
        </w:rPr>
        <w:t>政务公开</w:t>
      </w:r>
      <w:r>
        <w:rPr>
          <w:rFonts w:ascii="Times New Roman" w:hAnsi="Times New Roman" w:eastAsia="仿宋_GB2312" w:cs="Times New Roman"/>
          <w:sz w:val="32"/>
          <w:szCs w:val="32"/>
          <w:shd w:val="clear" w:color="auto" w:fill="FFFFFF"/>
        </w:rPr>
        <w:t>培训计划，促进我单位政务公开工作的常态化、制度化、规范化。</w:t>
      </w:r>
    </w:p>
    <w:p>
      <w:pPr>
        <w:pStyle w:val="2"/>
        <w:widowControl/>
        <w:shd w:val="clear" w:color="auto" w:fill="FFFFFF"/>
        <w:spacing w:before="0" w:beforeAutospacing="0" w:after="0" w:afterAutospacing="0"/>
        <w:ind w:firstLine="420"/>
        <w:jc w:val="both"/>
        <w:rPr>
          <w:rFonts w:ascii="Times New Roman" w:hAnsi="Times New Roman" w:eastAsia="黑体"/>
          <w:bCs/>
          <w:sz w:val="32"/>
          <w:szCs w:val="32"/>
          <w:shd w:val="clear" w:color="auto" w:fill="FFFFFF"/>
        </w:rPr>
      </w:pPr>
      <w:r>
        <w:rPr>
          <w:rFonts w:ascii="Times New Roman" w:hAnsi="Times New Roman" w:eastAsia="黑体"/>
          <w:bCs/>
          <w:sz w:val="32"/>
          <w:szCs w:val="32"/>
          <w:shd w:val="clear" w:color="auto" w:fill="FFFFFF"/>
        </w:rPr>
        <w:t>二、主动公开政府信息情况</w:t>
      </w:r>
    </w:p>
    <w:tbl>
      <w:tblPr>
        <w:tblStyle w:val="3"/>
        <w:tblW w:w="7500" w:type="dxa"/>
        <w:tblInd w:w="0" w:type="dxa"/>
        <w:tblLayout w:type="fixed"/>
        <w:tblCellMar>
          <w:top w:w="0" w:type="dxa"/>
          <w:left w:w="108" w:type="dxa"/>
          <w:bottom w:w="0" w:type="dxa"/>
          <w:right w:w="108" w:type="dxa"/>
        </w:tblCellMar>
      </w:tblPr>
      <w:tblGrid>
        <w:gridCol w:w="1875"/>
        <w:gridCol w:w="1875"/>
        <w:gridCol w:w="1875"/>
        <w:gridCol w:w="1875"/>
      </w:tblGrid>
      <w:tr>
        <w:tblPrEx>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第二十条第（一）项</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华文楷体" w:cs="Times New Roman"/>
                <w:b/>
                <w:bCs/>
                <w:kern w:val="0"/>
                <w:szCs w:val="21"/>
              </w:rPr>
            </w:pPr>
            <w:r>
              <w:rPr>
                <w:rFonts w:ascii="Times New Roman" w:hAnsi="Times New Roman" w:eastAsia="华文楷体" w:cs="Times New Roman"/>
                <w:b/>
                <w:bCs/>
                <w:kern w:val="0"/>
                <w:szCs w:val="21"/>
              </w:rPr>
              <w:t>信息内容</w:t>
            </w:r>
          </w:p>
        </w:tc>
        <w:tc>
          <w:tcPr>
            <w:tcW w:w="1875" w:type="dxa"/>
            <w:tcBorders>
              <w:top w:val="nil"/>
              <w:left w:val="nil"/>
              <w:bottom w:val="single" w:color="auto" w:sz="8" w:space="0"/>
              <w:right w:val="single" w:color="auto" w:sz="8" w:space="0"/>
            </w:tcBorders>
            <w:vAlign w:val="center"/>
          </w:tcPr>
          <w:p>
            <w:pPr>
              <w:widowControl/>
              <w:jc w:val="center"/>
              <w:rPr>
                <w:rFonts w:ascii="Times New Roman" w:hAnsi="Times New Roman" w:eastAsia="华文楷体" w:cs="Times New Roman"/>
                <w:b/>
                <w:bCs/>
                <w:kern w:val="0"/>
                <w:szCs w:val="21"/>
              </w:rPr>
            </w:pPr>
            <w:r>
              <w:rPr>
                <w:rFonts w:ascii="Times New Roman" w:hAnsi="Times New Roman" w:eastAsia="华文楷体" w:cs="Times New Roman"/>
                <w:b/>
                <w:bCs/>
                <w:kern w:val="0"/>
                <w:szCs w:val="21"/>
              </w:rPr>
              <w:t>本年制发件数</w:t>
            </w:r>
          </w:p>
        </w:tc>
        <w:tc>
          <w:tcPr>
            <w:tcW w:w="1875" w:type="dxa"/>
            <w:tcBorders>
              <w:top w:val="nil"/>
              <w:left w:val="nil"/>
              <w:bottom w:val="single" w:color="auto" w:sz="8" w:space="0"/>
              <w:right w:val="single" w:color="auto" w:sz="8" w:space="0"/>
            </w:tcBorders>
            <w:vAlign w:val="center"/>
          </w:tcPr>
          <w:p>
            <w:pPr>
              <w:widowControl/>
              <w:jc w:val="center"/>
              <w:rPr>
                <w:rFonts w:ascii="Times New Roman" w:hAnsi="Times New Roman" w:eastAsia="华文楷体" w:cs="Times New Roman"/>
                <w:b/>
                <w:bCs/>
                <w:kern w:val="0"/>
                <w:szCs w:val="21"/>
              </w:rPr>
            </w:pPr>
            <w:r>
              <w:rPr>
                <w:rFonts w:ascii="Times New Roman" w:hAnsi="Times New Roman" w:eastAsia="华文楷体" w:cs="Times New Roman"/>
                <w:b/>
                <w:bCs/>
                <w:kern w:val="0"/>
                <w:szCs w:val="21"/>
              </w:rPr>
              <w:t>本年废止件数</w:t>
            </w:r>
          </w:p>
        </w:tc>
        <w:tc>
          <w:tcPr>
            <w:tcW w:w="1875" w:type="dxa"/>
            <w:tcBorders>
              <w:top w:val="nil"/>
              <w:left w:val="nil"/>
              <w:bottom w:val="single" w:color="auto" w:sz="8" w:space="0"/>
              <w:right w:val="single" w:color="auto" w:sz="8" w:space="0"/>
            </w:tcBorders>
            <w:vAlign w:val="center"/>
          </w:tcPr>
          <w:p>
            <w:pPr>
              <w:widowControl/>
              <w:jc w:val="center"/>
              <w:rPr>
                <w:rFonts w:ascii="Times New Roman" w:hAnsi="Times New Roman" w:eastAsia="华文楷体" w:cs="Times New Roman"/>
                <w:b/>
                <w:bCs/>
                <w:kern w:val="0"/>
                <w:szCs w:val="21"/>
              </w:rPr>
            </w:pPr>
            <w:r>
              <w:rPr>
                <w:rFonts w:ascii="Times New Roman" w:hAnsi="Times New Roman" w:eastAsia="华文楷体" w:cs="Times New Roman"/>
                <w:b/>
                <w:bCs/>
                <w:kern w:val="0"/>
                <w:szCs w:val="21"/>
              </w:rPr>
              <w:t>现行有效件数</w:t>
            </w:r>
          </w:p>
        </w:tc>
      </w:tr>
      <w:tr>
        <w:tblPrEx>
          <w:tblCellMar>
            <w:top w:w="0" w:type="dxa"/>
            <w:left w:w="108" w:type="dxa"/>
            <w:bottom w:w="0" w:type="dxa"/>
            <w:right w:w="108" w:type="dxa"/>
          </w:tblCellMar>
        </w:tblPrEx>
        <w:trPr>
          <w:trHeight w:val="904"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华文楷体" w:cs="Times New Roman"/>
                <w:b/>
                <w:bCs/>
                <w:kern w:val="0"/>
                <w:szCs w:val="21"/>
              </w:rPr>
            </w:pPr>
            <w:r>
              <w:rPr>
                <w:rFonts w:ascii="Times New Roman" w:hAnsi="Times New Roman" w:eastAsia="华文楷体" w:cs="Times New Roman"/>
                <w:b/>
                <w:bCs/>
                <w:kern w:val="0"/>
                <w:szCs w:val="21"/>
              </w:rPr>
              <w:t>规章</w:t>
            </w:r>
          </w:p>
        </w:tc>
        <w:tc>
          <w:tcPr>
            <w:tcW w:w="1875" w:type="dxa"/>
            <w:tcBorders>
              <w:top w:val="nil"/>
              <w:left w:val="nil"/>
              <w:bottom w:val="single" w:color="auto" w:sz="8" w:space="0"/>
              <w:right w:val="single" w:color="auto" w:sz="8" w:space="0"/>
            </w:tcBorders>
            <w:vAlign w:val="center"/>
          </w:tcPr>
          <w:p>
            <w:pPr>
              <w:widowControl/>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0</w:t>
            </w:r>
          </w:p>
        </w:tc>
        <w:tc>
          <w:tcPr>
            <w:tcW w:w="1875" w:type="dxa"/>
            <w:tcBorders>
              <w:top w:val="nil"/>
              <w:left w:val="nil"/>
              <w:bottom w:val="single" w:color="auto" w:sz="8" w:space="0"/>
              <w:right w:val="single" w:color="auto" w:sz="8" w:space="0"/>
            </w:tcBorders>
            <w:vAlign w:val="center"/>
          </w:tcPr>
          <w:p>
            <w:pPr>
              <w:widowControl/>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0</w:t>
            </w:r>
          </w:p>
        </w:tc>
        <w:tc>
          <w:tcPr>
            <w:tcW w:w="1875" w:type="dxa"/>
            <w:tcBorders>
              <w:top w:val="nil"/>
              <w:left w:val="nil"/>
              <w:bottom w:val="single" w:color="auto" w:sz="8" w:space="0"/>
              <w:right w:val="single" w:color="auto" w:sz="8" w:space="0"/>
            </w:tcBorders>
            <w:vAlign w:val="center"/>
          </w:tcPr>
          <w:p>
            <w:pPr>
              <w:widowControl/>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0</w:t>
            </w:r>
          </w:p>
        </w:tc>
      </w:tr>
      <w:tr>
        <w:tblPrEx>
          <w:tblCellMar>
            <w:top w:w="0" w:type="dxa"/>
            <w:left w:w="108" w:type="dxa"/>
            <w:bottom w:w="0" w:type="dxa"/>
            <w:right w:w="108" w:type="dxa"/>
          </w:tblCellMar>
        </w:tblPrEx>
        <w:trPr>
          <w:trHeight w:val="1028" w:hRule="atLeast"/>
        </w:trPr>
        <w:tc>
          <w:tcPr>
            <w:tcW w:w="1875" w:type="dxa"/>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华文楷体" w:cs="Times New Roman"/>
                <w:b/>
                <w:bCs/>
                <w:kern w:val="0"/>
                <w:szCs w:val="21"/>
              </w:rPr>
            </w:pPr>
            <w:r>
              <w:rPr>
                <w:rFonts w:ascii="Times New Roman" w:hAnsi="Times New Roman" w:eastAsia="华文楷体" w:cs="Times New Roman"/>
                <w:b/>
                <w:bCs/>
                <w:kern w:val="0"/>
                <w:szCs w:val="21"/>
              </w:rPr>
              <w:t>行政规范性文件</w:t>
            </w:r>
          </w:p>
        </w:tc>
        <w:tc>
          <w:tcPr>
            <w:tcW w:w="1875" w:type="dxa"/>
            <w:tcBorders>
              <w:top w:val="nil"/>
              <w:left w:val="nil"/>
              <w:bottom w:val="single" w:color="auto" w:sz="8" w:space="0"/>
              <w:right w:val="single" w:color="auto" w:sz="8" w:space="0"/>
            </w:tcBorders>
            <w:vAlign w:val="center"/>
          </w:tcPr>
          <w:p>
            <w:pPr>
              <w:widowControl/>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0</w:t>
            </w:r>
          </w:p>
        </w:tc>
        <w:tc>
          <w:tcPr>
            <w:tcW w:w="1875" w:type="dxa"/>
            <w:tcBorders>
              <w:top w:val="nil"/>
              <w:left w:val="nil"/>
              <w:bottom w:val="single" w:color="auto" w:sz="8" w:space="0"/>
              <w:right w:val="single" w:color="auto" w:sz="8" w:space="0"/>
            </w:tcBorders>
            <w:vAlign w:val="center"/>
          </w:tcPr>
          <w:p>
            <w:pPr>
              <w:widowControl/>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0</w:t>
            </w:r>
          </w:p>
        </w:tc>
        <w:tc>
          <w:tcPr>
            <w:tcW w:w="1875" w:type="dxa"/>
            <w:tcBorders>
              <w:top w:val="nil"/>
              <w:left w:val="nil"/>
              <w:bottom w:val="single" w:color="auto" w:sz="8" w:space="0"/>
              <w:right w:val="single" w:color="auto" w:sz="8" w:space="0"/>
            </w:tcBorders>
            <w:vAlign w:val="center"/>
          </w:tcPr>
          <w:p>
            <w:pPr>
              <w:widowControl/>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0</w:t>
            </w:r>
          </w:p>
        </w:tc>
      </w:tr>
      <w:tr>
        <w:tblPrEx>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第二十条第（五）项</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华文楷体" w:cs="Times New Roman"/>
                <w:b/>
                <w:bCs/>
                <w:kern w:val="0"/>
                <w:szCs w:val="21"/>
              </w:rPr>
            </w:pPr>
            <w:r>
              <w:rPr>
                <w:rFonts w:ascii="Times New Roman" w:hAnsi="Times New Roman" w:eastAsia="华文楷体" w:cs="Times New Roman"/>
                <w:b/>
                <w:bCs/>
                <w:kern w:val="0"/>
                <w:szCs w:val="21"/>
              </w:rPr>
              <w:t>信息内容</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ascii="Times New Roman" w:hAnsi="Times New Roman" w:eastAsia="华文楷体" w:cs="Times New Roman"/>
                <w:b/>
                <w:bCs/>
                <w:kern w:val="0"/>
                <w:szCs w:val="21"/>
              </w:rPr>
            </w:pPr>
            <w:r>
              <w:rPr>
                <w:rFonts w:ascii="Times New Roman" w:hAnsi="Times New Roman" w:eastAsia="华文楷体" w:cs="Times New Roman"/>
                <w:b/>
                <w:bCs/>
                <w:kern w:val="0"/>
                <w:szCs w:val="21"/>
              </w:rPr>
              <w:t>本年处理决定数量</w:t>
            </w:r>
          </w:p>
        </w:tc>
      </w:tr>
      <w:tr>
        <w:tblPrEx>
          <w:tblCellMar>
            <w:top w:w="0" w:type="dxa"/>
            <w:left w:w="108" w:type="dxa"/>
            <w:bottom w:w="0" w:type="dxa"/>
            <w:right w:w="108" w:type="dxa"/>
          </w:tblCellMar>
        </w:tblPrEx>
        <w:trPr>
          <w:trHeight w:val="880"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华文楷体" w:cs="Times New Roman"/>
                <w:kern w:val="0"/>
                <w:szCs w:val="21"/>
              </w:rPr>
            </w:pPr>
            <w:r>
              <w:rPr>
                <w:rFonts w:ascii="Times New Roman" w:hAnsi="Times New Roman" w:eastAsia="华文楷体" w:cs="Times New Roman"/>
                <w:b/>
                <w:bCs/>
                <w:kern w:val="0"/>
                <w:szCs w:val="21"/>
              </w:rPr>
              <w:t>行政许可</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0</w:t>
            </w:r>
          </w:p>
        </w:tc>
      </w:tr>
      <w:tr>
        <w:tblPrEx>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第二十条第（六）项</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华文楷体" w:cs="Times New Roman"/>
                <w:b/>
                <w:bCs/>
                <w:kern w:val="0"/>
                <w:szCs w:val="21"/>
              </w:rPr>
            </w:pPr>
            <w:r>
              <w:rPr>
                <w:rFonts w:ascii="Times New Roman" w:hAnsi="Times New Roman" w:eastAsia="华文楷体" w:cs="Times New Roman"/>
                <w:b/>
                <w:bCs/>
                <w:kern w:val="0"/>
                <w:szCs w:val="21"/>
              </w:rPr>
              <w:t>信息内容</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ascii="Times New Roman" w:hAnsi="Times New Roman" w:eastAsia="华文楷体" w:cs="Times New Roman"/>
                <w:b/>
                <w:bCs/>
                <w:kern w:val="0"/>
                <w:szCs w:val="21"/>
              </w:rPr>
            </w:pPr>
            <w:r>
              <w:rPr>
                <w:rFonts w:ascii="Times New Roman" w:hAnsi="Times New Roman" w:eastAsia="华文楷体" w:cs="Times New Roman"/>
                <w:b/>
                <w:bCs/>
                <w:kern w:val="0"/>
                <w:szCs w:val="21"/>
              </w:rPr>
              <w:t>本年处理决定数量</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华文楷体" w:cs="Times New Roman"/>
                <w:b/>
                <w:bCs/>
                <w:kern w:val="0"/>
                <w:szCs w:val="21"/>
              </w:rPr>
            </w:pPr>
            <w:r>
              <w:rPr>
                <w:rFonts w:ascii="Times New Roman" w:hAnsi="Times New Roman" w:eastAsia="华文楷体" w:cs="Times New Roman"/>
                <w:b/>
                <w:bCs/>
                <w:kern w:val="0"/>
                <w:szCs w:val="21"/>
              </w:rPr>
              <w:t>行政处罚</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0</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华文楷体" w:cs="Times New Roman"/>
                <w:b/>
                <w:bCs/>
                <w:kern w:val="0"/>
                <w:szCs w:val="21"/>
              </w:rPr>
            </w:pPr>
            <w:r>
              <w:rPr>
                <w:rFonts w:ascii="Times New Roman" w:hAnsi="Times New Roman" w:eastAsia="华文楷体" w:cs="Times New Roman"/>
                <w:b/>
                <w:bCs/>
                <w:kern w:val="0"/>
                <w:szCs w:val="21"/>
              </w:rPr>
              <w:t>行政强制</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0</w:t>
            </w:r>
          </w:p>
        </w:tc>
      </w:tr>
      <w:tr>
        <w:tblPrEx>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第二十条第（八）项</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华文楷体" w:cs="Times New Roman"/>
                <w:b/>
                <w:bCs/>
                <w:kern w:val="0"/>
                <w:szCs w:val="21"/>
              </w:rPr>
            </w:pPr>
            <w:r>
              <w:rPr>
                <w:rFonts w:ascii="Times New Roman" w:hAnsi="Times New Roman" w:eastAsia="华文楷体" w:cs="Times New Roman"/>
                <w:b/>
                <w:bCs/>
                <w:kern w:val="0"/>
                <w:szCs w:val="21"/>
              </w:rPr>
              <w:t>信息内容</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ascii="Times New Roman" w:hAnsi="Times New Roman" w:eastAsia="华文楷体" w:cs="Times New Roman"/>
                <w:b/>
                <w:bCs/>
                <w:kern w:val="0"/>
                <w:szCs w:val="21"/>
              </w:rPr>
            </w:pPr>
            <w:r>
              <w:rPr>
                <w:rFonts w:ascii="Times New Roman" w:hAnsi="Times New Roman" w:eastAsia="华文楷体" w:cs="Times New Roman"/>
                <w:b/>
                <w:bCs/>
                <w:kern w:val="0"/>
                <w:szCs w:val="21"/>
              </w:rPr>
              <w:t>本年收费金额（单位：万元）</w:t>
            </w:r>
          </w:p>
        </w:tc>
      </w:tr>
      <w:tr>
        <w:tblPrEx>
          <w:tblCellMar>
            <w:top w:w="0" w:type="dxa"/>
            <w:left w:w="108" w:type="dxa"/>
            <w:bottom w:w="0" w:type="dxa"/>
            <w:right w:w="108" w:type="dxa"/>
          </w:tblCellMar>
        </w:tblPrEx>
        <w:trPr>
          <w:trHeight w:val="1045"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华文楷体" w:cs="Times New Roman"/>
                <w:kern w:val="0"/>
                <w:szCs w:val="21"/>
              </w:rPr>
            </w:pPr>
            <w:r>
              <w:rPr>
                <w:rFonts w:ascii="Times New Roman" w:hAnsi="Times New Roman" w:eastAsia="华文楷体" w:cs="Times New Roman"/>
                <w:b/>
                <w:bCs/>
                <w:kern w:val="0"/>
                <w:szCs w:val="21"/>
              </w:rPr>
              <w:t>行政事业性收费</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0</w:t>
            </w:r>
          </w:p>
        </w:tc>
      </w:tr>
    </w:tbl>
    <w:p>
      <w:pPr>
        <w:numPr>
          <w:ilvl w:val="0"/>
          <w:numId w:val="2"/>
        </w:numPr>
        <w:rPr>
          <w:rFonts w:ascii="Times New Roman" w:hAnsi="Times New Roman" w:eastAsia="黑体" w:cs="Times New Roman"/>
          <w:bCs/>
          <w:kern w:val="0"/>
          <w:sz w:val="32"/>
          <w:szCs w:val="32"/>
          <w:shd w:val="clear" w:color="auto" w:fill="FFFFFF"/>
          <w:lang w:bidi="ar"/>
        </w:rPr>
      </w:pPr>
      <w:r>
        <w:rPr>
          <w:rFonts w:ascii="Times New Roman" w:hAnsi="Times New Roman" w:eastAsia="黑体" w:cs="Times New Roman"/>
          <w:bCs/>
          <w:kern w:val="0"/>
          <w:sz w:val="32"/>
          <w:szCs w:val="32"/>
          <w:shd w:val="clear" w:color="auto" w:fill="FFFFFF"/>
          <w:lang w:bidi="ar"/>
        </w:rPr>
        <w:t>收到和处理政府信息公开申请情况</w:t>
      </w:r>
    </w:p>
    <w:tbl>
      <w:tblPr>
        <w:tblStyle w:val="3"/>
        <w:tblW w:w="78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81"/>
        <w:gridCol w:w="736"/>
        <w:gridCol w:w="2531"/>
        <w:gridCol w:w="581"/>
        <w:gridCol w:w="488"/>
        <w:gridCol w:w="562"/>
        <w:gridCol w:w="769"/>
        <w:gridCol w:w="731"/>
        <w:gridCol w:w="500"/>
        <w:gridCol w:w="5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11" w:hRule="atLeast"/>
          <w:jc w:val="center"/>
        </w:trPr>
        <w:tc>
          <w:tcPr>
            <w:tcW w:w="3648" w:type="dxa"/>
            <w:gridSpan w:val="3"/>
            <w:vMerge w:val="restart"/>
            <w:shd w:val="clear" w:color="auto" w:fill="auto"/>
            <w:tcMar>
              <w:left w:w="108" w:type="dxa"/>
              <w:right w:w="108" w:type="dxa"/>
            </w:tcMar>
            <w:vAlign w:val="center"/>
          </w:tcPr>
          <w:p>
            <w:pPr>
              <w:widowControl/>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（本列数据的勾稽关系为：第一项加第二项之和，</w:t>
            </w:r>
          </w:p>
          <w:p>
            <w:pPr>
              <w:widowControl/>
              <w:jc w:val="center"/>
              <w:rPr>
                <w:rFonts w:ascii="Times New Roman" w:hAnsi="Times New Roman" w:eastAsia="华文楷体" w:cs="Times New Roman"/>
                <w:szCs w:val="21"/>
              </w:rPr>
            </w:pPr>
            <w:r>
              <w:rPr>
                <w:rFonts w:ascii="Times New Roman" w:hAnsi="Times New Roman" w:eastAsia="华文楷体" w:cs="Times New Roman"/>
                <w:kern w:val="0"/>
                <w:szCs w:val="21"/>
              </w:rPr>
              <w:t>等于第三项加第四项之和）</w:t>
            </w:r>
          </w:p>
        </w:tc>
        <w:tc>
          <w:tcPr>
            <w:tcW w:w="4174" w:type="dxa"/>
            <w:gridSpan w:val="7"/>
            <w:shd w:val="clear" w:color="auto" w:fill="auto"/>
            <w:tcMar>
              <w:left w:w="108" w:type="dxa"/>
              <w:right w:w="108" w:type="dxa"/>
            </w:tcMar>
            <w:vAlign w:val="center"/>
          </w:tcPr>
          <w:p>
            <w:pPr>
              <w:widowControl/>
              <w:spacing w:line="320" w:lineRule="exact"/>
              <w:jc w:val="center"/>
              <w:rPr>
                <w:rFonts w:ascii="Times New Roman" w:hAnsi="Times New Roman" w:eastAsia="华文楷体" w:cs="Times New Roman"/>
                <w:szCs w:val="21"/>
              </w:rPr>
            </w:pPr>
            <w:r>
              <w:rPr>
                <w:rFonts w:ascii="Times New Roman" w:hAnsi="Times New Roman" w:eastAsia="华文楷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3648" w:type="dxa"/>
            <w:gridSpan w:val="3"/>
            <w:vMerge w:val="continue"/>
            <w:shd w:val="clear" w:color="auto" w:fill="auto"/>
            <w:tcMar>
              <w:left w:w="108" w:type="dxa"/>
              <w:right w:w="108" w:type="dxa"/>
            </w:tcMar>
            <w:vAlign w:val="center"/>
          </w:tcPr>
          <w:p>
            <w:pPr>
              <w:jc w:val="center"/>
              <w:rPr>
                <w:rFonts w:ascii="Times New Roman" w:hAnsi="Times New Roman" w:eastAsia="华文楷体" w:cs="Times New Roman"/>
                <w:szCs w:val="21"/>
              </w:rPr>
            </w:pPr>
          </w:p>
        </w:tc>
        <w:tc>
          <w:tcPr>
            <w:tcW w:w="581" w:type="dxa"/>
            <w:vMerge w:val="restart"/>
            <w:shd w:val="clear" w:color="auto" w:fill="auto"/>
            <w:tcMar>
              <w:left w:w="108" w:type="dxa"/>
              <w:right w:w="108" w:type="dxa"/>
            </w:tcMar>
            <w:vAlign w:val="center"/>
          </w:tcPr>
          <w:p>
            <w:pPr>
              <w:widowControl/>
              <w:jc w:val="center"/>
              <w:rPr>
                <w:rFonts w:ascii="Times New Roman" w:hAnsi="Times New Roman" w:eastAsia="华文楷体" w:cs="Times New Roman"/>
                <w:szCs w:val="21"/>
              </w:rPr>
            </w:pPr>
            <w:r>
              <w:rPr>
                <w:rFonts w:ascii="Times New Roman" w:hAnsi="Times New Roman" w:eastAsia="华文楷体" w:cs="Times New Roman"/>
                <w:kern w:val="0"/>
                <w:szCs w:val="21"/>
              </w:rPr>
              <w:t>自然人</w:t>
            </w:r>
          </w:p>
        </w:tc>
        <w:tc>
          <w:tcPr>
            <w:tcW w:w="3050" w:type="dxa"/>
            <w:gridSpan w:val="5"/>
            <w:shd w:val="clear" w:color="auto" w:fill="auto"/>
            <w:tcMar>
              <w:left w:w="108" w:type="dxa"/>
              <w:right w:w="108" w:type="dxa"/>
            </w:tcMar>
            <w:vAlign w:val="center"/>
          </w:tcPr>
          <w:p>
            <w:pPr>
              <w:widowControl/>
              <w:spacing w:line="320" w:lineRule="exact"/>
              <w:jc w:val="center"/>
              <w:rPr>
                <w:rFonts w:ascii="Times New Roman" w:hAnsi="Times New Roman" w:eastAsia="华文楷体" w:cs="Times New Roman"/>
                <w:szCs w:val="21"/>
              </w:rPr>
            </w:pPr>
            <w:r>
              <w:rPr>
                <w:rFonts w:ascii="Times New Roman" w:hAnsi="Times New Roman" w:eastAsia="华文楷体" w:cs="Times New Roman"/>
                <w:kern w:val="0"/>
                <w:szCs w:val="21"/>
              </w:rPr>
              <w:t>法人或其他组织</w:t>
            </w:r>
          </w:p>
        </w:tc>
        <w:tc>
          <w:tcPr>
            <w:tcW w:w="543" w:type="dxa"/>
            <w:vMerge w:val="restart"/>
            <w:shd w:val="clear" w:color="auto" w:fill="auto"/>
            <w:tcMar>
              <w:left w:w="108" w:type="dxa"/>
              <w:right w:w="108" w:type="dxa"/>
            </w:tcMar>
            <w:vAlign w:val="center"/>
          </w:tcPr>
          <w:p>
            <w:pPr>
              <w:widowControl/>
              <w:jc w:val="center"/>
              <w:rPr>
                <w:rFonts w:ascii="Times New Roman" w:hAnsi="Times New Roman" w:eastAsia="华文楷体" w:cs="Times New Roman"/>
                <w:szCs w:val="21"/>
              </w:rPr>
            </w:pPr>
            <w:r>
              <w:rPr>
                <w:rFonts w:ascii="Times New Roman" w:hAnsi="Times New Roman" w:eastAsia="华文楷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3648" w:type="dxa"/>
            <w:gridSpan w:val="3"/>
            <w:vMerge w:val="continue"/>
            <w:shd w:val="clear" w:color="auto" w:fill="auto"/>
            <w:tcMar>
              <w:left w:w="108" w:type="dxa"/>
              <w:right w:w="108" w:type="dxa"/>
            </w:tcMar>
            <w:vAlign w:val="center"/>
          </w:tcPr>
          <w:p>
            <w:pPr>
              <w:jc w:val="center"/>
              <w:rPr>
                <w:rFonts w:ascii="Times New Roman" w:hAnsi="Times New Roman" w:eastAsia="华文楷体" w:cs="Times New Roman"/>
                <w:szCs w:val="21"/>
              </w:rPr>
            </w:pPr>
          </w:p>
        </w:tc>
        <w:tc>
          <w:tcPr>
            <w:tcW w:w="581" w:type="dxa"/>
            <w:vMerge w:val="continue"/>
            <w:shd w:val="clear" w:color="auto" w:fill="auto"/>
            <w:tcMar>
              <w:left w:w="108" w:type="dxa"/>
              <w:right w:w="108" w:type="dxa"/>
            </w:tcMar>
            <w:vAlign w:val="center"/>
          </w:tcPr>
          <w:p>
            <w:pPr>
              <w:jc w:val="center"/>
              <w:rPr>
                <w:rFonts w:ascii="Times New Roman" w:hAnsi="Times New Roman" w:eastAsia="华文楷体" w:cs="Times New Roman"/>
                <w:szCs w:val="21"/>
              </w:rPr>
            </w:pPr>
          </w:p>
        </w:tc>
        <w:tc>
          <w:tcPr>
            <w:tcW w:w="488" w:type="dxa"/>
            <w:shd w:val="clear" w:color="auto" w:fill="auto"/>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华文楷体" w:cs="Times New Roman"/>
                <w:szCs w:val="21"/>
              </w:rPr>
            </w:pPr>
            <w:r>
              <w:rPr>
                <w:rFonts w:ascii="Times New Roman" w:hAnsi="Times New Roman" w:eastAsia="华文楷体" w:cs="Times New Roman"/>
                <w:kern w:val="0"/>
                <w:szCs w:val="21"/>
              </w:rPr>
              <w:t>商业企业</w:t>
            </w:r>
          </w:p>
        </w:tc>
        <w:tc>
          <w:tcPr>
            <w:tcW w:w="562" w:type="dxa"/>
            <w:shd w:val="clear" w:color="auto" w:fill="auto"/>
            <w:tcMar>
              <w:left w:w="108" w:type="dxa"/>
              <w:right w:w="108" w:type="dxa"/>
            </w:tcMar>
            <w:vAlign w:val="center"/>
          </w:tcPr>
          <w:p>
            <w:pPr>
              <w:widowControl/>
              <w:spacing w:line="320" w:lineRule="exact"/>
              <w:ind w:left="-107" w:leftChars="-51" w:right="-107" w:rightChars="-51"/>
              <w:jc w:val="center"/>
              <w:rPr>
                <w:rFonts w:ascii="Times New Roman" w:hAnsi="Times New Roman" w:eastAsia="华文楷体" w:cs="Times New Roman"/>
                <w:szCs w:val="21"/>
              </w:rPr>
            </w:pPr>
            <w:r>
              <w:rPr>
                <w:rFonts w:ascii="Times New Roman" w:hAnsi="Times New Roman" w:eastAsia="华文楷体" w:cs="Times New Roman"/>
                <w:kern w:val="0"/>
                <w:szCs w:val="21"/>
              </w:rPr>
              <w:t>科研机构</w:t>
            </w:r>
          </w:p>
        </w:tc>
        <w:tc>
          <w:tcPr>
            <w:tcW w:w="769" w:type="dxa"/>
            <w:shd w:val="clear" w:color="auto" w:fill="auto"/>
            <w:tcMar>
              <w:left w:w="108" w:type="dxa"/>
              <w:right w:w="108" w:type="dxa"/>
            </w:tcMar>
            <w:vAlign w:val="center"/>
          </w:tcPr>
          <w:p>
            <w:pPr>
              <w:widowControl/>
              <w:spacing w:line="320" w:lineRule="exact"/>
              <w:ind w:left="-107" w:leftChars="-51" w:right="-107" w:rightChars="-51"/>
              <w:jc w:val="center"/>
              <w:rPr>
                <w:rFonts w:ascii="Times New Roman" w:hAnsi="Times New Roman" w:eastAsia="华文楷体" w:cs="Times New Roman"/>
                <w:szCs w:val="21"/>
              </w:rPr>
            </w:pPr>
            <w:r>
              <w:rPr>
                <w:rFonts w:ascii="Times New Roman" w:hAnsi="Times New Roman" w:eastAsia="华文楷体" w:cs="Times New Roman"/>
                <w:kern w:val="0"/>
                <w:szCs w:val="21"/>
              </w:rPr>
              <w:t>社会公益组织</w:t>
            </w:r>
          </w:p>
        </w:tc>
        <w:tc>
          <w:tcPr>
            <w:tcW w:w="731" w:type="dxa"/>
            <w:shd w:val="clear" w:color="auto" w:fill="auto"/>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华文楷体" w:cs="Times New Roman"/>
                <w:szCs w:val="21"/>
              </w:rPr>
            </w:pPr>
            <w:r>
              <w:rPr>
                <w:rFonts w:ascii="Times New Roman" w:hAnsi="Times New Roman" w:eastAsia="华文楷体" w:cs="Times New Roman"/>
                <w:kern w:val="0"/>
                <w:szCs w:val="21"/>
              </w:rPr>
              <w:t>法律服务机构</w:t>
            </w:r>
          </w:p>
        </w:tc>
        <w:tc>
          <w:tcPr>
            <w:tcW w:w="500" w:type="dxa"/>
            <w:shd w:val="clear" w:color="auto" w:fill="auto"/>
            <w:tcMar>
              <w:left w:w="108" w:type="dxa"/>
              <w:right w:w="108" w:type="dxa"/>
            </w:tcMar>
            <w:vAlign w:val="center"/>
          </w:tcPr>
          <w:p>
            <w:pPr>
              <w:widowControl/>
              <w:spacing w:line="360" w:lineRule="exact"/>
              <w:ind w:left="-63" w:leftChars="-30" w:right="-134" w:rightChars="-64"/>
              <w:jc w:val="center"/>
              <w:rPr>
                <w:rFonts w:ascii="Times New Roman" w:hAnsi="Times New Roman" w:eastAsia="华文楷体" w:cs="Times New Roman"/>
                <w:szCs w:val="21"/>
              </w:rPr>
            </w:pPr>
            <w:r>
              <w:rPr>
                <w:rFonts w:ascii="Times New Roman" w:hAnsi="Times New Roman" w:eastAsia="华文楷体" w:cs="Times New Roman"/>
                <w:kern w:val="0"/>
                <w:szCs w:val="21"/>
              </w:rPr>
              <w:t>其他</w:t>
            </w:r>
          </w:p>
        </w:tc>
        <w:tc>
          <w:tcPr>
            <w:tcW w:w="543" w:type="dxa"/>
            <w:vMerge w:val="continue"/>
            <w:shd w:val="clear" w:color="auto" w:fill="auto"/>
            <w:tcMar>
              <w:left w:w="108" w:type="dxa"/>
              <w:right w:w="108" w:type="dxa"/>
            </w:tcMar>
            <w:vAlign w:val="center"/>
          </w:tcPr>
          <w:p>
            <w:pPr>
              <w:jc w:val="center"/>
              <w:rPr>
                <w:rFonts w:ascii="Times New Roman" w:hAnsi="Times New Roman" w:eastAsia="华文楷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3648" w:type="dxa"/>
            <w:gridSpan w:val="3"/>
            <w:shd w:val="clear" w:color="auto" w:fill="auto"/>
            <w:tcMar>
              <w:left w:w="108" w:type="dxa"/>
              <w:right w:w="108" w:type="dxa"/>
            </w:tcMar>
            <w:vAlign w:val="center"/>
          </w:tcPr>
          <w:p>
            <w:pPr>
              <w:widowControl/>
              <w:rPr>
                <w:rFonts w:ascii="Times New Roman" w:hAnsi="Times New Roman" w:eastAsia="华文楷体" w:cs="Times New Roman"/>
                <w:szCs w:val="21"/>
              </w:rPr>
            </w:pPr>
            <w:r>
              <w:rPr>
                <w:rFonts w:ascii="Times New Roman" w:hAnsi="Times New Roman" w:eastAsia="华文楷体" w:cs="Times New Roman"/>
                <w:kern w:val="0"/>
                <w:szCs w:val="21"/>
              </w:rPr>
              <w:t>一、</w:t>
            </w:r>
            <w:bookmarkStart w:id="0" w:name="_Hlk66973412"/>
            <w:r>
              <w:rPr>
                <w:rFonts w:ascii="Times New Roman" w:hAnsi="Times New Roman" w:eastAsia="华文楷体" w:cs="Times New Roman"/>
                <w:kern w:val="0"/>
                <w:szCs w:val="21"/>
              </w:rPr>
              <w:t>本年新收政府信息公开申请数量</w:t>
            </w:r>
            <w:bookmarkEnd w:id="0"/>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2</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3648" w:type="dxa"/>
            <w:gridSpan w:val="3"/>
            <w:shd w:val="clear" w:color="auto" w:fill="auto"/>
            <w:tcMar>
              <w:left w:w="108" w:type="dxa"/>
              <w:right w:w="108" w:type="dxa"/>
            </w:tcMar>
            <w:vAlign w:val="center"/>
          </w:tcPr>
          <w:p>
            <w:pPr>
              <w:widowControl/>
              <w:rPr>
                <w:rFonts w:ascii="Times New Roman" w:hAnsi="Times New Roman" w:eastAsia="华文楷体" w:cs="Times New Roman"/>
                <w:kern w:val="0"/>
                <w:szCs w:val="21"/>
              </w:rPr>
            </w:pPr>
            <w:r>
              <w:rPr>
                <w:rFonts w:ascii="Times New Roman" w:hAnsi="Times New Roman" w:eastAsia="华文楷体" w:cs="Times New Roman"/>
                <w:kern w:val="0"/>
                <w:szCs w:val="21"/>
              </w:rPr>
              <w:t>二、上年结转政府信息公开申请数量</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381" w:type="dxa"/>
            <w:vMerge w:val="restart"/>
            <w:shd w:val="clear" w:color="auto" w:fill="auto"/>
            <w:tcMar>
              <w:left w:w="108" w:type="dxa"/>
              <w:right w:w="108" w:type="dxa"/>
            </w:tcMar>
            <w:vAlign w:val="center"/>
          </w:tcPr>
          <w:p>
            <w:pPr>
              <w:widowControl/>
              <w:spacing w:after="180"/>
              <w:rPr>
                <w:rFonts w:ascii="Times New Roman" w:hAnsi="Times New Roman" w:eastAsia="华文楷体" w:cs="Times New Roman"/>
                <w:szCs w:val="21"/>
              </w:rPr>
            </w:pPr>
            <w:r>
              <w:rPr>
                <w:rFonts w:ascii="Times New Roman" w:hAnsi="Times New Roman" w:eastAsia="华文楷体" w:cs="Times New Roman"/>
                <w:kern w:val="0"/>
                <w:szCs w:val="21"/>
              </w:rPr>
              <w:t>三、本年度办理结果</w:t>
            </w:r>
          </w:p>
        </w:tc>
        <w:tc>
          <w:tcPr>
            <w:tcW w:w="3267" w:type="dxa"/>
            <w:gridSpan w:val="2"/>
            <w:shd w:val="clear" w:color="auto" w:fill="auto"/>
            <w:tcMar>
              <w:left w:w="108" w:type="dxa"/>
              <w:right w:w="108" w:type="dxa"/>
            </w:tcMar>
            <w:vAlign w:val="center"/>
          </w:tcPr>
          <w:p>
            <w:pPr>
              <w:widowControl/>
              <w:rPr>
                <w:rFonts w:ascii="Times New Roman" w:hAnsi="Times New Roman" w:eastAsia="华文楷体" w:cs="Times New Roman"/>
                <w:szCs w:val="21"/>
              </w:rPr>
            </w:pPr>
            <w:r>
              <w:rPr>
                <w:rFonts w:ascii="Times New Roman" w:hAnsi="Times New Roman" w:eastAsia="华文楷体" w:cs="Times New Roman"/>
                <w:kern w:val="0"/>
                <w:szCs w:val="21"/>
              </w:rPr>
              <w:t>（一）予以公开</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2</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3267" w:type="dxa"/>
            <w:gridSpan w:val="2"/>
            <w:shd w:val="clear" w:color="auto" w:fill="auto"/>
            <w:tcMar>
              <w:left w:w="108" w:type="dxa"/>
              <w:right w:w="108" w:type="dxa"/>
            </w:tcMar>
            <w:vAlign w:val="center"/>
          </w:tcPr>
          <w:p>
            <w:pPr>
              <w:widowControl/>
              <w:rPr>
                <w:rFonts w:ascii="Times New Roman" w:hAnsi="Times New Roman" w:eastAsia="华文楷体" w:cs="Times New Roman"/>
                <w:szCs w:val="21"/>
              </w:rPr>
            </w:pPr>
            <w:r>
              <w:rPr>
                <w:rFonts w:ascii="Times New Roman" w:hAnsi="Times New Roman" w:eastAsia="华文楷体" w:cs="Times New Roman"/>
                <w:kern w:val="0"/>
                <w:szCs w:val="21"/>
              </w:rPr>
              <w:t>（二）部分公开（</w:t>
            </w:r>
            <w:bookmarkStart w:id="1" w:name="_Hlk66973981"/>
            <w:r>
              <w:rPr>
                <w:rFonts w:ascii="Times New Roman" w:hAnsi="Times New Roman" w:eastAsia="华文楷体" w:cs="Times New Roman"/>
                <w:kern w:val="0"/>
                <w:szCs w:val="21"/>
              </w:rPr>
              <w:t>区分处理的，只计这一情形，不计其他情形</w:t>
            </w:r>
            <w:bookmarkEnd w:id="1"/>
            <w:r>
              <w:rPr>
                <w:rFonts w:ascii="Times New Roman" w:hAnsi="Times New Roman" w:eastAsia="华文楷体" w:cs="Times New Roman"/>
                <w:kern w:val="0"/>
                <w:szCs w:val="21"/>
              </w:rPr>
              <w:t>）</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736" w:type="dxa"/>
            <w:vMerge w:val="restart"/>
            <w:shd w:val="clear" w:color="auto" w:fill="auto"/>
            <w:tcMar>
              <w:left w:w="108" w:type="dxa"/>
              <w:right w:w="108" w:type="dxa"/>
            </w:tcMar>
            <w:vAlign w:val="center"/>
          </w:tcPr>
          <w:p>
            <w:pPr>
              <w:widowControl/>
              <w:spacing w:line="200" w:lineRule="exact"/>
              <w:ind w:left="-107" w:leftChars="-51"/>
              <w:rPr>
                <w:rFonts w:ascii="Times New Roman" w:hAnsi="Times New Roman" w:eastAsia="华文楷体" w:cs="Times New Roman"/>
                <w:szCs w:val="21"/>
              </w:rPr>
            </w:pPr>
            <w:r>
              <w:rPr>
                <w:rFonts w:ascii="Times New Roman" w:hAnsi="Times New Roman" w:eastAsia="华文楷体" w:cs="Times New Roman"/>
                <w:kern w:val="0"/>
                <w:szCs w:val="21"/>
              </w:rPr>
              <w:t>（三）不予公开</w:t>
            </w:r>
          </w:p>
        </w:tc>
        <w:tc>
          <w:tcPr>
            <w:tcW w:w="2531" w:type="dxa"/>
            <w:shd w:val="clear" w:color="auto" w:fill="auto"/>
            <w:tcMar>
              <w:left w:w="108" w:type="dxa"/>
              <w:right w:w="108" w:type="dxa"/>
            </w:tcMar>
            <w:vAlign w:val="center"/>
          </w:tcPr>
          <w:p>
            <w:pPr>
              <w:widowControl/>
              <w:spacing w:line="200" w:lineRule="exact"/>
              <w:rPr>
                <w:rFonts w:ascii="Times New Roman" w:hAnsi="Times New Roman" w:eastAsia="华文楷体" w:cs="Times New Roman"/>
                <w:kern w:val="0"/>
                <w:szCs w:val="21"/>
              </w:rPr>
            </w:pPr>
            <w:r>
              <w:rPr>
                <w:rFonts w:ascii="Times New Roman" w:hAnsi="Times New Roman" w:eastAsia="华文楷体" w:cs="Times New Roman"/>
                <w:kern w:val="0"/>
                <w:szCs w:val="21"/>
              </w:rPr>
              <w:t>1.属于国家秘密</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r>
              <w:rPr>
                <w:rFonts w:ascii="Times New Roman" w:hAnsi="Times New Roman" w:eastAsia="华文楷体" w:cs="Times New Roman"/>
                <w:szCs w:val="21"/>
              </w:rPr>
              <w:t>S</w:t>
            </w: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华文楷体" w:cs="Times New Roman"/>
                <w:szCs w:val="21"/>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华文楷体" w:cs="Times New Roman"/>
                <w:kern w:val="0"/>
                <w:szCs w:val="21"/>
              </w:rPr>
            </w:pPr>
            <w:r>
              <w:rPr>
                <w:rFonts w:ascii="Times New Roman" w:hAnsi="Times New Roman" w:eastAsia="华文楷体" w:cs="Times New Roman"/>
                <w:kern w:val="0"/>
                <w:szCs w:val="21"/>
              </w:rPr>
              <w:t>2.</w:t>
            </w:r>
            <w:bookmarkStart w:id="2" w:name="_Hlk66974104"/>
            <w:r>
              <w:rPr>
                <w:rFonts w:ascii="Times New Roman" w:hAnsi="Times New Roman" w:eastAsia="华文楷体" w:cs="Times New Roman"/>
                <w:kern w:val="0"/>
                <w:szCs w:val="21"/>
              </w:rPr>
              <w:t>其他法律行政法规禁止公开</w:t>
            </w:r>
            <w:bookmarkEnd w:id="2"/>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华文楷体" w:cs="Times New Roman"/>
                <w:szCs w:val="21"/>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华文楷体" w:cs="Times New Roman"/>
                <w:kern w:val="0"/>
                <w:szCs w:val="21"/>
              </w:rPr>
            </w:pPr>
            <w:r>
              <w:rPr>
                <w:rFonts w:ascii="Times New Roman" w:hAnsi="Times New Roman" w:eastAsia="华文楷体" w:cs="Times New Roman"/>
                <w:kern w:val="0"/>
                <w:szCs w:val="21"/>
              </w:rPr>
              <w:t>3.危及“三安全一稳定”</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华文楷体" w:cs="Times New Roman"/>
                <w:szCs w:val="21"/>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华文楷体" w:cs="Times New Roman"/>
                <w:kern w:val="0"/>
                <w:szCs w:val="21"/>
              </w:rPr>
            </w:pPr>
            <w:r>
              <w:rPr>
                <w:rFonts w:ascii="Times New Roman" w:hAnsi="Times New Roman" w:eastAsia="华文楷体" w:cs="Times New Roman"/>
                <w:kern w:val="0"/>
                <w:szCs w:val="21"/>
              </w:rPr>
              <w:t>4.</w:t>
            </w:r>
            <w:bookmarkStart w:id="3" w:name="_Hlk66974290"/>
            <w:r>
              <w:rPr>
                <w:rFonts w:ascii="Times New Roman" w:hAnsi="Times New Roman" w:eastAsia="华文楷体" w:cs="Times New Roman"/>
                <w:kern w:val="0"/>
                <w:szCs w:val="21"/>
              </w:rPr>
              <w:t>保护第三方合法权益</w:t>
            </w:r>
            <w:bookmarkEnd w:id="3"/>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华文楷体" w:cs="Times New Roman"/>
                <w:szCs w:val="21"/>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华文楷体" w:cs="Times New Roman"/>
                <w:kern w:val="0"/>
                <w:szCs w:val="21"/>
              </w:rPr>
            </w:pPr>
            <w:r>
              <w:rPr>
                <w:rFonts w:ascii="Times New Roman" w:hAnsi="Times New Roman" w:eastAsia="华文楷体" w:cs="Times New Roman"/>
                <w:kern w:val="0"/>
                <w:szCs w:val="21"/>
              </w:rPr>
              <w:t>5.属于三类内部事务信息</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华文楷体" w:cs="Times New Roman"/>
                <w:szCs w:val="21"/>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华文楷体" w:cs="Times New Roman"/>
                <w:kern w:val="0"/>
                <w:szCs w:val="21"/>
              </w:rPr>
            </w:pPr>
            <w:r>
              <w:rPr>
                <w:rFonts w:ascii="Times New Roman" w:hAnsi="Times New Roman" w:eastAsia="华文楷体" w:cs="Times New Roman"/>
                <w:kern w:val="0"/>
                <w:szCs w:val="21"/>
              </w:rPr>
              <w:t>6.</w:t>
            </w:r>
            <w:bookmarkStart w:id="4" w:name="_Hlk66974555"/>
            <w:r>
              <w:rPr>
                <w:rFonts w:ascii="Times New Roman" w:hAnsi="Times New Roman" w:eastAsia="华文楷体" w:cs="Times New Roman"/>
                <w:kern w:val="0"/>
                <w:szCs w:val="21"/>
              </w:rPr>
              <w:t>属于四类过程性信息</w:t>
            </w:r>
            <w:bookmarkEnd w:id="4"/>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华文楷体" w:cs="Times New Roman"/>
                <w:szCs w:val="21"/>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华文楷体" w:cs="Times New Roman"/>
                <w:kern w:val="0"/>
                <w:szCs w:val="21"/>
              </w:rPr>
            </w:pPr>
            <w:r>
              <w:rPr>
                <w:rFonts w:ascii="Times New Roman" w:hAnsi="Times New Roman" w:eastAsia="华文楷体" w:cs="Times New Roman"/>
                <w:kern w:val="0"/>
                <w:szCs w:val="21"/>
              </w:rPr>
              <w:t>7.属于行政执法案卷</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华文楷体" w:cs="Times New Roman"/>
                <w:szCs w:val="21"/>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华文楷体" w:cs="Times New Roman"/>
                <w:kern w:val="0"/>
                <w:szCs w:val="21"/>
              </w:rPr>
            </w:pPr>
            <w:r>
              <w:rPr>
                <w:rFonts w:ascii="Times New Roman" w:hAnsi="Times New Roman" w:eastAsia="华文楷体" w:cs="Times New Roman"/>
                <w:kern w:val="0"/>
                <w:szCs w:val="21"/>
              </w:rPr>
              <w:t>8.</w:t>
            </w:r>
            <w:bookmarkStart w:id="5" w:name="_Hlk66975211"/>
            <w:r>
              <w:rPr>
                <w:rFonts w:ascii="Times New Roman" w:hAnsi="Times New Roman" w:eastAsia="华文楷体" w:cs="Times New Roman"/>
                <w:kern w:val="0"/>
                <w:szCs w:val="21"/>
              </w:rPr>
              <w:t>属于行政查询事项</w:t>
            </w:r>
            <w:bookmarkEnd w:id="5"/>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736" w:type="dxa"/>
            <w:vMerge w:val="restart"/>
            <w:shd w:val="clear" w:color="auto" w:fill="auto"/>
            <w:tcMar>
              <w:left w:w="108" w:type="dxa"/>
              <w:right w:w="108" w:type="dxa"/>
            </w:tcMar>
            <w:vAlign w:val="center"/>
          </w:tcPr>
          <w:p>
            <w:pPr>
              <w:widowControl/>
              <w:spacing w:line="200" w:lineRule="exact"/>
              <w:ind w:left="-107" w:leftChars="-51"/>
              <w:rPr>
                <w:rFonts w:ascii="Times New Roman" w:hAnsi="Times New Roman" w:eastAsia="华文楷体" w:cs="Times New Roman"/>
                <w:szCs w:val="21"/>
              </w:rPr>
            </w:pPr>
            <w:r>
              <w:rPr>
                <w:rFonts w:ascii="Times New Roman" w:hAnsi="Times New Roman" w:eastAsia="华文楷体" w:cs="Times New Roman"/>
                <w:kern w:val="0"/>
                <w:szCs w:val="21"/>
              </w:rPr>
              <w:t>（四）无法提供</w:t>
            </w:r>
          </w:p>
        </w:tc>
        <w:tc>
          <w:tcPr>
            <w:tcW w:w="2531" w:type="dxa"/>
            <w:shd w:val="clear" w:color="auto" w:fill="auto"/>
            <w:tcMar>
              <w:left w:w="108" w:type="dxa"/>
              <w:right w:w="108" w:type="dxa"/>
            </w:tcMar>
            <w:vAlign w:val="center"/>
          </w:tcPr>
          <w:p>
            <w:pPr>
              <w:widowControl/>
              <w:spacing w:line="200" w:lineRule="exact"/>
              <w:rPr>
                <w:rFonts w:ascii="Times New Roman" w:hAnsi="Times New Roman" w:eastAsia="华文楷体" w:cs="Times New Roman"/>
                <w:kern w:val="0"/>
                <w:szCs w:val="21"/>
              </w:rPr>
            </w:pPr>
            <w:r>
              <w:rPr>
                <w:rFonts w:ascii="Times New Roman" w:hAnsi="Times New Roman" w:eastAsia="华文楷体" w:cs="Times New Roman"/>
                <w:kern w:val="0"/>
                <w:szCs w:val="21"/>
              </w:rPr>
              <w:t>1.本机关不掌握相关政府信息</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736" w:type="dxa"/>
            <w:vMerge w:val="continue"/>
            <w:shd w:val="clear" w:color="auto" w:fill="auto"/>
            <w:tcMar>
              <w:left w:w="108" w:type="dxa"/>
              <w:right w:w="108" w:type="dxa"/>
            </w:tcMar>
            <w:vAlign w:val="center"/>
          </w:tcPr>
          <w:p>
            <w:pPr>
              <w:spacing w:line="200" w:lineRule="exact"/>
              <w:ind w:left="-107" w:leftChars="-51"/>
              <w:rPr>
                <w:rFonts w:ascii="Times New Roman" w:hAnsi="Times New Roman" w:eastAsia="华文楷体" w:cs="Times New Roman"/>
                <w:szCs w:val="21"/>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华文楷体" w:cs="Times New Roman"/>
                <w:kern w:val="0"/>
                <w:szCs w:val="21"/>
              </w:rPr>
            </w:pPr>
            <w:r>
              <w:rPr>
                <w:rFonts w:ascii="Times New Roman" w:hAnsi="Times New Roman" w:eastAsia="华文楷体" w:cs="Times New Roman"/>
                <w:kern w:val="0"/>
                <w:szCs w:val="21"/>
              </w:rPr>
              <w:t>2.</w:t>
            </w:r>
            <w:bookmarkStart w:id="6" w:name="_Hlk66975392"/>
            <w:r>
              <w:rPr>
                <w:rFonts w:ascii="Times New Roman" w:hAnsi="Times New Roman" w:eastAsia="华文楷体" w:cs="Times New Roman"/>
                <w:kern w:val="0"/>
                <w:szCs w:val="21"/>
              </w:rPr>
              <w:t>没有现成信息需要另行制作</w:t>
            </w:r>
            <w:bookmarkEnd w:id="6"/>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736" w:type="dxa"/>
            <w:vMerge w:val="continue"/>
            <w:shd w:val="clear" w:color="auto" w:fill="auto"/>
            <w:tcMar>
              <w:left w:w="108" w:type="dxa"/>
              <w:right w:w="108" w:type="dxa"/>
            </w:tcMar>
            <w:vAlign w:val="center"/>
          </w:tcPr>
          <w:p>
            <w:pPr>
              <w:spacing w:line="200" w:lineRule="exact"/>
              <w:ind w:left="-107" w:leftChars="-51"/>
              <w:rPr>
                <w:rFonts w:ascii="Times New Roman" w:hAnsi="Times New Roman" w:eastAsia="华文楷体" w:cs="Times New Roman"/>
                <w:szCs w:val="21"/>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华文楷体" w:cs="Times New Roman"/>
                <w:kern w:val="0"/>
                <w:szCs w:val="21"/>
              </w:rPr>
            </w:pPr>
            <w:r>
              <w:rPr>
                <w:rFonts w:ascii="Times New Roman" w:hAnsi="Times New Roman" w:eastAsia="华文楷体" w:cs="Times New Roman"/>
                <w:kern w:val="0"/>
                <w:szCs w:val="21"/>
              </w:rPr>
              <w:t>3.</w:t>
            </w:r>
            <w:bookmarkStart w:id="7" w:name="_Hlk66975466"/>
            <w:r>
              <w:rPr>
                <w:rFonts w:ascii="Times New Roman" w:hAnsi="Times New Roman" w:eastAsia="华文楷体" w:cs="Times New Roman"/>
                <w:kern w:val="0"/>
                <w:szCs w:val="21"/>
              </w:rPr>
              <w:t>补正后申请内容仍不明确</w:t>
            </w:r>
            <w:bookmarkEnd w:id="7"/>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736" w:type="dxa"/>
            <w:vMerge w:val="restart"/>
            <w:shd w:val="clear" w:color="auto" w:fill="auto"/>
            <w:tcMar>
              <w:left w:w="108" w:type="dxa"/>
              <w:right w:w="108" w:type="dxa"/>
            </w:tcMar>
            <w:vAlign w:val="center"/>
          </w:tcPr>
          <w:p>
            <w:pPr>
              <w:widowControl/>
              <w:spacing w:line="200" w:lineRule="exact"/>
              <w:ind w:left="-107" w:leftChars="-51"/>
              <w:rPr>
                <w:rFonts w:ascii="Times New Roman" w:hAnsi="Times New Roman" w:eastAsia="华文楷体" w:cs="Times New Roman"/>
                <w:szCs w:val="21"/>
              </w:rPr>
            </w:pPr>
            <w:r>
              <w:rPr>
                <w:rFonts w:ascii="Times New Roman" w:hAnsi="Times New Roman" w:eastAsia="华文楷体" w:cs="Times New Roman"/>
                <w:kern w:val="0"/>
                <w:szCs w:val="21"/>
              </w:rPr>
              <w:t>（五）不予处理</w:t>
            </w:r>
          </w:p>
        </w:tc>
        <w:tc>
          <w:tcPr>
            <w:tcW w:w="2531" w:type="dxa"/>
            <w:shd w:val="clear" w:color="auto" w:fill="auto"/>
            <w:tcMar>
              <w:left w:w="108" w:type="dxa"/>
              <w:right w:w="108" w:type="dxa"/>
            </w:tcMar>
            <w:vAlign w:val="center"/>
          </w:tcPr>
          <w:p>
            <w:pPr>
              <w:widowControl/>
              <w:spacing w:line="200" w:lineRule="exact"/>
              <w:rPr>
                <w:rFonts w:ascii="Times New Roman" w:hAnsi="Times New Roman" w:eastAsia="华文楷体" w:cs="Times New Roman"/>
                <w:kern w:val="0"/>
                <w:szCs w:val="21"/>
              </w:rPr>
            </w:pPr>
            <w:r>
              <w:rPr>
                <w:rFonts w:ascii="Times New Roman" w:hAnsi="Times New Roman" w:eastAsia="华文楷体" w:cs="Times New Roman"/>
                <w:kern w:val="0"/>
                <w:szCs w:val="21"/>
              </w:rPr>
              <w:t>1.</w:t>
            </w:r>
            <w:bookmarkStart w:id="8" w:name="_Hlk66975537"/>
            <w:r>
              <w:rPr>
                <w:rFonts w:ascii="Times New Roman" w:hAnsi="Times New Roman" w:eastAsia="华文楷体" w:cs="Times New Roman"/>
                <w:kern w:val="0"/>
                <w:szCs w:val="21"/>
              </w:rPr>
              <w:t>信访举报投诉类申请</w:t>
            </w:r>
            <w:bookmarkEnd w:id="8"/>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华文楷体" w:cs="Times New Roman"/>
                <w:szCs w:val="21"/>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华文楷体" w:cs="Times New Roman"/>
                <w:kern w:val="0"/>
                <w:szCs w:val="21"/>
              </w:rPr>
            </w:pPr>
            <w:r>
              <w:rPr>
                <w:rFonts w:ascii="Times New Roman" w:hAnsi="Times New Roman" w:eastAsia="华文楷体" w:cs="Times New Roman"/>
                <w:kern w:val="0"/>
                <w:szCs w:val="21"/>
              </w:rPr>
              <w:t>2.重复申请</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华文楷体" w:cs="Times New Roman"/>
                <w:szCs w:val="21"/>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华文楷体" w:cs="Times New Roman"/>
                <w:szCs w:val="21"/>
              </w:rPr>
            </w:pPr>
            <w:r>
              <w:rPr>
                <w:rFonts w:ascii="Times New Roman" w:hAnsi="Times New Roman" w:eastAsia="华文楷体" w:cs="Times New Roman"/>
                <w:kern w:val="0"/>
                <w:szCs w:val="21"/>
              </w:rPr>
              <w:t>3.要求提供公开出版物</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7" w:hRule="exac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华文楷体" w:cs="Times New Roman"/>
                <w:szCs w:val="21"/>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华文楷体" w:cs="Times New Roman"/>
                <w:szCs w:val="21"/>
              </w:rPr>
            </w:pPr>
            <w:r>
              <w:rPr>
                <w:rFonts w:ascii="Times New Roman" w:hAnsi="Times New Roman" w:eastAsia="华文楷体" w:cs="Times New Roman"/>
                <w:kern w:val="0"/>
                <w:szCs w:val="21"/>
              </w:rPr>
              <w:t>4.无正当理由大量反复申请</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华文楷体" w:cs="Times New Roman"/>
                <w:szCs w:val="21"/>
              </w:rPr>
            </w:pPr>
          </w:p>
        </w:tc>
        <w:tc>
          <w:tcPr>
            <w:tcW w:w="2531" w:type="dxa"/>
            <w:shd w:val="clear" w:color="auto" w:fill="auto"/>
            <w:tcMar>
              <w:left w:w="108" w:type="dxa"/>
              <w:right w:w="108" w:type="dxa"/>
            </w:tcMar>
            <w:vAlign w:val="center"/>
          </w:tcPr>
          <w:p>
            <w:pPr>
              <w:widowControl/>
              <w:spacing w:line="300" w:lineRule="exact"/>
              <w:rPr>
                <w:rFonts w:ascii="Times New Roman" w:hAnsi="Times New Roman" w:eastAsia="华文楷体" w:cs="Times New Roman"/>
                <w:kern w:val="0"/>
                <w:szCs w:val="21"/>
              </w:rPr>
            </w:pPr>
            <w:r>
              <w:rPr>
                <w:rFonts w:ascii="Times New Roman" w:hAnsi="Times New Roman" w:eastAsia="华文楷体" w:cs="Times New Roman"/>
                <w:kern w:val="0"/>
                <w:szCs w:val="21"/>
              </w:rPr>
              <w:t>5.要求行政机关确认或重新</w:t>
            </w:r>
          </w:p>
          <w:p>
            <w:pPr>
              <w:widowControl/>
              <w:spacing w:line="300" w:lineRule="exact"/>
              <w:ind w:firstLine="210" w:firstLineChars="100"/>
              <w:rPr>
                <w:rFonts w:ascii="Times New Roman" w:hAnsi="Times New Roman" w:eastAsia="华文楷体" w:cs="Times New Roman"/>
                <w:szCs w:val="21"/>
              </w:rPr>
            </w:pPr>
            <w:r>
              <w:rPr>
                <w:rFonts w:ascii="Times New Roman" w:hAnsi="Times New Roman" w:eastAsia="华文楷体" w:cs="Times New Roman"/>
                <w:kern w:val="0"/>
                <w:szCs w:val="21"/>
              </w:rPr>
              <w:t>出具已获取信息</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736" w:type="dxa"/>
            <w:vMerge w:val="restart"/>
            <w:shd w:val="clear" w:color="auto" w:fill="auto"/>
            <w:tcMar>
              <w:left w:w="108" w:type="dxa"/>
              <w:right w:w="108" w:type="dxa"/>
            </w:tcMar>
            <w:vAlign w:val="center"/>
          </w:tcPr>
          <w:p>
            <w:pPr>
              <w:widowControl/>
              <w:spacing w:line="300" w:lineRule="exact"/>
              <w:rPr>
                <w:rFonts w:ascii="Times New Roman" w:hAnsi="Times New Roman" w:eastAsia="华文楷体" w:cs="Times New Roman"/>
                <w:kern w:val="0"/>
                <w:szCs w:val="21"/>
              </w:rPr>
            </w:pPr>
            <w:r>
              <w:rPr>
                <w:rFonts w:ascii="Times New Roman" w:hAnsi="Times New Roman" w:eastAsia="华文楷体" w:cs="Times New Roman"/>
                <w:kern w:val="0"/>
                <w:szCs w:val="21"/>
              </w:rPr>
              <w:t>（六）其他处理</w:t>
            </w:r>
          </w:p>
        </w:tc>
        <w:tc>
          <w:tcPr>
            <w:tcW w:w="2531" w:type="dxa"/>
            <w:shd w:val="clear" w:color="auto" w:fill="auto"/>
            <w:vAlign w:val="center"/>
          </w:tcPr>
          <w:p>
            <w:pPr>
              <w:widowControl/>
              <w:spacing w:line="300" w:lineRule="exact"/>
              <w:rPr>
                <w:rFonts w:ascii="Times New Roman" w:hAnsi="Times New Roman" w:eastAsia="华文楷体" w:cs="Times New Roman"/>
                <w:szCs w:val="21"/>
              </w:rPr>
            </w:pPr>
            <w:r>
              <w:rPr>
                <w:rFonts w:ascii="Times New Roman" w:hAnsi="Times New Roman" w:eastAsia="华文楷体" w:cs="Times New Roman"/>
                <w:szCs w:val="21"/>
              </w:rPr>
              <w:t>1.申请人无正当理由逾期……</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736" w:type="dxa"/>
            <w:vMerge w:val="continue"/>
            <w:shd w:val="clear" w:color="auto" w:fill="auto"/>
            <w:tcMar>
              <w:left w:w="108" w:type="dxa"/>
              <w:right w:w="108" w:type="dxa"/>
            </w:tcMar>
            <w:vAlign w:val="center"/>
          </w:tcPr>
          <w:p>
            <w:pPr>
              <w:widowControl/>
              <w:spacing w:line="300" w:lineRule="exact"/>
              <w:rPr>
                <w:rFonts w:ascii="Times New Roman" w:hAnsi="Times New Roman" w:eastAsia="华文楷体" w:cs="Times New Roman"/>
                <w:kern w:val="0"/>
                <w:szCs w:val="21"/>
              </w:rPr>
            </w:pPr>
          </w:p>
        </w:tc>
        <w:tc>
          <w:tcPr>
            <w:tcW w:w="2531" w:type="dxa"/>
            <w:shd w:val="clear" w:color="auto" w:fill="auto"/>
            <w:vAlign w:val="center"/>
          </w:tcPr>
          <w:p>
            <w:pPr>
              <w:widowControl/>
              <w:spacing w:line="300" w:lineRule="exact"/>
              <w:rPr>
                <w:rFonts w:ascii="Times New Roman" w:hAnsi="Times New Roman" w:eastAsia="华文楷体" w:cs="Times New Roman"/>
                <w:kern w:val="0"/>
                <w:szCs w:val="21"/>
              </w:rPr>
            </w:pPr>
            <w:r>
              <w:rPr>
                <w:rFonts w:ascii="Times New Roman" w:hAnsi="Times New Roman" w:eastAsia="华文楷体" w:cs="Times New Roman"/>
                <w:szCs w:val="21"/>
              </w:rPr>
              <w:t>2.申请人逾期未按收费通知……</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736" w:type="dxa"/>
            <w:vMerge w:val="continue"/>
            <w:shd w:val="clear" w:color="auto" w:fill="auto"/>
            <w:tcMar>
              <w:left w:w="108" w:type="dxa"/>
              <w:right w:w="108" w:type="dxa"/>
            </w:tcMar>
            <w:vAlign w:val="center"/>
          </w:tcPr>
          <w:p>
            <w:pPr>
              <w:widowControl/>
              <w:spacing w:line="300" w:lineRule="exact"/>
              <w:rPr>
                <w:rFonts w:ascii="Times New Roman" w:hAnsi="Times New Roman" w:eastAsia="华文楷体" w:cs="Times New Roman"/>
                <w:kern w:val="0"/>
                <w:szCs w:val="21"/>
              </w:rPr>
            </w:pPr>
          </w:p>
        </w:tc>
        <w:tc>
          <w:tcPr>
            <w:tcW w:w="2531" w:type="dxa"/>
            <w:shd w:val="clear" w:color="auto" w:fill="auto"/>
            <w:vAlign w:val="center"/>
          </w:tcPr>
          <w:p>
            <w:pPr>
              <w:widowControl/>
              <w:spacing w:line="300" w:lineRule="exact"/>
              <w:rPr>
                <w:rFonts w:ascii="Times New Roman" w:hAnsi="Times New Roman" w:eastAsia="华文楷体" w:cs="Times New Roman"/>
                <w:kern w:val="0"/>
                <w:szCs w:val="21"/>
              </w:rPr>
            </w:pPr>
            <w:r>
              <w:rPr>
                <w:rFonts w:ascii="Times New Roman" w:hAnsi="Times New Roman" w:eastAsia="华文楷体" w:cs="Times New Roman"/>
                <w:szCs w:val="21"/>
              </w:rPr>
              <w:t>3.其他</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shd w:val="clear" w:color="auto" w:fill="auto"/>
            <w:tcMar>
              <w:left w:w="108" w:type="dxa"/>
              <w:right w:w="108" w:type="dxa"/>
            </w:tcMar>
            <w:vAlign w:val="center"/>
          </w:tcPr>
          <w:p>
            <w:pPr>
              <w:rPr>
                <w:rFonts w:ascii="Times New Roman" w:hAnsi="Times New Roman" w:eastAsia="华文楷体" w:cs="Times New Roman"/>
                <w:szCs w:val="21"/>
              </w:rPr>
            </w:pPr>
          </w:p>
        </w:tc>
        <w:tc>
          <w:tcPr>
            <w:tcW w:w="3267" w:type="dxa"/>
            <w:gridSpan w:val="2"/>
            <w:shd w:val="clear" w:color="auto" w:fill="auto"/>
            <w:tcMar>
              <w:left w:w="108" w:type="dxa"/>
              <w:right w:w="108" w:type="dxa"/>
            </w:tcMar>
            <w:vAlign w:val="center"/>
          </w:tcPr>
          <w:p>
            <w:pPr>
              <w:widowControl/>
              <w:spacing w:line="300" w:lineRule="exact"/>
              <w:rPr>
                <w:rFonts w:ascii="Times New Roman" w:hAnsi="Times New Roman" w:eastAsia="华文楷体" w:cs="Times New Roman"/>
                <w:kern w:val="0"/>
                <w:szCs w:val="21"/>
              </w:rPr>
            </w:pPr>
            <w:r>
              <w:rPr>
                <w:rFonts w:ascii="Times New Roman" w:hAnsi="Times New Roman" w:eastAsia="华文楷体" w:cs="Times New Roman"/>
                <w:kern w:val="0"/>
                <w:szCs w:val="21"/>
              </w:rPr>
              <w:t>（七）总计</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2</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648" w:type="dxa"/>
            <w:gridSpan w:val="3"/>
            <w:shd w:val="clear" w:color="auto" w:fill="auto"/>
            <w:tcMar>
              <w:left w:w="108" w:type="dxa"/>
              <w:right w:w="108" w:type="dxa"/>
            </w:tcMar>
            <w:vAlign w:val="center"/>
          </w:tcPr>
          <w:p>
            <w:pPr>
              <w:widowControl/>
              <w:spacing w:line="300" w:lineRule="exact"/>
              <w:rPr>
                <w:rFonts w:ascii="Times New Roman" w:hAnsi="Times New Roman" w:eastAsia="华文楷体" w:cs="Times New Roman"/>
                <w:kern w:val="0"/>
                <w:szCs w:val="21"/>
              </w:rPr>
            </w:pPr>
            <w:r>
              <w:rPr>
                <w:rFonts w:ascii="Times New Roman" w:hAnsi="Times New Roman" w:eastAsia="华文楷体" w:cs="Times New Roman"/>
                <w:kern w:val="0"/>
                <w:szCs w:val="21"/>
              </w:rPr>
              <w:t>四、结转下年度继续办理</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华文楷体" w:cs="Times New Roman"/>
                <w:szCs w:val="21"/>
              </w:rPr>
            </w:pPr>
            <w:r>
              <w:rPr>
                <w:rFonts w:ascii="Times New Roman" w:hAnsi="Times New Roman" w:eastAsia="华文楷体" w:cs="Times New Roman"/>
                <w:szCs w:val="21"/>
              </w:rPr>
              <w:t>0</w:t>
            </w:r>
          </w:p>
        </w:tc>
      </w:tr>
    </w:tbl>
    <w:p>
      <w:pPr>
        <w:rPr>
          <w:rFonts w:ascii="Times New Roman" w:hAnsi="Times New Roman" w:eastAsia="仿宋_GB2312" w:cs="Times New Roman"/>
          <w:bCs/>
          <w:kern w:val="0"/>
          <w:sz w:val="32"/>
          <w:szCs w:val="32"/>
          <w:shd w:val="clear" w:color="auto" w:fill="FFFFFF"/>
          <w:lang w:bidi="ar"/>
        </w:rPr>
      </w:pPr>
    </w:p>
    <w:p>
      <w:pPr>
        <w:rPr>
          <w:rFonts w:ascii="Times New Roman" w:hAnsi="Times New Roman" w:eastAsia="黑体" w:cs="Times New Roman"/>
          <w:sz w:val="32"/>
          <w:szCs w:val="32"/>
        </w:rPr>
      </w:pPr>
      <w:r>
        <w:rPr>
          <w:rFonts w:ascii="Times New Roman" w:hAnsi="Times New Roman" w:eastAsia="黑体" w:cs="Times New Roman"/>
          <w:bCs/>
          <w:kern w:val="0"/>
          <w:sz w:val="32"/>
          <w:szCs w:val="32"/>
          <w:shd w:val="clear" w:color="auto" w:fill="FFFFFF"/>
          <w:lang w:bidi="ar"/>
        </w:rPr>
        <w:t>四、政府信息公开行政复议、行政诉讼情况</w:t>
      </w:r>
    </w:p>
    <w:tbl>
      <w:tblPr>
        <w:tblStyle w:val="3"/>
        <w:tblpPr w:leftFromText="180" w:rightFromText="180" w:vertAnchor="text" w:horzAnchor="page" w:tblpX="1537" w:tblpY="619"/>
        <w:tblOverlap w:val="neve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华文楷体" w:cs="Times New Roman"/>
                <w:szCs w:val="21"/>
              </w:rPr>
            </w:pPr>
            <w:r>
              <w:rPr>
                <w:rFonts w:ascii="Times New Roman" w:hAnsi="Times New Roman" w:eastAsia="华文楷体" w:cs="Times New Roman"/>
                <w:kern w:val="0"/>
                <w:szCs w:val="21"/>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华文楷体" w:cs="Times New Roman"/>
                <w:szCs w:val="21"/>
              </w:rPr>
            </w:pPr>
            <w:r>
              <w:rPr>
                <w:rFonts w:ascii="Times New Roman" w:hAnsi="Times New Roman" w:eastAsia="华文楷体" w:cs="Times New Roman"/>
                <w:kern w:val="0"/>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ind w:left="-149" w:leftChars="-71" w:right="-170" w:rightChars="-81"/>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结果</w:t>
            </w:r>
          </w:p>
          <w:p>
            <w:pPr>
              <w:widowControl/>
              <w:ind w:left="-149" w:leftChars="-71" w:right="-170" w:rightChars="-81"/>
              <w:jc w:val="center"/>
              <w:rPr>
                <w:rFonts w:ascii="Times New Roman" w:hAnsi="Times New Roman" w:eastAsia="华文楷体" w:cs="Times New Roman"/>
                <w:szCs w:val="21"/>
              </w:rPr>
            </w:pPr>
            <w:r>
              <w:rPr>
                <w:rFonts w:ascii="Times New Roman" w:hAnsi="Times New Roman" w:eastAsia="华文楷体" w:cs="Times New Roman"/>
                <w:kern w:val="0"/>
                <w:szCs w:val="21"/>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widowControl/>
              <w:ind w:left="-43" w:leftChars="-21" w:right="-132" w:rightChars="-63" w:hanging="1"/>
              <w:jc w:val="center"/>
              <w:rPr>
                <w:rFonts w:ascii="Times New Roman" w:hAnsi="Times New Roman" w:eastAsia="华文楷体" w:cs="Times New Roman"/>
                <w:szCs w:val="21"/>
              </w:rPr>
            </w:pPr>
            <w:r>
              <w:rPr>
                <w:rFonts w:ascii="Times New Roman" w:hAnsi="Times New Roman" w:eastAsia="华文楷体" w:cs="Times New Roman"/>
                <w:kern w:val="0"/>
                <w:szCs w:val="21"/>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82" w:leftChars="-39" w:right="-97" w:rightChars="-46"/>
              <w:jc w:val="center"/>
              <w:rPr>
                <w:rFonts w:ascii="Times New Roman" w:hAnsi="Times New Roman" w:eastAsia="华文楷体" w:cs="Times New Roman"/>
                <w:szCs w:val="21"/>
              </w:rPr>
            </w:pPr>
            <w:r>
              <w:rPr>
                <w:rFonts w:ascii="Times New Roman" w:hAnsi="Times New Roman" w:eastAsia="华文楷体" w:cs="Times New Roman"/>
                <w:kern w:val="0"/>
                <w:szCs w:val="21"/>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118" w:leftChars="-56" w:right="-118" w:rightChars="-56"/>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尚未</w:t>
            </w:r>
          </w:p>
          <w:p>
            <w:pPr>
              <w:widowControl/>
              <w:ind w:left="-118" w:leftChars="-56" w:right="-118" w:rightChars="-56"/>
              <w:jc w:val="center"/>
              <w:rPr>
                <w:rFonts w:ascii="Times New Roman" w:hAnsi="Times New Roman" w:eastAsia="华文楷体" w:cs="Times New Roman"/>
                <w:szCs w:val="21"/>
              </w:rPr>
            </w:pPr>
            <w:r>
              <w:rPr>
                <w:rFonts w:ascii="Times New Roman" w:hAnsi="Times New Roman" w:eastAsia="华文楷体" w:cs="Times New Roman"/>
                <w:kern w:val="0"/>
                <w:szCs w:val="21"/>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总</w:t>
            </w:r>
          </w:p>
          <w:p>
            <w:pPr>
              <w:widowControl/>
              <w:spacing w:line="320" w:lineRule="exact"/>
              <w:jc w:val="center"/>
              <w:rPr>
                <w:rFonts w:ascii="Times New Roman" w:hAnsi="Times New Roman" w:eastAsia="华文楷体" w:cs="Times New Roman"/>
                <w:szCs w:val="21"/>
              </w:rPr>
            </w:pPr>
            <w:r>
              <w:rPr>
                <w:rFonts w:ascii="Times New Roman" w:hAnsi="Times New Roman" w:eastAsia="华文楷体" w:cs="Times New Roman"/>
                <w:kern w:val="0"/>
                <w:szCs w:val="21"/>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华文楷体" w:cs="Times New Roman"/>
                <w:szCs w:val="21"/>
              </w:rPr>
            </w:pPr>
            <w:r>
              <w:rPr>
                <w:rFonts w:ascii="Times New Roman" w:hAnsi="Times New Roman" w:eastAsia="华文楷体" w:cs="Times New Roman"/>
                <w:kern w:val="0"/>
                <w:szCs w:val="21"/>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华文楷体" w:cs="Times New Roman"/>
                <w:szCs w:val="21"/>
              </w:rPr>
            </w:pPr>
            <w:bookmarkStart w:id="9" w:name="_Hlk67039688"/>
            <w:r>
              <w:rPr>
                <w:rFonts w:ascii="Times New Roman" w:hAnsi="Times New Roman" w:eastAsia="华文楷体" w:cs="Times New Roman"/>
                <w:kern w:val="0"/>
                <w:szCs w:val="21"/>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eastAsia="华文楷体" w:cs="Times New Roman"/>
                <w:szCs w:val="21"/>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rPr>
                <w:rFonts w:ascii="Times New Roman" w:hAnsi="Times New Roman" w:eastAsia="华文楷体" w:cs="Times New Roman"/>
                <w:szCs w:val="21"/>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Times New Roman" w:hAnsi="Times New Roman" w:eastAsia="华文楷体" w:cs="Times New Roman"/>
                <w:szCs w:val="21"/>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Times New Roman" w:hAnsi="Times New Roman" w:eastAsia="华文楷体" w:cs="Times New Roman"/>
                <w:szCs w:val="21"/>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Times New Roman" w:hAnsi="Times New Roman" w:eastAsia="华文楷体" w:cs="Times New Roman"/>
                <w:szCs w:val="21"/>
              </w:rPr>
            </w:pPr>
          </w:p>
        </w:tc>
        <w:tc>
          <w:tcPr>
            <w:tcW w:w="550" w:type="dxa"/>
            <w:tcBorders>
              <w:top w:val="nil"/>
              <w:left w:val="nil"/>
              <w:bottom w:val="single" w:color="auto" w:sz="8" w:space="0"/>
              <w:right w:val="single" w:color="auto" w:sz="8" w:space="0"/>
            </w:tcBorders>
            <w:tcMar>
              <w:left w:w="108" w:type="dxa"/>
              <w:right w:w="108" w:type="dxa"/>
            </w:tcMar>
            <w:vAlign w:val="center"/>
          </w:tcPr>
          <w:p>
            <w:pPr>
              <w:widowControl/>
              <w:ind w:left="-105" w:leftChars="-50" w:right="-126" w:rightChars="-60"/>
              <w:jc w:val="center"/>
              <w:rPr>
                <w:rFonts w:ascii="Times New Roman" w:hAnsi="Times New Roman" w:eastAsia="华文楷体" w:cs="Times New Roman"/>
                <w:szCs w:val="21"/>
              </w:rPr>
            </w:pPr>
            <w:r>
              <w:rPr>
                <w:rFonts w:ascii="Times New Roman" w:hAnsi="Times New Roman" w:eastAsia="华文楷体" w:cs="Times New Roman"/>
                <w:kern w:val="0"/>
                <w:szCs w:val="21"/>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ind w:left="-86" w:leftChars="-41" w:right="-88" w:rightChars="-42"/>
              <w:jc w:val="center"/>
              <w:rPr>
                <w:rFonts w:ascii="Times New Roman" w:hAnsi="Times New Roman" w:eastAsia="华文楷体" w:cs="Times New Roman"/>
                <w:szCs w:val="21"/>
              </w:rPr>
            </w:pPr>
            <w:r>
              <w:rPr>
                <w:rFonts w:ascii="Times New Roman" w:hAnsi="Times New Roman" w:eastAsia="华文楷体" w:cs="Times New Roman"/>
                <w:kern w:val="0"/>
                <w:szCs w:val="21"/>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26" w:leftChars="-60" w:right="-136" w:rightChars="-65"/>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其他</w:t>
            </w:r>
          </w:p>
          <w:p>
            <w:pPr>
              <w:widowControl/>
              <w:ind w:left="-126" w:leftChars="-60" w:right="-136" w:rightChars="-65"/>
              <w:jc w:val="center"/>
              <w:rPr>
                <w:rFonts w:ascii="Times New Roman" w:hAnsi="Times New Roman" w:eastAsia="华文楷体" w:cs="Times New Roman"/>
                <w:szCs w:val="21"/>
              </w:rPr>
            </w:pPr>
            <w:r>
              <w:rPr>
                <w:rFonts w:ascii="Times New Roman" w:hAnsi="Times New Roman" w:eastAsia="华文楷体" w:cs="Times New Roman"/>
                <w:kern w:val="0"/>
                <w:szCs w:val="21"/>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64" w:leftChars="-78" w:right="-153" w:rightChars="-73"/>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尚未</w:t>
            </w:r>
          </w:p>
          <w:p>
            <w:pPr>
              <w:widowControl/>
              <w:ind w:left="-164" w:leftChars="-78" w:right="-153" w:rightChars="-73"/>
              <w:jc w:val="center"/>
              <w:rPr>
                <w:rFonts w:ascii="Times New Roman" w:hAnsi="Times New Roman" w:eastAsia="华文楷体" w:cs="Times New Roman"/>
                <w:szCs w:val="21"/>
              </w:rPr>
            </w:pPr>
            <w:r>
              <w:rPr>
                <w:rFonts w:ascii="Times New Roman" w:hAnsi="Times New Roman" w:eastAsia="华文楷体" w:cs="Times New Roman"/>
                <w:kern w:val="0"/>
                <w:szCs w:val="21"/>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华文楷体" w:cs="Times New Roman"/>
                <w:szCs w:val="21"/>
              </w:rPr>
            </w:pPr>
            <w:r>
              <w:rPr>
                <w:rFonts w:ascii="Times New Roman" w:hAnsi="Times New Roman" w:eastAsia="华文楷体" w:cs="Times New Roman"/>
                <w:kern w:val="0"/>
                <w:szCs w:val="21"/>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99" w:leftChars="-47" w:right="-78" w:rightChars="-37"/>
              <w:jc w:val="center"/>
              <w:rPr>
                <w:rFonts w:ascii="Times New Roman" w:hAnsi="Times New Roman" w:eastAsia="华文楷体" w:cs="Times New Roman"/>
                <w:szCs w:val="21"/>
              </w:rPr>
            </w:pPr>
            <w:r>
              <w:rPr>
                <w:rFonts w:ascii="Times New Roman" w:hAnsi="Times New Roman" w:eastAsia="华文楷体" w:cs="Times New Roman"/>
                <w:kern w:val="0"/>
                <w:szCs w:val="21"/>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36" w:leftChars="-65" w:right="-124" w:rightChars="-59"/>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结果</w:t>
            </w:r>
          </w:p>
          <w:p>
            <w:pPr>
              <w:widowControl/>
              <w:ind w:left="-136" w:leftChars="-65" w:right="-124" w:rightChars="-59"/>
              <w:jc w:val="center"/>
              <w:rPr>
                <w:rFonts w:ascii="Times New Roman" w:hAnsi="Times New Roman" w:eastAsia="华文楷体" w:cs="Times New Roman"/>
                <w:szCs w:val="21"/>
              </w:rPr>
            </w:pPr>
            <w:r>
              <w:rPr>
                <w:rFonts w:ascii="Times New Roman" w:hAnsi="Times New Roman" w:eastAsia="华文楷体" w:cs="Times New Roman"/>
                <w:kern w:val="0"/>
                <w:szCs w:val="21"/>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73" w:leftChars="-83" w:right="-134" w:rightChars="-64" w:hanging="1"/>
              <w:jc w:val="center"/>
              <w:rPr>
                <w:rFonts w:ascii="Times New Roman" w:hAnsi="Times New Roman" w:eastAsia="华文楷体" w:cs="Times New Roman"/>
                <w:kern w:val="0"/>
                <w:szCs w:val="21"/>
              </w:rPr>
            </w:pPr>
            <w:r>
              <w:rPr>
                <w:rFonts w:ascii="Times New Roman" w:hAnsi="Times New Roman" w:eastAsia="华文楷体" w:cs="Times New Roman"/>
                <w:kern w:val="0"/>
                <w:szCs w:val="21"/>
              </w:rPr>
              <w:t>其他</w:t>
            </w:r>
          </w:p>
          <w:p>
            <w:pPr>
              <w:widowControl/>
              <w:ind w:left="-173" w:leftChars="-83" w:right="-134" w:rightChars="-64" w:hanging="1"/>
              <w:jc w:val="center"/>
              <w:rPr>
                <w:rFonts w:ascii="Times New Roman" w:hAnsi="Times New Roman" w:eastAsia="华文楷体" w:cs="Times New Roman"/>
                <w:szCs w:val="21"/>
              </w:rPr>
            </w:pPr>
            <w:r>
              <w:rPr>
                <w:rFonts w:ascii="Times New Roman" w:hAnsi="Times New Roman" w:eastAsia="华文楷体" w:cs="Times New Roman"/>
                <w:kern w:val="0"/>
                <w:szCs w:val="21"/>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67" w:leftChars="-33" w:right="-105" w:rightChars="-50" w:hanging="2" w:hangingChars="1"/>
              <w:jc w:val="center"/>
              <w:rPr>
                <w:rFonts w:ascii="Times New Roman" w:hAnsi="Times New Roman" w:eastAsia="华文楷体" w:cs="Times New Roman"/>
                <w:szCs w:val="21"/>
              </w:rPr>
            </w:pPr>
            <w:r>
              <w:rPr>
                <w:rFonts w:ascii="Times New Roman" w:hAnsi="Times New Roman" w:eastAsia="华文楷体" w:cs="Times New Roman"/>
                <w:kern w:val="0"/>
                <w:szCs w:val="21"/>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华文楷体" w:cs="Times New Roman"/>
                <w:szCs w:val="21"/>
              </w:rPr>
            </w:pPr>
            <w:r>
              <w:rPr>
                <w:rFonts w:ascii="Times New Roman" w:hAnsi="Times New Roman" w:eastAsia="华文楷体" w:cs="Times New Roman"/>
                <w:kern w:val="0"/>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658"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55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rPr>
                <w:rFonts w:ascii="Times New Roman" w:hAnsi="Times New Roman" w:eastAsia="华文楷体" w:cs="Times New Roman"/>
                <w:szCs w:val="21"/>
              </w:rPr>
            </w:pPr>
            <w:r>
              <w:rPr>
                <w:rFonts w:ascii="Times New Roman" w:hAnsi="Times New Roman" w:eastAsia="华文楷体" w:cs="Times New Roman"/>
                <w:szCs w:val="21"/>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华文楷体" w:cs="Times New Roman"/>
                <w:szCs w:val="21"/>
              </w:rPr>
            </w:pPr>
            <w:r>
              <w:rPr>
                <w:rFonts w:ascii="Times New Roman" w:hAnsi="Times New Roman" w:eastAsia="华文楷体" w:cs="Times New Roman"/>
                <w:szCs w:val="21"/>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华文楷体" w:cs="Times New Roman"/>
                <w:szCs w:val="21"/>
              </w:rPr>
            </w:pPr>
            <w:r>
              <w:rPr>
                <w:rFonts w:ascii="Times New Roman" w:hAnsi="Times New Roman" w:eastAsia="华文楷体" w:cs="Times New Roman"/>
                <w:szCs w:val="21"/>
              </w:rPr>
              <w:t>0</w:t>
            </w:r>
          </w:p>
        </w:tc>
      </w:tr>
    </w:tbl>
    <w:p>
      <w:pPr>
        <w:rPr>
          <w:rFonts w:ascii="Times New Roman" w:hAnsi="Times New Roman" w:eastAsia="仿宋_GB2312" w:cs="Times New Roman"/>
          <w:bCs/>
          <w:kern w:val="0"/>
          <w:sz w:val="32"/>
          <w:szCs w:val="32"/>
          <w:shd w:val="clear" w:color="auto" w:fill="FFFFFF"/>
          <w:lang w:bidi="ar"/>
        </w:rPr>
      </w:pPr>
    </w:p>
    <w:p>
      <w:pPr>
        <w:pStyle w:val="2"/>
        <w:widowControl/>
        <w:numPr>
          <w:ilvl w:val="0"/>
          <w:numId w:val="3"/>
        </w:numPr>
        <w:shd w:val="clear" w:color="auto" w:fill="FFFFFF"/>
        <w:spacing w:before="0" w:beforeAutospacing="0" w:after="0" w:afterAutospacing="0"/>
        <w:jc w:val="both"/>
        <w:rPr>
          <w:rFonts w:ascii="Times New Roman" w:hAnsi="Times New Roman" w:eastAsia="黑体"/>
          <w:bCs/>
          <w:sz w:val="32"/>
          <w:szCs w:val="32"/>
          <w:shd w:val="clear" w:color="auto" w:fill="FFFFFF"/>
          <w:lang w:bidi="ar"/>
        </w:rPr>
      </w:pPr>
      <w:r>
        <w:rPr>
          <w:rFonts w:ascii="Times New Roman" w:hAnsi="Times New Roman" w:eastAsia="黑体"/>
          <w:bCs/>
          <w:sz w:val="32"/>
          <w:szCs w:val="32"/>
          <w:shd w:val="clear" w:color="auto" w:fill="FFFFFF"/>
          <w:lang w:bidi="ar"/>
        </w:rPr>
        <w:t>存在的主要问题及改进情况</w:t>
      </w:r>
    </w:p>
    <w:p>
      <w:pPr>
        <w:ind w:firstLine="640" w:firstLineChars="200"/>
        <w:rPr>
          <w:rFonts w:ascii="Times New Roman" w:hAnsi="Times New Roman" w:eastAsia="仿宋_GB2312" w:cs="Times New Roman"/>
          <w:sz w:val="32"/>
          <w:szCs w:val="32"/>
          <w:shd w:val="clear" w:color="auto" w:fill="FFFFFF"/>
        </w:rPr>
      </w:pPr>
      <w:bookmarkStart w:id="10" w:name="_Hlk155943642"/>
      <w:r>
        <w:rPr>
          <w:rFonts w:hint="eastAsia" w:ascii="Times New Roman" w:hAnsi="Times New Roman" w:eastAsia="仿宋_GB2312" w:cs="Times New Roman"/>
          <w:sz w:val="32"/>
          <w:szCs w:val="32"/>
          <w:shd w:val="clear" w:color="auto" w:fill="FFFFFF"/>
        </w:rPr>
        <w:t>2</w:t>
      </w:r>
      <w:r>
        <w:rPr>
          <w:rFonts w:ascii="Times New Roman" w:hAnsi="Times New Roman" w:eastAsia="仿宋_GB2312" w:cs="Times New Roman"/>
          <w:sz w:val="32"/>
          <w:szCs w:val="32"/>
          <w:shd w:val="clear" w:color="auto" w:fill="FFFFFF"/>
        </w:rPr>
        <w:t>023</w:t>
      </w:r>
      <w:r>
        <w:rPr>
          <w:rFonts w:hint="eastAsia" w:ascii="Times New Roman" w:hAnsi="Times New Roman" w:eastAsia="仿宋_GB2312" w:cs="Times New Roman"/>
          <w:sz w:val="32"/>
          <w:szCs w:val="32"/>
          <w:shd w:val="clear" w:color="auto" w:fill="FFFFFF"/>
        </w:rPr>
        <w:t>年</w:t>
      </w:r>
      <w:r>
        <w:rPr>
          <w:rFonts w:ascii="Times New Roman" w:hAnsi="Times New Roman" w:eastAsia="仿宋_GB2312" w:cs="Times New Roman"/>
          <w:sz w:val="32"/>
          <w:szCs w:val="32"/>
          <w:shd w:val="clear" w:color="auto" w:fill="FFFFFF"/>
        </w:rPr>
        <w:t>本机关政府信息公开工作主要存在以下问题：</w:t>
      </w:r>
      <w:bookmarkEnd w:id="10"/>
      <w:r>
        <w:rPr>
          <w:rFonts w:hint="eastAsia" w:ascii="Times New Roman" w:hAnsi="Times New Roman" w:eastAsia="仿宋_GB2312" w:cs="Times New Roman"/>
          <w:sz w:val="32"/>
          <w:szCs w:val="32"/>
          <w:shd w:val="clear" w:color="auto" w:fill="FFFFFF"/>
        </w:rPr>
        <w:t>一</w:t>
      </w:r>
      <w:r>
        <w:rPr>
          <w:rFonts w:hint="eastAsia" w:ascii="Times New Roman" w:hAnsi="Times New Roman" w:eastAsia="仿宋_GB2312" w:cs="Times New Roman"/>
          <w:sz w:val="32"/>
          <w:szCs w:val="32"/>
          <w:shd w:val="clear" w:color="auto" w:fill="FFFFFF"/>
          <w:lang w:eastAsia="zh-CN"/>
        </w:rPr>
        <w:t>是</w:t>
      </w:r>
      <w:r>
        <w:rPr>
          <w:rFonts w:ascii="Times New Roman" w:hAnsi="Times New Roman" w:eastAsia="仿宋_GB2312" w:cs="Times New Roman"/>
          <w:sz w:val="32"/>
          <w:szCs w:val="32"/>
          <w:shd w:val="clear" w:color="auto" w:fill="FFFFFF"/>
        </w:rPr>
        <w:t>队伍稳定性不够，工作人员业务素质整体水平有待提高。二</w:t>
      </w:r>
      <w:r>
        <w:rPr>
          <w:rFonts w:hint="eastAsia" w:ascii="Times New Roman" w:hAnsi="Times New Roman" w:eastAsia="仿宋_GB2312" w:cs="Times New Roman"/>
          <w:sz w:val="32"/>
          <w:szCs w:val="32"/>
          <w:shd w:val="clear" w:color="auto" w:fill="FFFFFF"/>
          <w:lang w:eastAsia="zh-CN"/>
        </w:rPr>
        <w:t>是</w:t>
      </w:r>
      <w:r>
        <w:rPr>
          <w:rFonts w:ascii="Times New Roman" w:hAnsi="Times New Roman" w:eastAsia="仿宋_GB2312" w:cs="Times New Roman"/>
          <w:sz w:val="32"/>
          <w:szCs w:val="32"/>
          <w:shd w:val="clear" w:color="auto" w:fill="FFFFFF"/>
        </w:rPr>
        <w:t>业务工作和政务公开工作同步推进力度不够</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日常公开工作落实不到位</w:t>
      </w:r>
      <w:r>
        <w:rPr>
          <w:rFonts w:hint="eastAsia" w:ascii="Times New Roman" w:hAnsi="Times New Roman" w:eastAsia="仿宋_GB2312" w:cs="Times New Roman"/>
          <w:sz w:val="32"/>
          <w:szCs w:val="32"/>
          <w:shd w:val="clear" w:color="auto" w:fill="FFFFFF"/>
        </w:rPr>
        <w:t>。针对以上问题，本机关采取如下</w:t>
      </w:r>
      <w:r>
        <w:rPr>
          <w:rFonts w:ascii="Times New Roman" w:hAnsi="Times New Roman" w:eastAsia="仿宋_GB2312" w:cs="Times New Roman"/>
          <w:sz w:val="32"/>
          <w:szCs w:val="32"/>
          <w:shd w:val="clear" w:color="auto" w:fill="FFFFFF"/>
        </w:rPr>
        <w:t>措施：</w:t>
      </w:r>
      <w:r>
        <w:rPr>
          <w:rFonts w:hint="eastAsia" w:ascii="Times New Roman" w:hAnsi="Times New Roman" w:eastAsia="仿宋_GB2312" w:cs="Times New Roman"/>
          <w:sz w:val="32"/>
          <w:szCs w:val="32"/>
          <w:shd w:val="clear" w:color="auto" w:fill="FFFFFF"/>
        </w:rPr>
        <w:t>一</w:t>
      </w:r>
      <w:r>
        <w:rPr>
          <w:rFonts w:hint="eastAsia" w:ascii="Times New Roman" w:hAnsi="Times New Roman" w:eastAsia="仿宋_GB2312" w:cs="Times New Roman"/>
          <w:sz w:val="32"/>
          <w:szCs w:val="32"/>
          <w:shd w:val="clear" w:color="auto" w:fill="FFFFFF"/>
          <w:lang w:eastAsia="zh-CN"/>
        </w:rPr>
        <w:t>是</w:t>
      </w:r>
      <w:r>
        <w:rPr>
          <w:rFonts w:ascii="Times New Roman" w:hAnsi="Times New Roman" w:eastAsia="仿宋_GB2312" w:cs="Times New Roman"/>
          <w:sz w:val="32"/>
          <w:szCs w:val="32"/>
          <w:shd w:val="clear" w:color="auto" w:fill="FFFFFF"/>
        </w:rPr>
        <w:t>着力推动公开常态化。</w:t>
      </w:r>
      <w:r>
        <w:rPr>
          <w:rFonts w:hint="eastAsia" w:ascii="Times New Roman" w:hAnsi="Times New Roman" w:eastAsia="仿宋_GB2312" w:cs="Times New Roman"/>
          <w:sz w:val="32"/>
          <w:szCs w:val="32"/>
          <w:shd w:val="clear" w:color="auto" w:fill="FFFFFF"/>
        </w:rPr>
        <w:t>二</w:t>
      </w:r>
      <w:r>
        <w:rPr>
          <w:rFonts w:hint="eastAsia" w:ascii="Times New Roman" w:hAnsi="Times New Roman" w:eastAsia="仿宋_GB2312" w:cs="Times New Roman"/>
          <w:sz w:val="32"/>
          <w:szCs w:val="32"/>
          <w:shd w:val="clear" w:color="auto" w:fill="FFFFFF"/>
          <w:lang w:eastAsia="zh-CN"/>
        </w:rPr>
        <w:t>是</w:t>
      </w:r>
      <w:bookmarkStart w:id="15" w:name="_GoBack"/>
      <w:bookmarkEnd w:id="15"/>
      <w:r>
        <w:rPr>
          <w:rFonts w:ascii="Times New Roman" w:hAnsi="Times New Roman" w:eastAsia="仿宋_GB2312" w:cs="Times New Roman"/>
          <w:sz w:val="32"/>
          <w:szCs w:val="32"/>
          <w:shd w:val="clear" w:color="auto" w:fill="FFFFFF"/>
        </w:rPr>
        <w:t>狠抓工作落实，制发政务公开常态化任务清单，将上级安排部署的工作任务结合淄川区财政工作实际进行细化具化，督促各科室做好日常公开工作。</w:t>
      </w:r>
    </w:p>
    <w:p>
      <w:pPr>
        <w:pStyle w:val="2"/>
        <w:widowControl/>
        <w:shd w:val="clear" w:color="auto" w:fill="FFFFFF"/>
        <w:spacing w:before="0" w:beforeAutospacing="0" w:after="0" w:afterAutospacing="0"/>
        <w:ind w:firstLine="420"/>
        <w:jc w:val="both"/>
        <w:rPr>
          <w:rFonts w:ascii="Times New Roman" w:hAnsi="Times New Roman" w:eastAsia="黑体"/>
          <w:bCs/>
          <w:sz w:val="32"/>
          <w:szCs w:val="32"/>
          <w:shd w:val="clear" w:color="auto" w:fill="FFFFFF"/>
          <w:lang w:bidi="ar"/>
        </w:rPr>
      </w:pPr>
      <w:r>
        <w:rPr>
          <w:rFonts w:ascii="Times New Roman" w:hAnsi="Times New Roman" w:eastAsia="黑体"/>
          <w:bCs/>
          <w:sz w:val="32"/>
          <w:szCs w:val="32"/>
          <w:shd w:val="clear" w:color="auto" w:fill="FFFFFF"/>
          <w:lang w:bidi="ar"/>
        </w:rPr>
        <w:t>六、其他需要报告的事项</w:t>
      </w:r>
    </w:p>
    <w:p>
      <w:pPr>
        <w:pStyle w:val="2"/>
        <w:widowControl/>
        <w:shd w:val="clear" w:color="auto" w:fill="FFFFFF"/>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1、</w:t>
      </w:r>
      <w:bookmarkStart w:id="11" w:name="_Hlk155943478"/>
      <w:r>
        <w:rPr>
          <w:rFonts w:ascii="Times New Roman" w:hAnsi="Times New Roman" w:eastAsia="仿宋_GB2312"/>
          <w:kern w:val="2"/>
          <w:sz w:val="32"/>
          <w:szCs w:val="32"/>
        </w:rPr>
        <w:t>收取信息处理费情况</w:t>
      </w:r>
      <w:bookmarkEnd w:id="11"/>
      <w:r>
        <w:rPr>
          <w:rFonts w:ascii="Times New Roman" w:hAnsi="Times New Roman" w:eastAsia="仿宋_GB2312"/>
          <w:kern w:val="2"/>
          <w:sz w:val="32"/>
          <w:szCs w:val="32"/>
        </w:rPr>
        <w:t>。按照《国务院办公厅关于印发&lt;政府信息公开信息处理费管理办法&gt;的通知》（国办函〔2020〕109号）。和《山东省人民政府办公厅关于做好政府信息公开信息处理费管理工作有关事项的通知》（鲁政办字〔2020〕179号）收取信息处理费。2023年本机关依申请公开政府信息未收取任何费用</w:t>
      </w:r>
    </w:p>
    <w:p>
      <w:pPr>
        <w:pStyle w:val="2"/>
        <w:widowControl/>
        <w:spacing w:before="0" w:beforeAutospacing="0" w:after="0" w:afterAutospacing="0" w:line="21" w:lineRule="atLeast"/>
        <w:ind w:firstLine="420"/>
        <w:jc w:val="both"/>
        <w:rPr>
          <w:rFonts w:ascii="Times New Roman" w:hAnsi="Times New Roman" w:eastAsia="仿宋_GB2312"/>
          <w:color w:val="000000"/>
          <w:sz w:val="32"/>
          <w:szCs w:val="32"/>
        </w:rPr>
      </w:pPr>
      <w:r>
        <w:rPr>
          <w:rFonts w:ascii="Times New Roman" w:hAnsi="Times New Roman" w:eastAsia="仿宋_GB2312"/>
          <w:kern w:val="2"/>
          <w:sz w:val="32"/>
          <w:szCs w:val="32"/>
        </w:rPr>
        <w:t>2、</w:t>
      </w:r>
      <w:bookmarkStart w:id="12" w:name="_Hlk155943489"/>
      <w:r>
        <w:rPr>
          <w:rFonts w:ascii="Times New Roman" w:hAnsi="Times New Roman" w:eastAsia="仿宋_GB2312"/>
          <w:kern w:val="2"/>
          <w:sz w:val="32"/>
          <w:szCs w:val="32"/>
        </w:rPr>
        <w:t>落实上级年度</w:t>
      </w:r>
      <w:bookmarkStart w:id="13" w:name="_Hlk155943759"/>
      <w:r>
        <w:rPr>
          <w:rFonts w:ascii="Times New Roman" w:hAnsi="Times New Roman" w:eastAsia="仿宋_GB2312"/>
          <w:kern w:val="2"/>
          <w:sz w:val="32"/>
          <w:szCs w:val="32"/>
        </w:rPr>
        <w:t>政务公开工作要点</w:t>
      </w:r>
      <w:bookmarkEnd w:id="13"/>
      <w:r>
        <w:rPr>
          <w:rFonts w:ascii="Times New Roman" w:hAnsi="Times New Roman" w:eastAsia="仿宋_GB2312"/>
          <w:kern w:val="2"/>
          <w:sz w:val="32"/>
          <w:szCs w:val="32"/>
        </w:rPr>
        <w:t>情况</w:t>
      </w:r>
      <w:bookmarkEnd w:id="12"/>
      <w:r>
        <w:rPr>
          <w:rFonts w:ascii="Times New Roman" w:hAnsi="Times New Roman" w:eastAsia="仿宋_GB2312"/>
          <w:kern w:val="2"/>
          <w:sz w:val="32"/>
          <w:szCs w:val="32"/>
        </w:rPr>
        <w:t>。2023年淄川区财政局严格按照区政府办公室要求，做好政务公开工作。积极参加各次培训及工作部署会议，按时按要求做好各公开栏目更新。</w:t>
      </w:r>
      <w:r>
        <w:rPr>
          <w:rFonts w:ascii="Times New Roman" w:hAnsi="Times New Roman" w:eastAsia="仿宋_GB2312"/>
          <w:color w:val="000000"/>
          <w:sz w:val="32"/>
          <w:szCs w:val="32"/>
          <w:shd w:val="clear" w:color="auto" w:fill="FFFFFF"/>
        </w:rPr>
        <w:t>根据政务公开年度工作目标和工作要求，根据任务清单做好政府信息公开平台各个栏目的内容保障工作。</w:t>
      </w:r>
    </w:p>
    <w:p>
      <w:pPr>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rPr>
        <w:t>3、</w:t>
      </w:r>
      <w:bookmarkStart w:id="14" w:name="_Hlk155943500"/>
      <w:r>
        <w:rPr>
          <w:rFonts w:ascii="Times New Roman" w:hAnsi="Times New Roman" w:eastAsia="仿宋_GB2312" w:cs="Times New Roman"/>
          <w:sz w:val="32"/>
          <w:szCs w:val="32"/>
        </w:rPr>
        <w:t>人大代表和政协提案办理结果公开情况</w:t>
      </w:r>
      <w:bookmarkEnd w:id="14"/>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2023年，区财政局承办14件人大代表建议、6件政协提案，通过与相关部门单位进行沟通</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走访现场</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同代表</w:t>
      </w:r>
      <w:r>
        <w:rPr>
          <w:rFonts w:hint="eastAsia" w:ascii="Times New Roman" w:hAnsi="Times New Roman" w:eastAsia="仿宋_GB2312" w:cs="Times New Roman"/>
          <w:sz w:val="32"/>
          <w:szCs w:val="32"/>
          <w:shd w:val="clear" w:color="auto" w:fill="FFFFFF"/>
        </w:rPr>
        <w:t>、委员</w:t>
      </w:r>
      <w:r>
        <w:rPr>
          <w:rFonts w:ascii="Times New Roman" w:hAnsi="Times New Roman" w:eastAsia="仿宋_GB2312" w:cs="Times New Roman"/>
          <w:sz w:val="32"/>
          <w:szCs w:val="32"/>
          <w:shd w:val="clear" w:color="auto" w:fill="FFFFFF"/>
        </w:rPr>
        <w:t>联系了解情况等方式，最终提出建议</w:t>
      </w:r>
      <w:r>
        <w:rPr>
          <w:rFonts w:hint="eastAsia" w:ascii="Times New Roman" w:hAnsi="Times New Roman" w:eastAsia="仿宋_GB2312" w:cs="Times New Roman"/>
          <w:sz w:val="32"/>
          <w:szCs w:val="32"/>
          <w:shd w:val="clear" w:color="auto" w:fill="FFFFFF"/>
        </w:rPr>
        <w:t>提案</w:t>
      </w:r>
      <w:r>
        <w:rPr>
          <w:rFonts w:ascii="Times New Roman" w:hAnsi="Times New Roman" w:eastAsia="仿宋_GB2312" w:cs="Times New Roman"/>
          <w:sz w:val="32"/>
          <w:szCs w:val="32"/>
          <w:shd w:val="clear" w:color="auto" w:fill="FFFFFF"/>
        </w:rPr>
        <w:t>解决办法，形成正式答复文件。并逐一面对面答复代表</w:t>
      </w:r>
      <w:r>
        <w:rPr>
          <w:rFonts w:hint="eastAsia" w:ascii="Times New Roman" w:hAnsi="Times New Roman" w:eastAsia="仿宋_GB2312" w:cs="Times New Roman"/>
          <w:sz w:val="32"/>
          <w:szCs w:val="32"/>
          <w:shd w:val="clear" w:color="auto" w:fill="FFFFFF"/>
        </w:rPr>
        <w:t>、委员</w:t>
      </w:r>
      <w:r>
        <w:rPr>
          <w:rFonts w:ascii="Times New Roman" w:hAnsi="Times New Roman" w:eastAsia="仿宋_GB2312" w:cs="Times New Roman"/>
          <w:sz w:val="32"/>
          <w:szCs w:val="32"/>
          <w:shd w:val="clear" w:color="auto" w:fill="FFFFFF"/>
        </w:rPr>
        <w:t>，做到满意率100%。</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4、政务公开工作创新情况。无。</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5、政府信息公开工作年度报告数据统计需要说明的事项。无。</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6、本行政机关认为需要报告的其他事项。无</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7、其他有关文件专门要求通过政府信息公开工作年度报告予以报告的事项。无</w:t>
      </w:r>
    </w:p>
    <w:p>
      <w:pPr>
        <w:rPr>
          <w:rFonts w:ascii="Times New Roman" w:hAnsi="Times New Roman" w:eastAsia="仿宋_GB2312" w:cs="Times New Roman"/>
          <w:bCs/>
          <w:kern w:val="0"/>
          <w:sz w:val="32"/>
          <w:szCs w:val="32"/>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973453"/>
    <w:multiLevelType w:val="singleLevel"/>
    <w:tmpl w:val="E6973453"/>
    <w:lvl w:ilvl="0" w:tentative="0">
      <w:start w:val="3"/>
      <w:numFmt w:val="chineseCounting"/>
      <w:suff w:val="nothing"/>
      <w:lvlText w:val="%1、"/>
      <w:lvlJc w:val="left"/>
      <w:rPr>
        <w:rFonts w:hint="eastAsia"/>
      </w:rPr>
    </w:lvl>
  </w:abstractNum>
  <w:abstractNum w:abstractNumId="1">
    <w:nsid w:val="3BC0758C"/>
    <w:multiLevelType w:val="multilevel"/>
    <w:tmpl w:val="3BC0758C"/>
    <w:lvl w:ilvl="0" w:tentative="0">
      <w:start w:val="5"/>
      <w:numFmt w:val="japaneseCounting"/>
      <w:lvlText w:val="%1、"/>
      <w:lvlJc w:val="left"/>
      <w:pPr>
        <w:ind w:left="1140" w:hanging="720"/>
      </w:pPr>
      <w:rPr>
        <w:rFonts w:hint="default" w:eastAsia="仿宋_GB2312"/>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3FC49C53"/>
    <w:multiLevelType w:val="singleLevel"/>
    <w:tmpl w:val="3FC49C53"/>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832"/>
    <w:rsid w:val="00242B6B"/>
    <w:rsid w:val="009D22DD"/>
    <w:rsid w:val="00B53029"/>
    <w:rsid w:val="00BD594E"/>
    <w:rsid w:val="00D55596"/>
    <w:rsid w:val="00E81832"/>
    <w:rsid w:val="00F9238B"/>
    <w:rsid w:val="2BFE2DDB"/>
    <w:rsid w:val="3B97625D"/>
    <w:rsid w:val="435E55B3"/>
    <w:rsid w:val="5BDA5F0B"/>
    <w:rsid w:val="61214B72"/>
    <w:rsid w:val="63391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cs="Times New Roman"/>
      <w:kern w:val="0"/>
      <w:sz w:val="24"/>
    </w:rPr>
  </w:style>
  <w:style w:type="character" w:styleId="5">
    <w:name w:val="Strong"/>
    <w:basedOn w:val="4"/>
    <w:qFormat/>
    <w:uiPriority w:val="0"/>
    <w:rPr>
      <w:b/>
    </w:rPr>
  </w:style>
  <w:style w:type="character" w:styleId="6">
    <w:name w:val="Hyperlink"/>
    <w:basedOn w:val="4"/>
    <w:uiPriority w:val="0"/>
    <w:rPr>
      <w:color w:val="0000FF"/>
      <w:u w:val="single"/>
    </w:rPr>
  </w:style>
  <w:style w:type="paragraph" w:styleId="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417</Words>
  <Characters>2377</Characters>
  <Lines>19</Lines>
  <Paragraphs>5</Paragraphs>
  <TotalTime>38</TotalTime>
  <ScaleCrop>false</ScaleCrop>
  <LinksUpToDate>false</LinksUpToDate>
  <CharactersWithSpaces>2789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2024-01-09T02:31:00Z</dcterms:created>
  <dc:creator>Administrator</dc:creator>
  <cp:lastModifiedBy>银杏果</cp:lastModifiedBy>
  <cp:lastPrinted>2024-01-09T06:55:00Z</cp:lastPrinted>
  <dcterms:modified xsi:type="dcterms:W3CDTF">2024-01-26T06:49:50Z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8ACD158F7275450EB8D3A66DF706EB1F</vt:lpwstr>
  </property>
</Properties>
</file>