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ascii="仿宋_GB2312" w:hAnsi="宋体" w:eastAsia="仿宋_GB2312" w:cs="仿宋_GB2312"/>
          <w:sz w:val="32"/>
          <w:szCs w:val="32"/>
          <w:bdr w:val="none" w:color="auto" w:sz="0" w:space="0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  <w:bdr w:val="none" w:color="auto" w:sz="0" w:space="0"/>
        </w:rPr>
        <w:t>2年第三季度，淄川区政府采购预算为7754.4万元，采购规模达7622.63万元，较上年增加了了1428.55万元，增长23.06%，节约资金131.77万元，实现节约率1.7%。</w:t>
      </w: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3556412E"/>
    <w:rsid w:val="55941091"/>
    <w:rsid w:val="5DF81DC0"/>
    <w:rsid w:val="641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108</Characters>
  <Lines>0</Lines>
  <Paragraphs>0</Paragraphs>
  <TotalTime>7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User</cp:lastModifiedBy>
  <dcterms:modified xsi:type="dcterms:W3CDTF">2023-04-03T07:08:22Z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A39D27AD1B124D39BFD613F3FEF3F9FF</vt:lpwstr>
  </property>
</Properties>
</file>