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AFDB"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政府集中采购实施情况</w:t>
      </w:r>
    </w:p>
    <w:p w14:paraId="046F997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487BA27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季度，淄川区政府采购预算为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15468.4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万元，采购规模达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15342.1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万元，较上年增长了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-4230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万元，增长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-21.9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%，节约资金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126.32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万元，实现节约率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%。</w:t>
      </w:r>
    </w:p>
    <w:p w14:paraId="511A7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7EA3"/>
    <w:rsid w:val="3FDE2736"/>
    <w:rsid w:val="79B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103</Characters>
  <Lines>0</Lines>
  <Paragraphs>0</Paragraphs>
  <TotalTime>46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2024-12-26T02:57:00Z</dcterms:created>
  <dc:creator>Administrator</dc:creator>
  <cp:lastModifiedBy>祈祷</cp:lastModifiedBy>
  <dcterms:modified xsi:type="dcterms:W3CDTF">2025-01-06T03:17:30Z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eyJoZGlkIjoiMjI1YmZhMTM3MmU3NTZjZjJkMDc0Y2Y2YWI5ZmY0NWQiLCJ1c2VySWQiOiIyNjc3ODgzNTcifQ==</vt:lpwstr>
  </property>
  <property fmtid="{D5CDD505-2E9C-101B-9397-08002B2CF9AE}" pid="4" name="ICV">
    <vt:lpwstr>471E907E415E4C2198209A482E5A45CF_13</vt:lpwstr>
  </property>
</Properties>
</file>