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7274A">
      <w:pPr>
        <w:jc w:val="center"/>
        <w:rPr>
          <w:rFonts w:hint="eastAsia" w:ascii="方正小标宋简体" w:hAnsi="方正小标宋简体" w:eastAsia="方正小标宋简体" w:cs="方正小标宋简体"/>
          <w:sz w:val="40"/>
          <w:szCs w:val="28"/>
          <w:lang w:val="en-US" w:eastAsia="zh-CN"/>
        </w:rPr>
      </w:pPr>
    </w:p>
    <w:p w14:paraId="1944F97C">
      <w:pPr>
        <w:jc w:val="center"/>
        <w:rPr>
          <w:rFonts w:hint="eastAsia" w:ascii="方正小标宋简体" w:hAnsi="方正小标宋简体" w:eastAsia="方正小标宋简体" w:cs="方正小标宋简体"/>
          <w:sz w:val="40"/>
          <w:szCs w:val="28"/>
          <w:lang w:val="en-US" w:eastAsia="zh-CN"/>
        </w:rPr>
      </w:pPr>
    </w:p>
    <w:p w14:paraId="0AAF252D">
      <w:pPr>
        <w:jc w:val="center"/>
        <w:rPr>
          <w:rFonts w:hint="eastAsia" w:ascii="方正小标宋简体" w:hAnsi="方正小标宋简体" w:eastAsia="方正小标宋简体" w:cs="方正小标宋简体"/>
          <w:sz w:val="40"/>
          <w:szCs w:val="28"/>
          <w:lang w:val="en-US" w:eastAsia="zh-CN"/>
        </w:rPr>
      </w:pPr>
    </w:p>
    <w:p w14:paraId="257E1737">
      <w:pPr>
        <w:jc w:val="center"/>
        <w:rPr>
          <w:rFonts w:hint="eastAsia" w:ascii="方正小标宋简体" w:hAnsi="方正小标宋简体" w:eastAsia="方正小标宋简体" w:cs="方正小标宋简体"/>
          <w:sz w:val="40"/>
          <w:szCs w:val="28"/>
          <w:lang w:val="en-US" w:eastAsia="zh-CN"/>
        </w:rPr>
      </w:pPr>
    </w:p>
    <w:p w14:paraId="76D38B3F">
      <w:pPr>
        <w:jc w:val="center"/>
        <w:rPr>
          <w:rFonts w:hint="eastAsia" w:ascii="方正小标宋简体" w:hAnsi="方正小标宋简体" w:eastAsia="方正小标宋简体" w:cs="方正小标宋简体"/>
          <w:sz w:val="40"/>
          <w:szCs w:val="28"/>
          <w:lang w:val="en-US" w:eastAsia="zh-CN"/>
        </w:rPr>
      </w:pPr>
    </w:p>
    <w:p w14:paraId="7C405589">
      <w:pPr>
        <w:ind w:left="0" w:leftChars="0" w:firstLine="0" w:firstLineChars="0"/>
        <w:jc w:val="center"/>
        <w:rPr>
          <w:rFonts w:hint="eastAsia" w:ascii="方正小标宋简体" w:hAnsi="方正小标宋简体" w:eastAsia="方正小标宋简体" w:cs="方正小标宋简体"/>
          <w:sz w:val="40"/>
          <w:szCs w:val="28"/>
        </w:rPr>
      </w:pPr>
      <w:bookmarkStart w:id="0" w:name="_GoBack"/>
      <w:r>
        <w:rPr>
          <w:rFonts w:hint="eastAsia" w:ascii="方正小标宋简体" w:hAnsi="方正小标宋简体" w:eastAsia="方正小标宋简体" w:cs="方正小标宋简体"/>
          <w:sz w:val="40"/>
          <w:szCs w:val="28"/>
        </w:rPr>
        <w:t>淄</w:t>
      </w:r>
      <w:r>
        <w:rPr>
          <w:rFonts w:hint="eastAsia" w:ascii="方正小标宋简体" w:hAnsi="方正小标宋简体" w:eastAsia="方正小标宋简体" w:cs="方正小标宋简体"/>
          <w:sz w:val="40"/>
          <w:szCs w:val="28"/>
          <w:lang w:val="en-US" w:eastAsia="zh-CN"/>
        </w:rPr>
        <w:t>川区</w:t>
      </w:r>
      <w:r>
        <w:rPr>
          <w:rFonts w:hint="eastAsia" w:ascii="方正小标宋简体" w:hAnsi="方正小标宋简体" w:eastAsia="方正小标宋简体" w:cs="方正小标宋简体"/>
          <w:sz w:val="40"/>
          <w:szCs w:val="28"/>
          <w:lang w:eastAsia="zh-CN"/>
        </w:rPr>
        <w:t>区级</w:t>
      </w:r>
      <w:r>
        <w:rPr>
          <w:rFonts w:hint="eastAsia" w:ascii="方正小标宋简体" w:hAnsi="方正小标宋简体" w:eastAsia="方正小标宋简体" w:cs="方正小标宋简体"/>
          <w:sz w:val="40"/>
          <w:szCs w:val="28"/>
        </w:rPr>
        <w:t>国有资本经营预算</w:t>
      </w:r>
    </w:p>
    <w:p w14:paraId="09F8EDB2">
      <w:pPr>
        <w:ind w:left="0" w:leftChars="0" w:firstLine="0" w:firstLineChars="0"/>
        <w:jc w:val="center"/>
        <w:rPr>
          <w:rFonts w:hint="eastAsia" w:ascii="方正小标宋简体" w:hAnsi="方正小标宋简体" w:eastAsia="方正小标宋简体" w:cs="方正小标宋简体"/>
          <w:sz w:val="40"/>
          <w:szCs w:val="28"/>
          <w:lang w:eastAsia="zh-CN"/>
        </w:rPr>
      </w:pPr>
      <w:r>
        <w:rPr>
          <w:rFonts w:hint="eastAsia" w:ascii="方正小标宋简体" w:hAnsi="方正小标宋简体" w:eastAsia="方正小标宋简体" w:cs="方正小标宋简体"/>
          <w:sz w:val="40"/>
          <w:szCs w:val="28"/>
        </w:rPr>
        <w:t>管理办法</w:t>
      </w:r>
      <w:r>
        <w:rPr>
          <w:rFonts w:hint="eastAsia" w:ascii="方正小标宋简体" w:hAnsi="方正小标宋简体" w:eastAsia="方正小标宋简体" w:cs="方正小标宋简体"/>
          <w:sz w:val="40"/>
          <w:szCs w:val="28"/>
          <w:lang w:eastAsia="zh-CN"/>
        </w:rPr>
        <w:t>（</w:t>
      </w:r>
      <w:r>
        <w:rPr>
          <w:rFonts w:hint="eastAsia" w:ascii="方正小标宋简体" w:hAnsi="方正小标宋简体" w:eastAsia="方正小标宋简体" w:cs="方正小标宋简体"/>
          <w:sz w:val="40"/>
          <w:szCs w:val="28"/>
          <w:lang w:val="en-US" w:eastAsia="zh-CN"/>
        </w:rPr>
        <w:t>征求意见稿</w:t>
      </w:r>
      <w:r>
        <w:rPr>
          <w:rFonts w:hint="eastAsia" w:ascii="方正小标宋简体" w:hAnsi="方正小标宋简体" w:eastAsia="方正小标宋简体" w:cs="方正小标宋简体"/>
          <w:sz w:val="40"/>
          <w:szCs w:val="28"/>
          <w:lang w:eastAsia="zh-CN"/>
        </w:rPr>
        <w:t>）</w:t>
      </w:r>
    </w:p>
    <w:bookmarkEnd w:id="0"/>
    <w:p w14:paraId="3D975AC8">
      <w:pPr>
        <w:pStyle w:val="2"/>
        <w:rPr>
          <w:rFonts w:hint="eastAsia"/>
        </w:rPr>
      </w:pPr>
    </w:p>
    <w:p w14:paraId="246AA412">
      <w:pPr>
        <w:ind w:left="0" w:leftChars="0" w:firstLine="0" w:firstLineChars="0"/>
        <w:rPr>
          <w:rFonts w:hint="eastAsia"/>
        </w:rPr>
      </w:pPr>
      <w:r>
        <w:rPr>
          <w:rFonts w:hint="eastAsia"/>
          <w:lang w:val="en-US" w:eastAsia="zh-CN"/>
        </w:rPr>
        <w:t>各镇人民政府，各街道办事处，开发区管委会，区政府有关部门，有关单位，有关企业</w:t>
      </w:r>
      <w:r>
        <w:rPr>
          <w:rFonts w:hint="eastAsia"/>
        </w:rPr>
        <w:t>：</w:t>
      </w:r>
    </w:p>
    <w:p w14:paraId="68C9D347">
      <w:pPr>
        <w:rPr>
          <w:rFonts w:hint="eastAsia"/>
        </w:rPr>
      </w:pPr>
      <w:r>
        <w:rPr>
          <w:rFonts w:hint="eastAsia"/>
        </w:rPr>
        <w:t>《</w:t>
      </w:r>
      <w:r>
        <w:rPr>
          <w:rFonts w:hint="eastAsia"/>
          <w:lang w:val="en-US" w:eastAsia="zh-CN"/>
        </w:rPr>
        <w:t>淄川区区</w:t>
      </w:r>
      <w:r>
        <w:rPr>
          <w:rFonts w:hint="eastAsia"/>
        </w:rPr>
        <w:t>级国有资本经营预算管理办法》已经</w:t>
      </w:r>
      <w:r>
        <w:rPr>
          <w:rFonts w:hint="eastAsia"/>
          <w:lang w:val="en-US" w:eastAsia="zh-CN"/>
        </w:rPr>
        <w:t>区</w:t>
      </w:r>
      <w:r>
        <w:rPr>
          <w:rFonts w:hint="eastAsia"/>
        </w:rPr>
        <w:t>政府同意，现印发给你们，请认真贯彻执行。</w:t>
      </w:r>
    </w:p>
    <w:p w14:paraId="495096B5">
      <w:pPr>
        <w:pStyle w:val="2"/>
        <w:rPr>
          <w:rFonts w:hint="eastAsia"/>
        </w:rPr>
      </w:pPr>
    </w:p>
    <w:p w14:paraId="7552A3A0">
      <w:pPr>
        <w:rPr>
          <w:rFonts w:hint="eastAsia"/>
        </w:rPr>
      </w:pPr>
    </w:p>
    <w:p w14:paraId="2F0803EA">
      <w:pPr>
        <w:pStyle w:val="2"/>
        <w:rPr>
          <w:rFonts w:hint="eastAsia" w:ascii="Times New Roman" w:hAnsi="Times New Roman"/>
        </w:rPr>
      </w:pPr>
    </w:p>
    <w:p w14:paraId="6084D2EF">
      <w:pPr>
        <w:ind w:firstLine="4480" w:firstLineChars="1400"/>
        <w:rPr>
          <w:rFonts w:hint="eastAsia" w:ascii="Times New Roman" w:hAnsi="Times New Roman"/>
        </w:rPr>
      </w:pPr>
      <w:r>
        <w:rPr>
          <w:rFonts w:hint="eastAsia" w:ascii="Times New Roman" w:hAnsi="Times New Roman"/>
        </w:rPr>
        <w:t>淄博</w:t>
      </w:r>
      <w:r>
        <w:rPr>
          <w:rFonts w:hint="eastAsia" w:ascii="Times New Roman" w:hAnsi="Times New Roman"/>
          <w:lang w:val="en-US" w:eastAsia="zh-CN"/>
        </w:rPr>
        <w:t>区</w:t>
      </w:r>
      <w:r>
        <w:rPr>
          <w:rFonts w:hint="eastAsia" w:ascii="Times New Roman" w:hAnsi="Times New Roman"/>
        </w:rPr>
        <w:t>人民政府办公室</w:t>
      </w:r>
    </w:p>
    <w:p w14:paraId="61DDBEA2">
      <w:pPr>
        <w:ind w:firstLine="5120" w:firstLineChars="1600"/>
        <w:rPr>
          <w:rFonts w:hint="eastAsia" w:ascii="Times New Roman" w:hAnsi="Times New Roman"/>
          <w:highlight w:val="none"/>
        </w:rPr>
      </w:pPr>
      <w:r>
        <w:rPr>
          <w:rFonts w:hint="eastAsia" w:ascii="Times New Roman" w:hAnsi="Times New Roman"/>
          <w:highlight w:val="none"/>
        </w:rPr>
        <w:t>2024年</w:t>
      </w:r>
      <w:r>
        <w:rPr>
          <w:rFonts w:hint="eastAsia" w:ascii="Times New Roman" w:hAnsi="Times New Roman"/>
          <w:highlight w:val="none"/>
          <w:lang w:val="en-US" w:eastAsia="zh-CN"/>
        </w:rPr>
        <w:t xml:space="preserve"> </w:t>
      </w:r>
      <w:r>
        <w:rPr>
          <w:rFonts w:hint="eastAsia" w:ascii="Times New Roman" w:hAnsi="Times New Roman"/>
          <w:highlight w:val="none"/>
        </w:rPr>
        <w:t>月</w:t>
      </w:r>
      <w:r>
        <w:rPr>
          <w:rFonts w:hint="eastAsia" w:ascii="Times New Roman" w:hAnsi="Times New Roman"/>
          <w:highlight w:val="none"/>
          <w:lang w:val="en-US" w:eastAsia="zh-CN"/>
        </w:rPr>
        <w:t xml:space="preserve"> </w:t>
      </w:r>
      <w:r>
        <w:rPr>
          <w:rFonts w:hint="eastAsia" w:ascii="Times New Roman" w:hAnsi="Times New Roman"/>
          <w:highlight w:val="none"/>
        </w:rPr>
        <w:t>日</w:t>
      </w:r>
    </w:p>
    <w:p w14:paraId="66F770F2">
      <w:pPr>
        <w:rPr>
          <w:rFonts w:hint="eastAsia" w:ascii="Times New Roman" w:hAnsi="Times New Roman"/>
        </w:rPr>
      </w:pPr>
      <w:r>
        <w:rPr>
          <w:rFonts w:hint="eastAsia" w:ascii="Times New Roman" w:hAnsi="Times New Roman"/>
        </w:rPr>
        <w:t>（此件公开发布）</w:t>
      </w:r>
    </w:p>
    <w:p w14:paraId="6E60353F">
      <w:pPr>
        <w:rPr>
          <w:rFonts w:hint="eastAsia" w:ascii="Times New Roman" w:hAnsi="Times New Roman"/>
        </w:rPr>
      </w:pPr>
    </w:p>
    <w:p w14:paraId="7594EDD2">
      <w:pPr>
        <w:rPr>
          <w:rFonts w:hint="eastAsia" w:ascii="Times New Roman" w:hAnsi="Times New Roman"/>
        </w:rPr>
      </w:pPr>
    </w:p>
    <w:p w14:paraId="31C80AA0">
      <w:pPr>
        <w:rPr>
          <w:rFonts w:hint="eastAsia" w:ascii="Times New Roman" w:hAnsi="Times New Roman"/>
        </w:rPr>
      </w:pPr>
    </w:p>
    <w:p w14:paraId="41E5BCCF">
      <w:pPr>
        <w:ind w:left="0" w:leftChars="0" w:firstLine="0" w:firstLineChars="0"/>
        <w:jc w:val="center"/>
        <w:rPr>
          <w:rFonts w:hint="eastAsia" w:ascii="Times New Roman" w:hAnsi="Times New Roman" w:eastAsia="方正小标宋简体" w:cs="方正小标宋简体"/>
          <w:sz w:val="44"/>
          <w:szCs w:val="44"/>
          <w:lang w:val="en-US" w:eastAsia="zh-CN"/>
        </w:rPr>
      </w:pPr>
    </w:p>
    <w:p w14:paraId="448F177D">
      <w:pPr>
        <w:ind w:left="0" w:leftChars="0" w:firstLine="0" w:firstLineChars="0"/>
        <w:jc w:val="center"/>
        <w:rPr>
          <w:rFonts w:hint="eastAsia" w:ascii="Times New Roman" w:hAnsi="Times New Roman" w:eastAsia="方正小标宋简体" w:cs="方正小标宋简体"/>
          <w:sz w:val="44"/>
          <w:szCs w:val="44"/>
          <w:lang w:val="en-US" w:eastAsia="zh-CN"/>
        </w:rPr>
      </w:pPr>
    </w:p>
    <w:p w14:paraId="6BDD4B23">
      <w:pPr>
        <w:ind w:left="0" w:leftChars="0" w:firstLine="0" w:firstLineChars="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淄川区区</w:t>
      </w:r>
      <w:r>
        <w:rPr>
          <w:rFonts w:hint="eastAsia" w:ascii="Times New Roman" w:hAnsi="Times New Roman" w:eastAsia="方正小标宋简体" w:cs="方正小标宋简体"/>
          <w:sz w:val="44"/>
          <w:szCs w:val="44"/>
        </w:rPr>
        <w:t>级国有资本经营预算管理办法</w:t>
      </w:r>
    </w:p>
    <w:p w14:paraId="7CE233C9">
      <w:pPr>
        <w:pStyle w:val="2"/>
        <w:rPr>
          <w:rFonts w:hint="eastAsia" w:ascii="Times New Roman" w:hAnsi="Times New Roman"/>
        </w:rPr>
      </w:pPr>
    </w:p>
    <w:p w14:paraId="53D93916">
      <w:pPr>
        <w:pStyle w:val="3"/>
        <w:numPr>
          <w:ilvl w:val="0"/>
          <w:numId w:val="0"/>
        </w:numPr>
        <w:bidi w:val="0"/>
        <w:jc w:val="center"/>
        <w:rPr>
          <w:rFonts w:hint="eastAsia" w:ascii="Times New Roman" w:hAnsi="Times New Roman"/>
        </w:rPr>
      </w:pPr>
      <w:r>
        <w:rPr>
          <w:rFonts w:hint="eastAsia"/>
          <w:lang w:val="en-US" w:eastAsia="zh-CN"/>
        </w:rPr>
        <w:t xml:space="preserve">第一章 </w:t>
      </w:r>
      <w:r>
        <w:rPr>
          <w:rFonts w:hint="eastAsia" w:ascii="Times New Roman" w:hAnsi="Times New Roman"/>
        </w:rPr>
        <w:t>总 则</w:t>
      </w:r>
    </w:p>
    <w:p w14:paraId="19DA61C5">
      <w:pPr>
        <w:numPr>
          <w:ilvl w:val="0"/>
          <w:numId w:val="0"/>
        </w:numPr>
        <w:rPr>
          <w:rFonts w:hint="eastAsia" w:ascii="Times New Roman" w:hAnsi="Times New Roman"/>
        </w:rPr>
      </w:pPr>
    </w:p>
    <w:p w14:paraId="23ED39B9">
      <w:pPr>
        <w:rPr>
          <w:rFonts w:hint="eastAsia" w:ascii="Times New Roman" w:hAnsi="Times New Roman"/>
        </w:rPr>
      </w:pPr>
      <w:r>
        <w:rPr>
          <w:rFonts w:hint="eastAsia" w:ascii="Times New Roman" w:hAnsi="Times New Roman" w:eastAsia="黑体" w:cs="黑体"/>
          <w:sz w:val="32"/>
          <w:szCs w:val="22"/>
        </w:rPr>
        <w:t>第一条</w:t>
      </w:r>
      <w:r>
        <w:rPr>
          <w:rFonts w:hint="eastAsia" w:ascii="Times New Roman" w:hAnsi="Times New Roman"/>
        </w:rPr>
        <w:t xml:space="preserve"> 为加强和规范</w:t>
      </w:r>
      <w:r>
        <w:rPr>
          <w:rFonts w:hint="eastAsia" w:ascii="Times New Roman" w:hAnsi="Times New Roman"/>
          <w:lang w:eastAsia="zh-CN"/>
        </w:rPr>
        <w:t>区级</w:t>
      </w:r>
      <w:r>
        <w:rPr>
          <w:rFonts w:hint="eastAsia" w:ascii="Times New Roman" w:hAnsi="Times New Roman"/>
        </w:rPr>
        <w:t>国有资本经营预算管理，优化国有资本配置，增强政府预算调控能力，根据《中华人民共和国预算法》</w:t>
      </w:r>
      <w:r>
        <w:rPr>
          <w:rFonts w:hint="eastAsia" w:ascii="Times New Roman" w:hAnsi="Times New Roman"/>
          <w:lang w:eastAsia="zh-CN"/>
        </w:rPr>
        <w:t>、</w:t>
      </w:r>
      <w:r>
        <w:rPr>
          <w:rFonts w:hint="eastAsia" w:ascii="Times New Roman" w:hAnsi="Times New Roman"/>
        </w:rPr>
        <w:t>《中华人民共和国企业国有资产法》</w:t>
      </w:r>
      <w:r>
        <w:rPr>
          <w:rFonts w:hint="eastAsia" w:ascii="Times New Roman" w:hAnsi="Times New Roman"/>
          <w:lang w:eastAsia="zh-CN"/>
        </w:rPr>
        <w:t>、</w:t>
      </w:r>
      <w:r>
        <w:rPr>
          <w:rFonts w:hint="eastAsia" w:ascii="Times New Roman" w:hAnsi="Times New Roman"/>
        </w:rPr>
        <w:t>《中华人民共和国预算法实施条例》</w:t>
      </w:r>
      <w:r>
        <w:rPr>
          <w:rFonts w:hint="eastAsia" w:ascii="Times New Roman" w:hAnsi="Times New Roman"/>
          <w:lang w:eastAsia="zh-CN"/>
        </w:rPr>
        <w:t>、</w:t>
      </w:r>
      <w:r>
        <w:rPr>
          <w:rFonts w:hint="eastAsia" w:ascii="Times New Roman" w:hAnsi="Times New Roman"/>
        </w:rPr>
        <w:t>《山东省省级国有资本经营预算管理办法》</w:t>
      </w:r>
      <w:r>
        <w:rPr>
          <w:rFonts w:hint="eastAsia" w:ascii="Times New Roman" w:hAnsi="Times New Roman"/>
          <w:lang w:eastAsia="zh-CN"/>
        </w:rPr>
        <w:t>、《淄博市市级国有资本经营预算管理办法》</w:t>
      </w:r>
      <w:r>
        <w:rPr>
          <w:rFonts w:hint="eastAsia" w:ascii="Times New Roman" w:hAnsi="Times New Roman"/>
        </w:rPr>
        <w:t>等法律法规和有关政策规定，制定本办法。</w:t>
      </w:r>
    </w:p>
    <w:p w14:paraId="213412B4">
      <w:pPr>
        <w:rPr>
          <w:rFonts w:hint="eastAsia" w:ascii="Times New Roman" w:hAnsi="Times New Roman"/>
        </w:rPr>
      </w:pPr>
      <w:r>
        <w:rPr>
          <w:rFonts w:hint="eastAsia" w:ascii="Times New Roman" w:hAnsi="Times New Roman" w:eastAsia="黑体" w:cs="黑体"/>
        </w:rPr>
        <w:t>第二条</w:t>
      </w:r>
      <w:r>
        <w:rPr>
          <w:rFonts w:hint="eastAsia" w:ascii="Times New Roman" w:hAnsi="Times New Roman"/>
        </w:rPr>
        <w:t xml:space="preserve"> 本办法所称</w:t>
      </w:r>
      <w:r>
        <w:rPr>
          <w:rFonts w:hint="eastAsia" w:ascii="Times New Roman" w:hAnsi="Times New Roman"/>
          <w:lang w:eastAsia="zh-CN"/>
        </w:rPr>
        <w:t>区级</w:t>
      </w:r>
      <w:r>
        <w:rPr>
          <w:rFonts w:hint="eastAsia" w:ascii="Times New Roman" w:hAnsi="Times New Roman"/>
        </w:rPr>
        <w:t>国有资本经营预算，是指</w:t>
      </w:r>
      <w:r>
        <w:rPr>
          <w:rFonts w:hint="eastAsia" w:ascii="Times New Roman" w:hAnsi="Times New Roman"/>
          <w:lang w:val="en-US" w:eastAsia="zh-CN"/>
        </w:rPr>
        <w:t>区</w:t>
      </w:r>
      <w:r>
        <w:rPr>
          <w:rFonts w:hint="eastAsia" w:ascii="Times New Roman" w:hAnsi="Times New Roman"/>
        </w:rPr>
        <w:t>政府以所有者身份依法取得国有资本收益，并对所得收益作出支出安排的收支预算。</w:t>
      </w:r>
    </w:p>
    <w:p w14:paraId="74B207FA">
      <w:pPr>
        <w:rPr>
          <w:rFonts w:hint="eastAsia" w:ascii="Times New Roman" w:hAnsi="Times New Roman"/>
        </w:rPr>
      </w:pPr>
      <w:r>
        <w:rPr>
          <w:rFonts w:hint="eastAsia" w:ascii="Times New Roman" w:hAnsi="Times New Roman" w:eastAsia="黑体" w:cs="黑体"/>
        </w:rPr>
        <w:t>第三条</w:t>
      </w:r>
      <w:r>
        <w:rPr>
          <w:rFonts w:hint="eastAsia" w:ascii="Times New Roman" w:hAnsi="Times New Roman"/>
        </w:rPr>
        <w:t xml:space="preserve"> 本办法适用于</w:t>
      </w:r>
      <w:r>
        <w:rPr>
          <w:rFonts w:hint="eastAsia" w:ascii="Times New Roman" w:hAnsi="Times New Roman"/>
          <w:lang w:eastAsia="zh-CN"/>
        </w:rPr>
        <w:t>区财政</w:t>
      </w:r>
      <w:r>
        <w:rPr>
          <w:rFonts w:hint="eastAsia" w:ascii="Times New Roman" w:hAnsi="Times New Roman"/>
        </w:rPr>
        <w:t>局、</w:t>
      </w:r>
      <w:r>
        <w:rPr>
          <w:rFonts w:hint="eastAsia" w:ascii="Times New Roman" w:hAnsi="Times New Roman"/>
          <w:lang w:eastAsia="zh-CN"/>
        </w:rPr>
        <w:t>区级</w:t>
      </w:r>
      <w:r>
        <w:rPr>
          <w:rFonts w:hint="eastAsia" w:ascii="Times New Roman" w:hAnsi="Times New Roman"/>
        </w:rPr>
        <w:t>国有资本经营</w:t>
      </w:r>
      <w:r>
        <w:rPr>
          <w:rFonts w:hint="eastAsia" w:ascii="Times New Roman" w:hAnsi="Times New Roman"/>
          <w:color w:val="auto"/>
          <w:highlight w:val="none"/>
        </w:rPr>
        <w:t>预算单位（以下简称国资预算单位）</w:t>
      </w:r>
      <w:r>
        <w:rPr>
          <w:rFonts w:hint="eastAsia" w:ascii="Times New Roman" w:hAnsi="Times New Roman"/>
        </w:rPr>
        <w:t>和</w:t>
      </w:r>
      <w:r>
        <w:rPr>
          <w:rFonts w:hint="eastAsia" w:ascii="Times New Roman" w:hAnsi="Times New Roman"/>
          <w:lang w:eastAsia="zh-CN"/>
        </w:rPr>
        <w:t>区级</w:t>
      </w:r>
      <w:r>
        <w:rPr>
          <w:rFonts w:hint="eastAsia" w:ascii="Times New Roman" w:hAnsi="Times New Roman"/>
        </w:rPr>
        <w:t>国有资本经营预算企业（以下简称国资预算企业）国有资本经营预算的编制、执行、调整、决算、绩效管理、监督等事项。</w:t>
      </w:r>
    </w:p>
    <w:p w14:paraId="06F77304">
      <w:pPr>
        <w:rPr>
          <w:rFonts w:hint="eastAsia" w:ascii="Times New Roman" w:hAnsi="Times New Roman"/>
          <w:highlight w:val="none"/>
        </w:rPr>
      </w:pPr>
      <w:r>
        <w:rPr>
          <w:rFonts w:hint="eastAsia" w:ascii="Times New Roman" w:hAnsi="Times New Roman"/>
          <w:highlight w:val="none"/>
        </w:rPr>
        <w:t>本办法所称国资预算单位，是指代表</w:t>
      </w:r>
      <w:r>
        <w:rPr>
          <w:rFonts w:hint="eastAsia" w:ascii="Times New Roman" w:hAnsi="Times New Roman"/>
          <w:highlight w:val="none"/>
          <w:lang w:val="en-US" w:eastAsia="zh-CN"/>
        </w:rPr>
        <w:t>区</w:t>
      </w:r>
      <w:r>
        <w:rPr>
          <w:rFonts w:hint="eastAsia" w:ascii="Times New Roman" w:hAnsi="Times New Roman"/>
          <w:highlight w:val="none"/>
        </w:rPr>
        <w:t>政府履行出资人职责的</w:t>
      </w:r>
      <w:r>
        <w:rPr>
          <w:rFonts w:hint="eastAsia" w:ascii="Times New Roman" w:hAnsi="Times New Roman"/>
          <w:highlight w:val="none"/>
          <w:lang w:eastAsia="zh-CN"/>
        </w:rPr>
        <w:t>区级</w:t>
      </w:r>
      <w:r>
        <w:rPr>
          <w:rFonts w:hint="eastAsia" w:ascii="Times New Roman" w:hAnsi="Times New Roman"/>
          <w:highlight w:val="none"/>
        </w:rPr>
        <w:t>部门、单位。</w:t>
      </w:r>
    </w:p>
    <w:p w14:paraId="70B149BF">
      <w:pPr>
        <w:rPr>
          <w:rFonts w:hint="eastAsia" w:ascii="Times New Roman" w:hAnsi="Times New Roman"/>
        </w:rPr>
      </w:pPr>
      <w:r>
        <w:rPr>
          <w:rFonts w:hint="eastAsia" w:ascii="Times New Roman" w:hAnsi="Times New Roman"/>
        </w:rPr>
        <w:t>本办法所称国资预算企业，是指各类</w:t>
      </w:r>
      <w:r>
        <w:rPr>
          <w:rFonts w:hint="eastAsia" w:ascii="Times New Roman" w:hAnsi="Times New Roman"/>
          <w:lang w:eastAsia="zh-CN"/>
        </w:rPr>
        <w:t>区属</w:t>
      </w:r>
      <w:r>
        <w:rPr>
          <w:rFonts w:hint="eastAsia" w:ascii="Times New Roman" w:hAnsi="Times New Roman"/>
        </w:rPr>
        <w:t>国有独资企业和国有控股、参股企业以及企业化管理事业单位。</w:t>
      </w:r>
    </w:p>
    <w:p w14:paraId="3E040D17">
      <w:pPr>
        <w:rPr>
          <w:rFonts w:hint="eastAsia" w:ascii="Times New Roman" w:hAnsi="Times New Roman"/>
        </w:rPr>
      </w:pPr>
      <w:r>
        <w:rPr>
          <w:rFonts w:hint="eastAsia" w:ascii="Times New Roman" w:hAnsi="Times New Roman" w:eastAsia="黑体" w:cs="黑体"/>
        </w:rPr>
        <w:t>第四条</w:t>
      </w:r>
      <w:r>
        <w:rPr>
          <w:rFonts w:hint="eastAsia" w:ascii="Times New Roman" w:hAnsi="Times New Roman"/>
        </w:rPr>
        <w:t xml:space="preserve"> </w:t>
      </w:r>
      <w:r>
        <w:rPr>
          <w:rFonts w:hint="eastAsia" w:ascii="Times New Roman" w:hAnsi="Times New Roman"/>
          <w:lang w:eastAsia="zh-CN"/>
        </w:rPr>
        <w:t>区级</w:t>
      </w:r>
      <w:r>
        <w:rPr>
          <w:rFonts w:hint="eastAsia" w:ascii="Times New Roman" w:hAnsi="Times New Roman"/>
        </w:rPr>
        <w:t>国有资本经营预算管理坚持全面覆盖、独立完整、收支平衡、讲求绩效原则，并加强与一般公共预算衔接，加大向一般公共预算调出力度。</w:t>
      </w:r>
    </w:p>
    <w:p w14:paraId="6849EF63">
      <w:pPr>
        <w:pStyle w:val="3"/>
        <w:bidi w:val="0"/>
        <w:ind w:left="0" w:leftChars="0" w:firstLine="0" w:firstLineChars="0"/>
        <w:jc w:val="center"/>
        <w:rPr>
          <w:rFonts w:hint="eastAsia" w:ascii="Times New Roman" w:hAnsi="Times New Roman"/>
        </w:rPr>
      </w:pPr>
      <w:r>
        <w:rPr>
          <w:rFonts w:hint="eastAsia" w:ascii="Times New Roman" w:hAnsi="Times New Roman"/>
        </w:rPr>
        <w:t>第二章 管理职责</w:t>
      </w:r>
    </w:p>
    <w:p w14:paraId="19D146C0">
      <w:pPr>
        <w:rPr>
          <w:rFonts w:hint="eastAsia" w:ascii="Times New Roman" w:hAnsi="Times New Roman"/>
        </w:rPr>
      </w:pPr>
      <w:r>
        <w:rPr>
          <w:rFonts w:hint="eastAsia" w:ascii="Times New Roman" w:hAnsi="Times New Roman" w:eastAsia="黑体" w:cs="黑体"/>
        </w:rPr>
        <w:t>第五条</w:t>
      </w:r>
      <w:r>
        <w:rPr>
          <w:rFonts w:hint="eastAsia" w:ascii="Times New Roman" w:hAnsi="Times New Roman"/>
        </w:rPr>
        <w:t xml:space="preserve"> </w:t>
      </w:r>
      <w:r>
        <w:rPr>
          <w:rFonts w:hint="eastAsia" w:ascii="Times New Roman" w:hAnsi="Times New Roman"/>
          <w:lang w:eastAsia="zh-CN"/>
        </w:rPr>
        <w:t>区级</w:t>
      </w:r>
      <w:r>
        <w:rPr>
          <w:rFonts w:hint="eastAsia" w:ascii="Times New Roman" w:hAnsi="Times New Roman"/>
        </w:rPr>
        <w:t>国有资本经营预算管理由</w:t>
      </w:r>
      <w:r>
        <w:rPr>
          <w:rFonts w:hint="eastAsia" w:ascii="Times New Roman" w:hAnsi="Times New Roman"/>
          <w:lang w:eastAsia="zh-CN"/>
        </w:rPr>
        <w:t>区财政</w:t>
      </w:r>
      <w:r>
        <w:rPr>
          <w:rFonts w:hint="eastAsia" w:ascii="Times New Roman" w:hAnsi="Times New Roman"/>
        </w:rPr>
        <w:t>局、</w:t>
      </w:r>
      <w:r>
        <w:rPr>
          <w:rFonts w:hint="eastAsia" w:ascii="Times New Roman" w:hAnsi="Times New Roman"/>
          <w:highlight w:val="none"/>
        </w:rPr>
        <w:t>国资预算单位</w:t>
      </w:r>
      <w:r>
        <w:rPr>
          <w:rFonts w:hint="eastAsia" w:ascii="Times New Roman" w:hAnsi="Times New Roman"/>
        </w:rPr>
        <w:t>和国资预算企业各司其职，共同负责。</w:t>
      </w:r>
    </w:p>
    <w:p w14:paraId="2B8FAD8C">
      <w:pPr>
        <w:rPr>
          <w:rFonts w:hint="eastAsia" w:ascii="Times New Roman" w:hAnsi="Times New Roman"/>
        </w:rPr>
      </w:pPr>
      <w:r>
        <w:rPr>
          <w:rFonts w:hint="eastAsia" w:ascii="Times New Roman" w:hAnsi="Times New Roman" w:eastAsia="黑体" w:cs="黑体"/>
        </w:rPr>
        <w:t>第六条</w:t>
      </w:r>
      <w:r>
        <w:rPr>
          <w:rFonts w:hint="eastAsia" w:ascii="Times New Roman" w:hAnsi="Times New Roman"/>
        </w:rPr>
        <w:t xml:space="preserve"> </w:t>
      </w:r>
      <w:r>
        <w:rPr>
          <w:rFonts w:hint="eastAsia" w:ascii="Times New Roman" w:hAnsi="Times New Roman"/>
          <w:lang w:eastAsia="zh-CN"/>
        </w:rPr>
        <w:t>区财政</w:t>
      </w:r>
      <w:r>
        <w:rPr>
          <w:rFonts w:hint="eastAsia" w:ascii="Times New Roman" w:hAnsi="Times New Roman"/>
        </w:rPr>
        <w:t>局主要负责：</w:t>
      </w:r>
    </w:p>
    <w:p w14:paraId="4DDD4261">
      <w:pPr>
        <w:rPr>
          <w:rFonts w:hint="eastAsia" w:ascii="Times New Roman" w:hAnsi="Times New Roman"/>
        </w:rPr>
      </w:pPr>
      <w:r>
        <w:rPr>
          <w:rFonts w:hint="eastAsia" w:ascii="Times New Roman" w:hAnsi="Times New Roman"/>
        </w:rPr>
        <w:t>（一）制定</w:t>
      </w:r>
      <w:r>
        <w:rPr>
          <w:rFonts w:hint="eastAsia" w:ascii="Times New Roman" w:hAnsi="Times New Roman"/>
          <w:lang w:eastAsia="zh-CN"/>
        </w:rPr>
        <w:t>区级</w:t>
      </w:r>
      <w:r>
        <w:rPr>
          <w:rFonts w:hint="eastAsia" w:ascii="Times New Roman" w:hAnsi="Times New Roman"/>
        </w:rPr>
        <w:t>国有资本经营预算管理的相关制度；</w:t>
      </w:r>
    </w:p>
    <w:p w14:paraId="633C9728">
      <w:pPr>
        <w:rPr>
          <w:rFonts w:hint="eastAsia" w:ascii="Times New Roman" w:hAnsi="Times New Roman"/>
        </w:rPr>
      </w:pPr>
      <w:r>
        <w:rPr>
          <w:rFonts w:hint="eastAsia" w:ascii="Times New Roman" w:hAnsi="Times New Roman"/>
        </w:rPr>
        <w:t>（二）组织</w:t>
      </w:r>
      <w:r>
        <w:rPr>
          <w:rFonts w:hint="eastAsia" w:ascii="Times New Roman" w:hAnsi="Times New Roman"/>
          <w:lang w:eastAsia="zh-CN"/>
        </w:rPr>
        <w:t>区级</w:t>
      </w:r>
      <w:r>
        <w:rPr>
          <w:rFonts w:hint="eastAsia" w:ascii="Times New Roman" w:hAnsi="Times New Roman"/>
        </w:rPr>
        <w:t>国有资本经营预算收入；</w:t>
      </w:r>
    </w:p>
    <w:p w14:paraId="7204EF97">
      <w:pPr>
        <w:rPr>
          <w:rFonts w:hint="eastAsia" w:ascii="Times New Roman" w:hAnsi="Times New Roman"/>
        </w:rPr>
      </w:pPr>
      <w:r>
        <w:rPr>
          <w:rFonts w:hint="eastAsia" w:ascii="Times New Roman" w:hAnsi="Times New Roman"/>
        </w:rPr>
        <w:t>（三）拟定</w:t>
      </w:r>
      <w:r>
        <w:rPr>
          <w:rFonts w:hint="eastAsia" w:ascii="Times New Roman" w:hAnsi="Times New Roman"/>
          <w:lang w:eastAsia="zh-CN"/>
        </w:rPr>
        <w:t>区级</w:t>
      </w:r>
      <w:r>
        <w:rPr>
          <w:rFonts w:hint="eastAsia" w:ascii="Times New Roman" w:hAnsi="Times New Roman"/>
        </w:rPr>
        <w:t>国有资本经营预算支出方向和重点；</w:t>
      </w:r>
    </w:p>
    <w:p w14:paraId="588105F6">
      <w:pPr>
        <w:rPr>
          <w:rFonts w:hint="eastAsia" w:ascii="Times New Roman" w:hAnsi="Times New Roman"/>
        </w:rPr>
      </w:pPr>
      <w:r>
        <w:rPr>
          <w:rFonts w:hint="eastAsia" w:ascii="Times New Roman" w:hAnsi="Times New Roman"/>
        </w:rPr>
        <w:t>（四）审核汇总国有资本经营预算建议草案，编制</w:t>
      </w:r>
      <w:r>
        <w:rPr>
          <w:rFonts w:hint="eastAsia" w:ascii="Times New Roman" w:hAnsi="Times New Roman"/>
          <w:lang w:eastAsia="zh-CN"/>
        </w:rPr>
        <w:t>区级</w:t>
      </w:r>
      <w:r>
        <w:rPr>
          <w:rFonts w:hint="eastAsia" w:ascii="Times New Roman" w:hAnsi="Times New Roman"/>
        </w:rPr>
        <w:t>国有资本经营预 （决）算草案和预算调整方案；</w:t>
      </w:r>
    </w:p>
    <w:p w14:paraId="0FFCC90B">
      <w:pPr>
        <w:rPr>
          <w:rFonts w:hint="eastAsia" w:ascii="Times New Roman" w:hAnsi="Times New Roman"/>
          <w:highlight w:val="none"/>
        </w:rPr>
      </w:pPr>
      <w:r>
        <w:rPr>
          <w:rFonts w:hint="eastAsia" w:ascii="Times New Roman" w:hAnsi="Times New Roman"/>
          <w:highlight w:val="none"/>
        </w:rPr>
        <w:t>（五）批复国资预算单位国有资本经营预（决）算；</w:t>
      </w:r>
    </w:p>
    <w:p w14:paraId="5015201D">
      <w:pPr>
        <w:rPr>
          <w:rFonts w:hint="eastAsia" w:ascii="Times New Roman" w:hAnsi="Times New Roman"/>
          <w:highlight w:val="none"/>
        </w:rPr>
      </w:pPr>
      <w:r>
        <w:rPr>
          <w:rFonts w:hint="eastAsia" w:ascii="Times New Roman" w:hAnsi="Times New Roman"/>
          <w:highlight w:val="none"/>
        </w:rPr>
        <w:t>（六）组织和指导国资预算单位实施全过程绩效管理；</w:t>
      </w:r>
    </w:p>
    <w:p w14:paraId="48B61039">
      <w:pPr>
        <w:rPr>
          <w:rFonts w:hint="eastAsia" w:ascii="Times New Roman" w:hAnsi="Times New Roman"/>
          <w:highlight w:val="none"/>
        </w:rPr>
      </w:pPr>
      <w:r>
        <w:rPr>
          <w:rFonts w:hint="eastAsia" w:ascii="Times New Roman" w:hAnsi="Times New Roman"/>
          <w:highlight w:val="none"/>
        </w:rPr>
        <w:t>（七）对</w:t>
      </w:r>
      <w:r>
        <w:rPr>
          <w:rFonts w:hint="eastAsia" w:ascii="Times New Roman" w:hAnsi="Times New Roman"/>
          <w:highlight w:val="none"/>
          <w:lang w:eastAsia="zh-CN"/>
        </w:rPr>
        <w:t>区级</w:t>
      </w:r>
      <w:r>
        <w:rPr>
          <w:rFonts w:hint="eastAsia" w:ascii="Times New Roman" w:hAnsi="Times New Roman"/>
          <w:highlight w:val="none"/>
        </w:rPr>
        <w:t>国有资本经营预算管理情况进行财会监督。</w:t>
      </w:r>
    </w:p>
    <w:p w14:paraId="744D74D5">
      <w:pPr>
        <w:rPr>
          <w:rFonts w:hint="eastAsia" w:ascii="Times New Roman" w:hAnsi="Times New Roman"/>
        </w:rPr>
      </w:pPr>
      <w:r>
        <w:rPr>
          <w:rFonts w:hint="eastAsia" w:ascii="Times New Roman" w:hAnsi="Times New Roman"/>
          <w:highlight w:val="none"/>
        </w:rPr>
        <w:t>第七条 国资预算单位主要负</w:t>
      </w:r>
      <w:r>
        <w:rPr>
          <w:rFonts w:hint="eastAsia" w:ascii="Times New Roman" w:hAnsi="Times New Roman"/>
        </w:rPr>
        <w:t>责：</w:t>
      </w:r>
    </w:p>
    <w:p w14:paraId="2C18492B">
      <w:pPr>
        <w:rPr>
          <w:rFonts w:hint="eastAsia" w:ascii="Times New Roman" w:hAnsi="Times New Roman"/>
        </w:rPr>
      </w:pPr>
      <w:r>
        <w:rPr>
          <w:rFonts w:hint="eastAsia" w:ascii="Times New Roman" w:hAnsi="Times New Roman"/>
        </w:rPr>
        <w:t>（一）组织所监管 （所属）企业编报国有资本经营预算收支计划并进行审核，提出本单位年度国有资本经营预算建议草案；</w:t>
      </w:r>
    </w:p>
    <w:p w14:paraId="39F0DC07">
      <w:pPr>
        <w:rPr>
          <w:rFonts w:hint="eastAsia" w:ascii="Times New Roman" w:hAnsi="Times New Roman"/>
        </w:rPr>
      </w:pPr>
      <w:r>
        <w:rPr>
          <w:rFonts w:hint="eastAsia" w:ascii="Times New Roman" w:hAnsi="Times New Roman"/>
        </w:rPr>
        <w:t>（二）组织本单位国有资本经营预算的执行；</w:t>
      </w:r>
    </w:p>
    <w:p w14:paraId="501022B0">
      <w:pPr>
        <w:rPr>
          <w:rFonts w:hint="eastAsia" w:ascii="Times New Roman" w:hAnsi="Times New Roman"/>
        </w:rPr>
      </w:pPr>
      <w:r>
        <w:rPr>
          <w:rFonts w:hint="eastAsia" w:ascii="Times New Roman" w:hAnsi="Times New Roman"/>
        </w:rPr>
        <w:t>（三）编制本单位国有资本经营决算草案；</w:t>
      </w:r>
    </w:p>
    <w:p w14:paraId="4E130724">
      <w:pPr>
        <w:rPr>
          <w:rFonts w:hint="eastAsia" w:ascii="Times New Roman" w:hAnsi="Times New Roman"/>
        </w:rPr>
      </w:pPr>
      <w:r>
        <w:rPr>
          <w:rFonts w:hint="eastAsia" w:ascii="Times New Roman" w:hAnsi="Times New Roman"/>
        </w:rPr>
        <w:t>（四）批复所监管 （所属）企业国有资本经营预 （决）算；</w:t>
      </w:r>
    </w:p>
    <w:p w14:paraId="1566FE5A">
      <w:pPr>
        <w:rPr>
          <w:rFonts w:hint="eastAsia" w:ascii="Times New Roman" w:hAnsi="Times New Roman"/>
        </w:rPr>
      </w:pPr>
      <w:r>
        <w:rPr>
          <w:rFonts w:hint="eastAsia" w:ascii="Times New Roman" w:hAnsi="Times New Roman"/>
        </w:rPr>
        <w:t>（五）负责本单位国有资本经营预算全过程绩效管理；</w:t>
      </w:r>
    </w:p>
    <w:p w14:paraId="7BC2B0C3">
      <w:pPr>
        <w:rPr>
          <w:rFonts w:hint="eastAsia" w:ascii="Times New Roman" w:hAnsi="Times New Roman"/>
        </w:rPr>
      </w:pPr>
      <w:r>
        <w:rPr>
          <w:rFonts w:hint="eastAsia" w:ascii="Times New Roman" w:hAnsi="Times New Roman"/>
        </w:rPr>
        <w:t>（六）配合</w:t>
      </w:r>
      <w:r>
        <w:rPr>
          <w:rFonts w:hint="eastAsia" w:ascii="Times New Roman" w:hAnsi="Times New Roman"/>
          <w:lang w:eastAsia="zh-CN"/>
        </w:rPr>
        <w:t>区财政</w:t>
      </w:r>
      <w:r>
        <w:rPr>
          <w:rFonts w:hint="eastAsia" w:ascii="Times New Roman" w:hAnsi="Times New Roman"/>
        </w:rPr>
        <w:t>局对所监管（所属）企业国有资本经营预算管理情况进行财会监督。</w:t>
      </w:r>
    </w:p>
    <w:p w14:paraId="6ED05546">
      <w:pPr>
        <w:rPr>
          <w:rFonts w:hint="eastAsia" w:ascii="Times New Roman" w:hAnsi="Times New Roman"/>
        </w:rPr>
      </w:pPr>
      <w:r>
        <w:rPr>
          <w:rFonts w:hint="eastAsia" w:ascii="Times New Roman" w:hAnsi="Times New Roman" w:eastAsia="黑体" w:cs="黑体"/>
        </w:rPr>
        <w:t>第八条</w:t>
      </w:r>
      <w:r>
        <w:rPr>
          <w:rFonts w:hint="eastAsia" w:ascii="Times New Roman" w:hAnsi="Times New Roman"/>
        </w:rPr>
        <w:t xml:space="preserve"> 国资预算企业主要负责：</w:t>
      </w:r>
    </w:p>
    <w:p w14:paraId="1DC8FB9E">
      <w:pPr>
        <w:rPr>
          <w:rFonts w:hint="eastAsia" w:ascii="Times New Roman" w:hAnsi="Times New Roman"/>
        </w:rPr>
      </w:pPr>
      <w:r>
        <w:rPr>
          <w:rFonts w:hint="eastAsia" w:ascii="Times New Roman" w:hAnsi="Times New Roman"/>
        </w:rPr>
        <w:t>（一）提出国有资本经营预算收支计划；</w:t>
      </w:r>
    </w:p>
    <w:p w14:paraId="76A4E635">
      <w:pPr>
        <w:rPr>
          <w:rFonts w:hint="eastAsia" w:ascii="Times New Roman" w:hAnsi="Times New Roman"/>
        </w:rPr>
      </w:pPr>
      <w:r>
        <w:rPr>
          <w:rFonts w:hint="eastAsia" w:ascii="Times New Roman" w:hAnsi="Times New Roman"/>
        </w:rPr>
        <w:t>（二）按照规定申报、上缴国有资本经营预算收入；</w:t>
      </w:r>
    </w:p>
    <w:p w14:paraId="0BD87B15">
      <w:pPr>
        <w:rPr>
          <w:rFonts w:hint="eastAsia" w:ascii="Times New Roman" w:hAnsi="Times New Roman"/>
        </w:rPr>
      </w:pPr>
      <w:r>
        <w:rPr>
          <w:rFonts w:hint="eastAsia" w:ascii="Times New Roman" w:hAnsi="Times New Roman"/>
        </w:rPr>
        <w:t>（三）根据国有资本经营预算批复安排支出，报告国有资本经营预算执行、决算、绩效管理等情况并依法接受监督。</w:t>
      </w:r>
    </w:p>
    <w:p w14:paraId="1A488561">
      <w:pPr>
        <w:pStyle w:val="3"/>
        <w:bidi w:val="0"/>
        <w:ind w:left="0" w:leftChars="0" w:firstLine="0" w:firstLineChars="0"/>
        <w:jc w:val="center"/>
        <w:rPr>
          <w:rFonts w:hint="eastAsia" w:ascii="Times New Roman" w:hAnsi="Times New Roman"/>
        </w:rPr>
      </w:pPr>
      <w:r>
        <w:rPr>
          <w:rFonts w:hint="eastAsia" w:ascii="Times New Roman" w:hAnsi="Times New Roman"/>
        </w:rPr>
        <w:t>第三章 收支范围</w:t>
      </w:r>
    </w:p>
    <w:p w14:paraId="1B0DB442">
      <w:pPr>
        <w:rPr>
          <w:rFonts w:hint="eastAsia" w:ascii="Times New Roman" w:hAnsi="Times New Roman"/>
        </w:rPr>
      </w:pPr>
      <w:r>
        <w:rPr>
          <w:rFonts w:hint="eastAsia" w:ascii="Times New Roman" w:hAnsi="Times New Roman" w:eastAsia="黑体" w:cs="黑体"/>
        </w:rPr>
        <w:t>第九条</w:t>
      </w:r>
      <w:r>
        <w:rPr>
          <w:rFonts w:hint="eastAsia" w:ascii="Times New Roman" w:hAnsi="Times New Roman"/>
        </w:rPr>
        <w:t xml:space="preserve"> </w:t>
      </w:r>
      <w:r>
        <w:rPr>
          <w:rFonts w:hint="eastAsia" w:ascii="Times New Roman" w:hAnsi="Times New Roman"/>
          <w:lang w:eastAsia="zh-CN"/>
        </w:rPr>
        <w:t>区级</w:t>
      </w:r>
      <w:r>
        <w:rPr>
          <w:rFonts w:hint="eastAsia" w:ascii="Times New Roman" w:hAnsi="Times New Roman"/>
        </w:rPr>
        <w:t>国有资本经营预算收入主要包括利润收入、股息红利收入、产权转让收入、清算收入和其他收入。</w:t>
      </w:r>
    </w:p>
    <w:p w14:paraId="3B35233F">
      <w:pPr>
        <w:rPr>
          <w:rFonts w:hint="eastAsia" w:ascii="Times New Roman" w:hAnsi="Times New Roman"/>
        </w:rPr>
      </w:pPr>
      <w:r>
        <w:rPr>
          <w:rFonts w:hint="eastAsia" w:ascii="Times New Roman" w:hAnsi="Times New Roman" w:eastAsia="黑体" w:cs="黑体"/>
        </w:rPr>
        <w:t>第十条</w:t>
      </w:r>
      <w:r>
        <w:rPr>
          <w:rFonts w:hint="eastAsia" w:ascii="Times New Roman" w:hAnsi="Times New Roman"/>
        </w:rPr>
        <w:t xml:space="preserve"> </w:t>
      </w:r>
      <w:r>
        <w:rPr>
          <w:rFonts w:hint="eastAsia" w:ascii="Times New Roman" w:hAnsi="Times New Roman"/>
          <w:highlight w:val="none"/>
          <w:lang w:eastAsia="zh-CN"/>
        </w:rPr>
        <w:t>区属</w:t>
      </w:r>
      <w:r>
        <w:rPr>
          <w:rFonts w:hint="eastAsia" w:ascii="Times New Roman" w:hAnsi="Times New Roman"/>
          <w:highlight w:val="none"/>
        </w:rPr>
        <w:t>国有独资企业、企业化管理事业单位按照不低于30%的比例上缴利润收入，其中金融企业、资源类企业上缴比例不低于35%，</w:t>
      </w:r>
      <w:r>
        <w:rPr>
          <w:rFonts w:hint="eastAsia" w:ascii="Times New Roman" w:hAnsi="Times New Roman"/>
          <w:highlight w:val="none"/>
          <w:lang w:val="en-US" w:eastAsia="zh-CN"/>
        </w:rPr>
        <w:t>区</w:t>
      </w:r>
      <w:r>
        <w:rPr>
          <w:rFonts w:hint="eastAsia" w:ascii="Times New Roman" w:hAnsi="Times New Roman"/>
        </w:rPr>
        <w:t>政府另有规定的除外。利润收入上缴比例实行动态调整，由</w:t>
      </w:r>
      <w:r>
        <w:rPr>
          <w:rFonts w:hint="eastAsia" w:ascii="Times New Roman" w:hAnsi="Times New Roman"/>
          <w:lang w:eastAsia="zh-CN"/>
        </w:rPr>
        <w:t>区财政</w:t>
      </w:r>
      <w:r>
        <w:rPr>
          <w:rFonts w:hint="eastAsia" w:ascii="Times New Roman" w:hAnsi="Times New Roman"/>
        </w:rPr>
        <w:t>局会同有关部门提出建议，报</w:t>
      </w:r>
      <w:r>
        <w:rPr>
          <w:rFonts w:hint="eastAsia" w:ascii="Times New Roman" w:hAnsi="Times New Roman"/>
          <w:lang w:val="en-US" w:eastAsia="zh-CN"/>
        </w:rPr>
        <w:t>区</w:t>
      </w:r>
      <w:r>
        <w:rPr>
          <w:rFonts w:hint="eastAsia" w:ascii="Times New Roman" w:hAnsi="Times New Roman"/>
        </w:rPr>
        <w:t>政府批准后执行。</w:t>
      </w:r>
    </w:p>
    <w:p w14:paraId="4F6A3A27">
      <w:pPr>
        <w:rPr>
          <w:rFonts w:hint="eastAsia" w:ascii="Times New Roman" w:hAnsi="Times New Roman"/>
        </w:rPr>
      </w:pPr>
      <w:r>
        <w:rPr>
          <w:rFonts w:hint="eastAsia" w:ascii="Times New Roman" w:hAnsi="Times New Roman"/>
        </w:rPr>
        <w:t>为实现特定调控目标，经</w:t>
      </w:r>
      <w:r>
        <w:rPr>
          <w:rFonts w:hint="eastAsia" w:ascii="Times New Roman" w:hAnsi="Times New Roman"/>
          <w:lang w:val="en-US" w:eastAsia="zh-CN"/>
        </w:rPr>
        <w:t>区</w:t>
      </w:r>
      <w:r>
        <w:rPr>
          <w:rFonts w:hint="eastAsia" w:ascii="Times New Roman" w:hAnsi="Times New Roman"/>
        </w:rPr>
        <w:t>政府同意，可在</w:t>
      </w:r>
      <w:r>
        <w:rPr>
          <w:rFonts w:hint="eastAsia" w:ascii="Times New Roman" w:hAnsi="Times New Roman"/>
          <w:lang w:eastAsia="zh-CN"/>
        </w:rPr>
        <w:t>区属</w:t>
      </w:r>
      <w:r>
        <w:rPr>
          <w:rFonts w:hint="eastAsia" w:ascii="Times New Roman" w:hAnsi="Times New Roman"/>
        </w:rPr>
        <w:t>国有独资企业按规定比例上缴利润的基础上，依法依规向其收取固定数额利润。</w:t>
      </w:r>
    </w:p>
    <w:p w14:paraId="614E37BC">
      <w:pPr>
        <w:rPr>
          <w:rFonts w:hint="eastAsia" w:ascii="Times New Roman" w:hAnsi="Times New Roman"/>
        </w:rPr>
      </w:pPr>
      <w:r>
        <w:rPr>
          <w:rFonts w:hint="eastAsia" w:ascii="Times New Roman" w:hAnsi="Times New Roman"/>
        </w:rPr>
        <w:t>承担</w:t>
      </w:r>
      <w:r>
        <w:rPr>
          <w:rFonts w:hint="eastAsia" w:ascii="Times New Roman" w:hAnsi="Times New Roman"/>
          <w:lang w:eastAsia="zh-CN"/>
        </w:rPr>
        <w:t>区属</w:t>
      </w:r>
      <w:r>
        <w:rPr>
          <w:rFonts w:hint="eastAsia" w:ascii="Times New Roman" w:hAnsi="Times New Roman"/>
        </w:rPr>
        <w:t>储备粮任务的政策性企业，可免缴利润收入。</w:t>
      </w:r>
    </w:p>
    <w:p w14:paraId="6862F17F">
      <w:pPr>
        <w:rPr>
          <w:rFonts w:hint="eastAsia" w:ascii="Times New Roman" w:hAnsi="Times New Roman"/>
        </w:rPr>
      </w:pPr>
      <w:r>
        <w:rPr>
          <w:rFonts w:hint="eastAsia" w:ascii="Times New Roman" w:hAnsi="Times New Roman" w:eastAsia="黑体" w:cs="黑体"/>
        </w:rPr>
        <w:t>第十一条</w:t>
      </w:r>
      <w:r>
        <w:rPr>
          <w:rFonts w:hint="eastAsia" w:ascii="Times New Roman" w:hAnsi="Times New Roman"/>
        </w:rPr>
        <w:t xml:space="preserve"> </w:t>
      </w:r>
      <w:r>
        <w:rPr>
          <w:rFonts w:hint="eastAsia" w:ascii="Times New Roman" w:hAnsi="Times New Roman"/>
          <w:highlight w:val="none"/>
        </w:rPr>
        <w:t>国资预算单位</w:t>
      </w:r>
      <w:r>
        <w:rPr>
          <w:rFonts w:hint="eastAsia" w:ascii="Times New Roman" w:hAnsi="Times New Roman"/>
        </w:rPr>
        <w:t>持有股权的</w:t>
      </w:r>
      <w:r>
        <w:rPr>
          <w:rFonts w:hint="eastAsia" w:ascii="Times New Roman" w:hAnsi="Times New Roman"/>
          <w:lang w:eastAsia="zh-CN"/>
        </w:rPr>
        <w:t>区属</w:t>
      </w:r>
      <w:r>
        <w:rPr>
          <w:rFonts w:hint="eastAsia" w:ascii="Times New Roman" w:hAnsi="Times New Roman"/>
        </w:rPr>
        <w:t>国有控股、参股企业应付国资预算单位的股息红利，按照股东会或者股东大会决议通过的利润分配方案，全额上缴。</w:t>
      </w:r>
    </w:p>
    <w:p w14:paraId="65AB569A">
      <w:pPr>
        <w:rPr>
          <w:rFonts w:hint="eastAsia" w:ascii="Times New Roman" w:hAnsi="Times New Roman"/>
        </w:rPr>
      </w:pPr>
      <w:r>
        <w:rPr>
          <w:rFonts w:hint="eastAsia" w:ascii="Times New Roman" w:hAnsi="Times New Roman" w:eastAsia="黑体" w:cs="黑体"/>
        </w:rPr>
        <w:t>第十二条</w:t>
      </w:r>
      <w:r>
        <w:rPr>
          <w:rFonts w:hint="eastAsia" w:ascii="Times New Roman" w:hAnsi="Times New Roman"/>
        </w:rPr>
        <w:t xml:space="preserve"> 转让</w:t>
      </w:r>
      <w:r>
        <w:rPr>
          <w:rFonts w:hint="eastAsia" w:ascii="Times New Roman" w:hAnsi="Times New Roman"/>
          <w:highlight w:val="none"/>
        </w:rPr>
        <w:t>国资预算单位持</w:t>
      </w:r>
      <w:r>
        <w:rPr>
          <w:rFonts w:hint="eastAsia" w:ascii="Times New Roman" w:hAnsi="Times New Roman"/>
        </w:rPr>
        <w:t>有的</w:t>
      </w:r>
      <w:r>
        <w:rPr>
          <w:rFonts w:hint="eastAsia" w:ascii="Times New Roman" w:hAnsi="Times New Roman"/>
          <w:lang w:eastAsia="zh-CN"/>
        </w:rPr>
        <w:t>区属</w:t>
      </w:r>
      <w:r>
        <w:rPr>
          <w:rFonts w:hint="eastAsia" w:ascii="Times New Roman" w:hAnsi="Times New Roman"/>
        </w:rPr>
        <w:t>企业国有产权 （股权）形成的净收入，全额上缴。</w:t>
      </w:r>
    </w:p>
    <w:p w14:paraId="70C7AC5A">
      <w:pPr>
        <w:rPr>
          <w:rFonts w:hint="eastAsia" w:ascii="Times New Roman" w:hAnsi="Times New Roman"/>
        </w:rPr>
      </w:pPr>
      <w:r>
        <w:rPr>
          <w:rFonts w:hint="eastAsia" w:ascii="Times New Roman" w:hAnsi="Times New Roman" w:eastAsia="黑体" w:cs="黑体"/>
        </w:rPr>
        <w:t>第十三条</w:t>
      </w:r>
      <w:r>
        <w:rPr>
          <w:rFonts w:hint="eastAsia" w:ascii="Times New Roman" w:hAnsi="Times New Roman"/>
        </w:rPr>
        <w:t xml:space="preserve"> </w:t>
      </w:r>
      <w:r>
        <w:rPr>
          <w:rFonts w:hint="eastAsia" w:ascii="Times New Roman" w:hAnsi="Times New Roman"/>
          <w:highlight w:val="none"/>
        </w:rPr>
        <w:t>国资预算单位</w:t>
      </w:r>
      <w:r>
        <w:rPr>
          <w:rFonts w:hint="eastAsia" w:ascii="Times New Roman" w:hAnsi="Times New Roman"/>
        </w:rPr>
        <w:t>持有股权的</w:t>
      </w:r>
      <w:r>
        <w:rPr>
          <w:rFonts w:hint="eastAsia" w:ascii="Times New Roman" w:hAnsi="Times New Roman"/>
          <w:lang w:eastAsia="zh-CN"/>
        </w:rPr>
        <w:t>区属</w:t>
      </w:r>
      <w:r>
        <w:rPr>
          <w:rFonts w:hint="eastAsia" w:ascii="Times New Roman" w:hAnsi="Times New Roman"/>
        </w:rPr>
        <w:t>国有独资企业清算净收入，以及</w:t>
      </w:r>
      <w:r>
        <w:rPr>
          <w:rFonts w:hint="eastAsia" w:ascii="Times New Roman" w:hAnsi="Times New Roman"/>
          <w:lang w:eastAsia="zh-CN"/>
        </w:rPr>
        <w:t>区属</w:t>
      </w:r>
      <w:r>
        <w:rPr>
          <w:rFonts w:hint="eastAsia" w:ascii="Times New Roman" w:hAnsi="Times New Roman"/>
        </w:rPr>
        <w:t>国有控股、参股企业取得的清算净收入中属于国资预算单位应分享的部分，全额上缴。</w:t>
      </w:r>
    </w:p>
    <w:p w14:paraId="42879373">
      <w:pPr>
        <w:rPr>
          <w:rFonts w:hint="eastAsia" w:ascii="Times New Roman" w:hAnsi="Times New Roman"/>
        </w:rPr>
      </w:pPr>
      <w:r>
        <w:rPr>
          <w:rFonts w:hint="eastAsia" w:ascii="Times New Roman" w:hAnsi="Times New Roman" w:eastAsia="黑体" w:cs="黑体"/>
        </w:rPr>
        <w:t>第十四条</w:t>
      </w:r>
      <w:r>
        <w:rPr>
          <w:rFonts w:hint="eastAsia" w:ascii="Times New Roman" w:hAnsi="Times New Roman"/>
        </w:rPr>
        <w:t xml:space="preserve"> </w:t>
      </w:r>
      <w:r>
        <w:rPr>
          <w:rFonts w:hint="eastAsia" w:ascii="Times New Roman" w:hAnsi="Times New Roman"/>
          <w:lang w:eastAsia="zh-CN"/>
        </w:rPr>
        <w:t>区级</w:t>
      </w:r>
      <w:r>
        <w:rPr>
          <w:rFonts w:hint="eastAsia" w:ascii="Times New Roman" w:hAnsi="Times New Roman"/>
        </w:rPr>
        <w:t>国有资本经营预算支出主要包括：</w:t>
      </w:r>
    </w:p>
    <w:p w14:paraId="081EBCE7">
      <w:pPr>
        <w:rPr>
          <w:rFonts w:hint="eastAsia" w:ascii="Times New Roman" w:hAnsi="Times New Roman"/>
        </w:rPr>
      </w:pPr>
      <w:r>
        <w:rPr>
          <w:rFonts w:hint="eastAsia" w:ascii="Times New Roman" w:hAnsi="Times New Roman"/>
        </w:rPr>
        <w:t>（一）资本性支出，主要包括关系全</w:t>
      </w:r>
      <w:r>
        <w:rPr>
          <w:rFonts w:hint="eastAsia" w:ascii="Times New Roman" w:hAnsi="Times New Roman"/>
          <w:lang w:val="en-US" w:eastAsia="zh-CN"/>
        </w:rPr>
        <w:t>区</w:t>
      </w:r>
      <w:r>
        <w:rPr>
          <w:rFonts w:hint="eastAsia" w:ascii="Times New Roman" w:hAnsi="Times New Roman"/>
        </w:rPr>
        <w:t>经济社会发展重要行业和关键领域的重大项目支出、国家资本金注入、实施战略性收购支出等；</w:t>
      </w:r>
    </w:p>
    <w:p w14:paraId="1A7A9739">
      <w:pPr>
        <w:rPr>
          <w:rFonts w:hint="eastAsia" w:ascii="Times New Roman" w:hAnsi="Times New Roman"/>
        </w:rPr>
      </w:pPr>
      <w:r>
        <w:rPr>
          <w:rFonts w:hint="eastAsia" w:ascii="Times New Roman" w:hAnsi="Times New Roman"/>
        </w:rPr>
        <w:t>（二）费用性支出，主要包括处置国有企业历史遗留问题、支持国有企业改革发展以及经</w:t>
      </w:r>
      <w:r>
        <w:rPr>
          <w:rFonts w:hint="eastAsia" w:ascii="Times New Roman" w:hAnsi="Times New Roman"/>
          <w:lang w:val="en-US" w:eastAsia="zh-CN"/>
        </w:rPr>
        <w:t>区</w:t>
      </w:r>
      <w:r>
        <w:rPr>
          <w:rFonts w:hint="eastAsia" w:ascii="Times New Roman" w:hAnsi="Times New Roman"/>
        </w:rPr>
        <w:t>政府批准的对国有企业其他方面的补助性支出；</w:t>
      </w:r>
    </w:p>
    <w:p w14:paraId="27862C3B">
      <w:pPr>
        <w:rPr>
          <w:rFonts w:hint="eastAsia" w:ascii="Times New Roman" w:hAnsi="Times New Roman"/>
        </w:rPr>
      </w:pPr>
      <w:r>
        <w:rPr>
          <w:rFonts w:hint="eastAsia" w:ascii="Times New Roman" w:hAnsi="Times New Roman"/>
          <w:highlight w:val="none"/>
        </w:rPr>
        <w:t>（三）转移性支出，主要包括向一般公共预算调出资金、对下级政府转移支付等支出</w:t>
      </w:r>
      <w:r>
        <w:rPr>
          <w:rFonts w:hint="eastAsia" w:ascii="Times New Roman" w:hAnsi="Times New Roman"/>
        </w:rPr>
        <w:t>；</w:t>
      </w:r>
    </w:p>
    <w:p w14:paraId="4D70DE48">
      <w:pPr>
        <w:rPr>
          <w:rFonts w:hint="eastAsia" w:ascii="Times New Roman" w:hAnsi="Times New Roman"/>
        </w:rPr>
      </w:pPr>
      <w:r>
        <w:rPr>
          <w:rFonts w:hint="eastAsia" w:ascii="Times New Roman" w:hAnsi="Times New Roman"/>
        </w:rPr>
        <w:t>（四）其他支出。</w:t>
      </w:r>
    </w:p>
    <w:p w14:paraId="7E3F9D46">
      <w:pPr>
        <w:rPr>
          <w:rFonts w:hint="eastAsia" w:ascii="Times New Roman" w:hAnsi="Times New Roman"/>
        </w:rPr>
      </w:pPr>
      <w:r>
        <w:rPr>
          <w:rFonts w:hint="eastAsia" w:ascii="Times New Roman" w:hAnsi="Times New Roman"/>
          <w:lang w:eastAsia="zh-CN"/>
        </w:rPr>
        <w:t>区级</w:t>
      </w:r>
      <w:r>
        <w:rPr>
          <w:rFonts w:hint="eastAsia" w:ascii="Times New Roman" w:hAnsi="Times New Roman"/>
        </w:rPr>
        <w:t>国有资本经营预算支出的方向和重点，应当根据国家宏观经济政策需要，以及</w:t>
      </w:r>
      <w:r>
        <w:rPr>
          <w:rFonts w:hint="eastAsia" w:ascii="Times New Roman" w:hAnsi="Times New Roman"/>
          <w:lang w:val="en-US" w:eastAsia="zh-CN"/>
        </w:rPr>
        <w:t>区</w:t>
      </w:r>
      <w:r>
        <w:rPr>
          <w:rFonts w:hint="eastAsia" w:ascii="Times New Roman" w:hAnsi="Times New Roman"/>
        </w:rPr>
        <w:t>委、</w:t>
      </w:r>
      <w:r>
        <w:rPr>
          <w:rFonts w:hint="eastAsia" w:ascii="Times New Roman" w:hAnsi="Times New Roman"/>
          <w:lang w:val="en-US" w:eastAsia="zh-CN"/>
        </w:rPr>
        <w:t>区</w:t>
      </w:r>
      <w:r>
        <w:rPr>
          <w:rFonts w:hint="eastAsia" w:ascii="Times New Roman" w:hAnsi="Times New Roman"/>
        </w:rPr>
        <w:t>政府确定的不同时期国有企业改革发展任务适时进行调整。</w:t>
      </w:r>
    </w:p>
    <w:p w14:paraId="4116E5CD">
      <w:pPr>
        <w:pStyle w:val="3"/>
        <w:bidi w:val="0"/>
        <w:ind w:left="0" w:leftChars="0" w:firstLine="0" w:firstLineChars="0"/>
        <w:jc w:val="center"/>
        <w:rPr>
          <w:rFonts w:hint="eastAsia" w:ascii="Times New Roman" w:hAnsi="Times New Roman"/>
        </w:rPr>
      </w:pPr>
      <w:r>
        <w:rPr>
          <w:rFonts w:hint="eastAsia" w:ascii="Times New Roman" w:hAnsi="Times New Roman"/>
        </w:rPr>
        <w:t>第四章 预算编制</w:t>
      </w:r>
    </w:p>
    <w:p w14:paraId="04EA2613">
      <w:pPr>
        <w:rPr>
          <w:rFonts w:hint="eastAsia" w:ascii="Times New Roman" w:hAnsi="Times New Roman"/>
        </w:rPr>
      </w:pPr>
      <w:r>
        <w:rPr>
          <w:rFonts w:hint="eastAsia" w:ascii="Times New Roman" w:hAnsi="Times New Roman" w:eastAsia="黑体" w:cs="黑体"/>
        </w:rPr>
        <w:t>第十五条</w:t>
      </w:r>
      <w:r>
        <w:rPr>
          <w:rFonts w:hint="eastAsia" w:ascii="Times New Roman" w:hAnsi="Times New Roman"/>
        </w:rPr>
        <w:t xml:space="preserve"> </w:t>
      </w:r>
      <w:r>
        <w:rPr>
          <w:rFonts w:hint="eastAsia" w:ascii="Times New Roman" w:hAnsi="Times New Roman"/>
          <w:highlight w:val="none"/>
          <w:lang w:eastAsia="zh-CN"/>
        </w:rPr>
        <w:t>区级</w:t>
      </w:r>
      <w:r>
        <w:rPr>
          <w:rFonts w:hint="eastAsia" w:ascii="Times New Roman" w:hAnsi="Times New Roman"/>
          <w:highlight w:val="none"/>
        </w:rPr>
        <w:t>国有资本经营预算按年度单独编制，并按照规定编制中期</w:t>
      </w:r>
      <w:r>
        <w:rPr>
          <w:rFonts w:hint="eastAsia" w:ascii="Times New Roman" w:hAnsi="Times New Roman"/>
          <w:highlight w:val="none"/>
          <w:lang w:eastAsia="zh-CN"/>
        </w:rPr>
        <w:t>区级</w:t>
      </w:r>
      <w:r>
        <w:rPr>
          <w:rFonts w:hint="eastAsia" w:ascii="Times New Roman" w:hAnsi="Times New Roman"/>
          <w:highlight w:val="none"/>
        </w:rPr>
        <w:t>国有资本经营预算收支规划</w:t>
      </w:r>
      <w:r>
        <w:rPr>
          <w:rFonts w:hint="eastAsia" w:ascii="Times New Roman" w:hAnsi="Times New Roman"/>
        </w:rPr>
        <w:t>。</w:t>
      </w:r>
    </w:p>
    <w:p w14:paraId="4AEB3009">
      <w:pPr>
        <w:rPr>
          <w:rFonts w:hint="eastAsia" w:ascii="Times New Roman" w:hAnsi="Times New Roman"/>
        </w:rPr>
      </w:pPr>
      <w:r>
        <w:rPr>
          <w:rFonts w:hint="eastAsia" w:ascii="Times New Roman" w:hAnsi="Times New Roman" w:eastAsia="黑体" w:cs="黑体"/>
        </w:rPr>
        <w:t>第十六条</w:t>
      </w:r>
      <w:r>
        <w:rPr>
          <w:rFonts w:hint="eastAsia" w:ascii="Times New Roman" w:hAnsi="Times New Roman"/>
        </w:rPr>
        <w:t xml:space="preserve"> </w:t>
      </w:r>
      <w:r>
        <w:rPr>
          <w:rFonts w:hint="eastAsia" w:ascii="Times New Roman" w:hAnsi="Times New Roman"/>
          <w:lang w:eastAsia="zh-CN"/>
        </w:rPr>
        <w:t>区财政</w:t>
      </w:r>
      <w:r>
        <w:rPr>
          <w:rFonts w:hint="eastAsia" w:ascii="Times New Roman" w:hAnsi="Times New Roman"/>
        </w:rPr>
        <w:t>局根据</w:t>
      </w:r>
      <w:r>
        <w:rPr>
          <w:rFonts w:hint="eastAsia" w:ascii="Times New Roman" w:hAnsi="Times New Roman"/>
          <w:lang w:eastAsia="zh-CN"/>
        </w:rPr>
        <w:t>区属</w:t>
      </w:r>
      <w:r>
        <w:rPr>
          <w:rFonts w:hint="eastAsia" w:ascii="Times New Roman" w:hAnsi="Times New Roman"/>
        </w:rPr>
        <w:t>企业年度盈利等情况、国有资本经营预算收入收取政策和国有资本经营预算支出政策等，</w:t>
      </w:r>
      <w:r>
        <w:rPr>
          <w:rFonts w:hint="eastAsia" w:ascii="Times New Roman" w:hAnsi="Times New Roman"/>
          <w:highlight w:val="none"/>
        </w:rPr>
        <w:t>结合国资预算单位提报的</w:t>
      </w:r>
      <w:r>
        <w:rPr>
          <w:rFonts w:hint="eastAsia" w:ascii="Times New Roman" w:hAnsi="Times New Roman"/>
        </w:rPr>
        <w:t>国有资本经营预算支出建议草案，进行统筹平衡，编制</w:t>
      </w:r>
      <w:r>
        <w:rPr>
          <w:rFonts w:hint="eastAsia" w:ascii="Times New Roman" w:hAnsi="Times New Roman"/>
          <w:lang w:eastAsia="zh-CN"/>
        </w:rPr>
        <w:t>区级</w:t>
      </w:r>
      <w:r>
        <w:rPr>
          <w:rFonts w:hint="eastAsia" w:ascii="Times New Roman" w:hAnsi="Times New Roman"/>
        </w:rPr>
        <w:t>国有资本经营预算草案，经</w:t>
      </w:r>
      <w:r>
        <w:rPr>
          <w:rFonts w:hint="eastAsia" w:ascii="Times New Roman" w:hAnsi="Times New Roman"/>
          <w:lang w:eastAsia="zh-CN"/>
        </w:rPr>
        <w:t>区</w:t>
      </w:r>
      <w:r>
        <w:rPr>
          <w:rFonts w:hint="eastAsia" w:ascii="Times New Roman" w:hAnsi="Times New Roman"/>
        </w:rPr>
        <w:t>政府审定后，报</w:t>
      </w:r>
      <w:r>
        <w:rPr>
          <w:rFonts w:hint="eastAsia" w:ascii="Times New Roman" w:hAnsi="Times New Roman"/>
          <w:lang w:eastAsia="zh-CN"/>
        </w:rPr>
        <w:t>区</w:t>
      </w:r>
      <w:r>
        <w:rPr>
          <w:rFonts w:hint="eastAsia" w:ascii="Times New Roman" w:hAnsi="Times New Roman"/>
        </w:rPr>
        <w:t>人民代表大会审查。</w:t>
      </w:r>
    </w:p>
    <w:p w14:paraId="3844469E">
      <w:pPr>
        <w:rPr>
          <w:rFonts w:hint="eastAsia" w:ascii="Times New Roman" w:hAnsi="Times New Roman"/>
        </w:rPr>
      </w:pPr>
      <w:r>
        <w:rPr>
          <w:rFonts w:hint="eastAsia" w:ascii="Times New Roman" w:hAnsi="Times New Roman" w:eastAsia="黑体" w:cs="黑体"/>
        </w:rPr>
        <w:t>第十七条</w:t>
      </w:r>
      <w:r>
        <w:rPr>
          <w:rFonts w:hint="eastAsia" w:ascii="Times New Roman" w:hAnsi="Times New Roman"/>
        </w:rPr>
        <w:t xml:space="preserve"> </w:t>
      </w:r>
      <w:r>
        <w:rPr>
          <w:rFonts w:hint="eastAsia" w:ascii="Times New Roman" w:hAnsi="Times New Roman"/>
          <w:highlight w:val="none"/>
          <w:lang w:eastAsia="zh-CN"/>
        </w:rPr>
        <w:t>区级</w:t>
      </w:r>
      <w:r>
        <w:rPr>
          <w:rFonts w:hint="eastAsia" w:ascii="Times New Roman" w:hAnsi="Times New Roman"/>
          <w:highlight w:val="none"/>
        </w:rPr>
        <w:t>国有资本经营预算草案经</w:t>
      </w:r>
      <w:r>
        <w:rPr>
          <w:rFonts w:hint="eastAsia" w:ascii="Times New Roman" w:hAnsi="Times New Roman"/>
          <w:highlight w:val="none"/>
          <w:lang w:eastAsia="zh-CN"/>
        </w:rPr>
        <w:t>区</w:t>
      </w:r>
      <w:r>
        <w:rPr>
          <w:rFonts w:hint="eastAsia" w:ascii="Times New Roman" w:hAnsi="Times New Roman"/>
          <w:highlight w:val="none"/>
        </w:rPr>
        <w:t>人民代表大会批准后，</w:t>
      </w:r>
      <w:r>
        <w:rPr>
          <w:rFonts w:hint="eastAsia" w:ascii="Times New Roman" w:hAnsi="Times New Roman"/>
          <w:highlight w:val="none"/>
          <w:lang w:eastAsia="zh-CN"/>
        </w:rPr>
        <w:t>区财政</w:t>
      </w:r>
      <w:r>
        <w:rPr>
          <w:rFonts w:hint="eastAsia" w:ascii="Times New Roman" w:hAnsi="Times New Roman"/>
          <w:highlight w:val="none"/>
        </w:rPr>
        <w:t>局应当在</w:t>
      </w:r>
      <w:r>
        <w:rPr>
          <w:rFonts w:hint="default" w:ascii="Times New Roman" w:hAnsi="Times New Roman" w:cs="Times New Roman"/>
          <w:highlight w:val="none"/>
        </w:rPr>
        <w:t>20</w:t>
      </w:r>
      <w:r>
        <w:rPr>
          <w:rFonts w:hint="eastAsia" w:ascii="Times New Roman" w:hAnsi="Times New Roman"/>
          <w:highlight w:val="none"/>
        </w:rPr>
        <w:t>日内向有关国资预算单位批复预算。</w:t>
      </w:r>
    </w:p>
    <w:p w14:paraId="02C95C7A">
      <w:pPr>
        <w:rPr>
          <w:rFonts w:hint="eastAsia" w:ascii="Times New Roman" w:hAnsi="Times New Roman"/>
        </w:rPr>
      </w:pPr>
      <w:r>
        <w:rPr>
          <w:rFonts w:hint="eastAsia" w:ascii="Times New Roman" w:hAnsi="Times New Roman"/>
          <w:highlight w:val="none"/>
        </w:rPr>
        <w:t>国资预算单位应当在接到</w:t>
      </w:r>
      <w:r>
        <w:rPr>
          <w:rFonts w:hint="eastAsia" w:ascii="Times New Roman" w:hAnsi="Times New Roman"/>
          <w:highlight w:val="none"/>
          <w:lang w:eastAsia="zh-CN"/>
        </w:rPr>
        <w:t>区财政</w:t>
      </w:r>
      <w:r>
        <w:rPr>
          <w:rFonts w:hint="eastAsia" w:ascii="Times New Roman" w:hAnsi="Times New Roman"/>
          <w:highlight w:val="none"/>
        </w:rPr>
        <w:t>局批复的本单位预算后</w:t>
      </w:r>
      <w:r>
        <w:rPr>
          <w:rFonts w:hint="default" w:ascii="Times New Roman" w:hAnsi="Times New Roman" w:cs="Times New Roman"/>
          <w:highlight w:val="none"/>
        </w:rPr>
        <w:t>15</w:t>
      </w:r>
      <w:r>
        <w:rPr>
          <w:rFonts w:hint="eastAsia" w:ascii="Times New Roman" w:hAnsi="Times New Roman"/>
          <w:highlight w:val="none"/>
        </w:rPr>
        <w:t>日内向所监管 （所属）企业批复预算。</w:t>
      </w:r>
    </w:p>
    <w:p w14:paraId="12BFC91F">
      <w:pPr>
        <w:pStyle w:val="3"/>
        <w:bidi w:val="0"/>
        <w:ind w:left="0" w:leftChars="0" w:firstLine="0" w:firstLineChars="0"/>
        <w:jc w:val="center"/>
        <w:rPr>
          <w:rFonts w:hint="eastAsia" w:ascii="Times New Roman" w:hAnsi="Times New Roman"/>
        </w:rPr>
      </w:pPr>
      <w:r>
        <w:rPr>
          <w:rFonts w:hint="eastAsia" w:ascii="Times New Roman" w:hAnsi="Times New Roman"/>
        </w:rPr>
        <w:t>第五章 预算执行</w:t>
      </w:r>
    </w:p>
    <w:p w14:paraId="44622F4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rPr>
      </w:pPr>
      <w:r>
        <w:rPr>
          <w:rFonts w:hint="eastAsia" w:ascii="黑体" w:hAnsi="黑体" w:eastAsia="黑体" w:cs="黑体"/>
        </w:rPr>
        <w:t>第十八条</w:t>
      </w:r>
      <w:r>
        <w:rPr>
          <w:rFonts w:hint="eastAsia" w:ascii="Times New Roman" w:hAnsi="Times New Roman"/>
        </w:rPr>
        <w:t xml:space="preserve"> 国资预算企业应将按规定上缴的国有资本收益及时、足额上缴</w:t>
      </w:r>
      <w:r>
        <w:rPr>
          <w:rFonts w:hint="eastAsia" w:ascii="Times New Roman" w:hAnsi="Times New Roman"/>
          <w:lang w:eastAsia="zh-CN"/>
        </w:rPr>
        <w:t>区财政</w:t>
      </w:r>
      <w:r>
        <w:rPr>
          <w:rFonts w:hint="eastAsia" w:ascii="Times New Roman" w:hAnsi="Times New Roman"/>
        </w:rPr>
        <w:t>，任何部门和单位不得擅自减免。</w:t>
      </w:r>
    </w:p>
    <w:p w14:paraId="7B7D2BA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rPr>
      </w:pPr>
      <w:r>
        <w:rPr>
          <w:rFonts w:hint="eastAsia" w:ascii="黑体" w:hAnsi="黑体" w:eastAsia="黑体" w:cs="黑体"/>
        </w:rPr>
        <w:t>第十九条</w:t>
      </w:r>
      <w:r>
        <w:rPr>
          <w:rFonts w:hint="eastAsia" w:ascii="Times New Roman" w:hAnsi="Times New Roman"/>
        </w:rPr>
        <w:t xml:space="preserve"> </w:t>
      </w:r>
      <w:r>
        <w:rPr>
          <w:rFonts w:hint="eastAsia" w:ascii="Times New Roman" w:hAnsi="Times New Roman"/>
          <w:lang w:eastAsia="zh-CN"/>
        </w:rPr>
        <w:t>区级</w:t>
      </w:r>
      <w:r>
        <w:rPr>
          <w:rFonts w:hint="eastAsia" w:ascii="Times New Roman" w:hAnsi="Times New Roman"/>
        </w:rPr>
        <w:t>国有资本经营预算支出应当按照经批复的预算执行，未经批准不得擅自调剂。</w:t>
      </w:r>
    </w:p>
    <w:p w14:paraId="79C9F4A3">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rPr>
      </w:pPr>
      <w:r>
        <w:rPr>
          <w:rFonts w:hint="eastAsia" w:ascii="黑体" w:hAnsi="黑体" w:eastAsia="黑体" w:cs="黑体"/>
        </w:rPr>
        <w:t>第二十条</w:t>
      </w:r>
      <w:r>
        <w:rPr>
          <w:rFonts w:hint="eastAsia" w:ascii="Times New Roman" w:hAnsi="Times New Roman"/>
        </w:rPr>
        <w:t xml:space="preserve"> </w:t>
      </w:r>
      <w:r>
        <w:rPr>
          <w:rFonts w:hint="eastAsia" w:ascii="Times New Roman" w:hAnsi="Times New Roman"/>
          <w:lang w:eastAsia="zh-CN"/>
        </w:rPr>
        <w:t>区级</w:t>
      </w:r>
      <w:r>
        <w:rPr>
          <w:rFonts w:hint="eastAsia" w:ascii="Times New Roman" w:hAnsi="Times New Roman"/>
        </w:rPr>
        <w:t>国有资本经营预算资金的收付按照财政国库集中收付制度有关规定执行。</w:t>
      </w:r>
    </w:p>
    <w:p w14:paraId="5CC5937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rPr>
      </w:pPr>
      <w:r>
        <w:rPr>
          <w:rFonts w:hint="eastAsia" w:ascii="黑体" w:hAnsi="黑体" w:eastAsia="黑体" w:cs="黑体"/>
        </w:rPr>
        <w:t>第二十一条</w:t>
      </w:r>
      <w:r>
        <w:rPr>
          <w:rFonts w:hint="eastAsia" w:ascii="Times New Roman" w:hAnsi="Times New Roman"/>
        </w:rPr>
        <w:t xml:space="preserve"> </w:t>
      </w:r>
      <w:r>
        <w:rPr>
          <w:rFonts w:hint="eastAsia" w:ascii="Times New Roman" w:hAnsi="Times New Roman"/>
          <w:lang w:eastAsia="zh-CN"/>
        </w:rPr>
        <w:t>区级</w:t>
      </w:r>
      <w:r>
        <w:rPr>
          <w:rFonts w:hint="eastAsia" w:ascii="Times New Roman" w:hAnsi="Times New Roman"/>
        </w:rPr>
        <w:t>国有资本经营预算年度执行中有超收收入的，应当在下一年度安排使用；出现短收的，应当通过减少支出实现收支平衡。国家另有规定的除外。</w:t>
      </w:r>
    </w:p>
    <w:p w14:paraId="2F27A82B">
      <w:pPr>
        <w:pStyle w:val="3"/>
        <w:bidi w:val="0"/>
        <w:ind w:left="0" w:leftChars="0" w:firstLine="0" w:firstLineChars="0"/>
        <w:jc w:val="center"/>
        <w:rPr>
          <w:rFonts w:hint="eastAsia" w:ascii="Times New Roman" w:hAnsi="Times New Roman"/>
        </w:rPr>
      </w:pPr>
      <w:r>
        <w:rPr>
          <w:rFonts w:hint="eastAsia" w:ascii="Times New Roman" w:hAnsi="Times New Roman"/>
          <w:lang w:val="en-US" w:eastAsia="zh-CN"/>
        </w:rPr>
        <w:t xml:space="preserve">第六章 </w:t>
      </w:r>
      <w:r>
        <w:rPr>
          <w:rFonts w:hint="eastAsia" w:ascii="Times New Roman" w:hAnsi="Times New Roman"/>
        </w:rPr>
        <w:t>预算调整</w:t>
      </w:r>
    </w:p>
    <w:p w14:paraId="68BF7580">
      <w:pPr>
        <w:bidi w:val="0"/>
        <w:rPr>
          <w:rFonts w:hint="eastAsia"/>
        </w:rPr>
      </w:pPr>
      <w:r>
        <w:rPr>
          <w:rFonts w:hint="eastAsia" w:ascii="黑体" w:hAnsi="黑体" w:eastAsia="黑体" w:cs="黑体"/>
          <w:b w:val="0"/>
          <w:bCs/>
        </w:rPr>
        <w:t>第二十二条</w:t>
      </w:r>
      <w:r>
        <w:rPr>
          <w:rFonts w:hint="eastAsia" w:ascii="Times New Roman" w:hAnsi="Times New Roman"/>
          <w:b w:val="0"/>
          <w:bCs/>
        </w:rPr>
        <w:t xml:space="preserve"> </w:t>
      </w:r>
      <w:r>
        <w:rPr>
          <w:rFonts w:hint="eastAsia"/>
        </w:rPr>
        <w:t>经</w:t>
      </w:r>
      <w:r>
        <w:rPr>
          <w:rFonts w:hint="eastAsia"/>
          <w:lang w:eastAsia="zh-CN"/>
        </w:rPr>
        <w:t>区</w:t>
      </w:r>
      <w:r>
        <w:rPr>
          <w:rFonts w:hint="eastAsia"/>
        </w:rPr>
        <w:t>人民代表大会批准的</w:t>
      </w:r>
      <w:r>
        <w:rPr>
          <w:rFonts w:hint="eastAsia"/>
          <w:lang w:eastAsia="zh-CN"/>
        </w:rPr>
        <w:t>区级</w:t>
      </w:r>
      <w:r>
        <w:rPr>
          <w:rFonts w:hint="eastAsia"/>
        </w:rPr>
        <w:t>国有资本经营预算，在执行中出现下列情况之一的，应当进行预算调整：</w:t>
      </w:r>
    </w:p>
    <w:p w14:paraId="0B5CFDD4">
      <w:pPr>
        <w:bidi w:val="0"/>
        <w:rPr>
          <w:rFonts w:hint="eastAsia"/>
        </w:rPr>
      </w:pPr>
      <w:r>
        <w:rPr>
          <w:rFonts w:hint="eastAsia"/>
        </w:rPr>
        <w:t>（一）需要增加或者减少预算总支出的；</w:t>
      </w:r>
    </w:p>
    <w:p w14:paraId="5C1F28C2">
      <w:pPr>
        <w:bidi w:val="0"/>
        <w:rPr>
          <w:rFonts w:hint="eastAsia"/>
        </w:rPr>
      </w:pPr>
      <w:r>
        <w:rPr>
          <w:rFonts w:hint="eastAsia"/>
        </w:rPr>
        <w:t>（二）需要调整预算安排的重点支出数额的。</w:t>
      </w:r>
    </w:p>
    <w:p w14:paraId="0C5C1CC7">
      <w:pPr>
        <w:bidi w:val="0"/>
        <w:rPr>
          <w:rFonts w:hint="eastAsia"/>
        </w:rPr>
      </w:pPr>
      <w:r>
        <w:rPr>
          <w:rFonts w:hint="eastAsia"/>
          <w:lang w:eastAsia="zh-CN"/>
        </w:rPr>
        <w:t>区财政</w:t>
      </w:r>
      <w:r>
        <w:rPr>
          <w:rFonts w:hint="eastAsia"/>
        </w:rPr>
        <w:t>局应当编制国有资本经营预算调整方案，说明预算调整的理由、项目和数额，按照规定程序，报</w:t>
      </w:r>
      <w:r>
        <w:rPr>
          <w:rFonts w:hint="eastAsia"/>
          <w:lang w:eastAsia="zh-CN"/>
        </w:rPr>
        <w:t>区</w:t>
      </w:r>
      <w:r>
        <w:rPr>
          <w:rFonts w:hint="eastAsia"/>
        </w:rPr>
        <w:t>人民代表大会常务委员会审查和批准。</w:t>
      </w:r>
    </w:p>
    <w:p w14:paraId="6142E910">
      <w:pPr>
        <w:bidi w:val="0"/>
        <w:rPr>
          <w:rFonts w:hint="eastAsia"/>
        </w:rPr>
      </w:pPr>
      <w:r>
        <w:rPr>
          <w:rFonts w:hint="eastAsia"/>
        </w:rPr>
        <w:t>在预算执行中，因中央、省</w:t>
      </w:r>
      <w:r>
        <w:rPr>
          <w:rFonts w:hint="eastAsia"/>
          <w:lang w:eastAsia="zh-CN"/>
        </w:rPr>
        <w:t>、</w:t>
      </w:r>
      <w:r>
        <w:rPr>
          <w:rFonts w:hint="eastAsia"/>
          <w:lang w:val="en-US" w:eastAsia="zh-CN"/>
        </w:rPr>
        <w:t>市</w:t>
      </w:r>
      <w:r>
        <w:rPr>
          <w:rFonts w:hint="eastAsia"/>
        </w:rPr>
        <w:t>增加不需要</w:t>
      </w:r>
      <w:r>
        <w:rPr>
          <w:rFonts w:hint="eastAsia"/>
          <w:lang w:val="en-US" w:eastAsia="zh-CN"/>
        </w:rPr>
        <w:t>区</w:t>
      </w:r>
      <w:r>
        <w:rPr>
          <w:rFonts w:hint="eastAsia"/>
        </w:rPr>
        <w:t>政府提供配套资金的专项转移支付而引起的预算支出变化，不属于预算调整。</w:t>
      </w:r>
    </w:p>
    <w:p w14:paraId="724CA689">
      <w:pPr>
        <w:bidi w:val="0"/>
        <w:rPr>
          <w:rFonts w:hint="eastAsia"/>
        </w:rPr>
      </w:pPr>
      <w:r>
        <w:rPr>
          <w:rFonts w:hint="eastAsia" w:ascii="黑体" w:hAnsi="黑体" w:eastAsia="黑体" w:cs="黑体"/>
          <w:b w:val="0"/>
          <w:bCs/>
        </w:rPr>
        <w:t>第二十三条</w:t>
      </w:r>
      <w:r>
        <w:rPr>
          <w:rFonts w:hint="eastAsia" w:ascii="Times New Roman" w:hAnsi="Times New Roman"/>
          <w:b w:val="0"/>
          <w:bCs/>
        </w:rPr>
        <w:t xml:space="preserve"> </w:t>
      </w:r>
      <w:r>
        <w:rPr>
          <w:rFonts w:hint="eastAsia"/>
        </w:rPr>
        <w:t>因国家和省、市</w:t>
      </w:r>
      <w:r>
        <w:rPr>
          <w:rFonts w:hint="eastAsia"/>
          <w:lang w:eastAsia="zh-CN"/>
        </w:rPr>
        <w:t>、</w:t>
      </w:r>
      <w:r>
        <w:rPr>
          <w:rFonts w:hint="eastAsia"/>
          <w:lang w:val="en-US" w:eastAsia="zh-CN"/>
        </w:rPr>
        <w:t>区</w:t>
      </w:r>
      <w:r>
        <w:rPr>
          <w:rFonts w:hint="eastAsia"/>
        </w:rPr>
        <w:t>政策调整等特殊情况需要调整预算的，</w:t>
      </w:r>
      <w:r>
        <w:rPr>
          <w:rFonts w:hint="eastAsia"/>
          <w:b w:val="0"/>
          <w:bCs w:val="0"/>
          <w:highlight w:val="none"/>
        </w:rPr>
        <w:t>国资预算单位</w:t>
      </w:r>
      <w:r>
        <w:rPr>
          <w:rFonts w:hint="eastAsia"/>
        </w:rPr>
        <w:t>应当以书面形式提出申请，报</w:t>
      </w:r>
      <w:r>
        <w:rPr>
          <w:rFonts w:hint="eastAsia"/>
          <w:lang w:eastAsia="zh-CN"/>
        </w:rPr>
        <w:t>区财政</w:t>
      </w:r>
      <w:r>
        <w:rPr>
          <w:rFonts w:hint="eastAsia"/>
        </w:rPr>
        <w:t>局审核。</w:t>
      </w:r>
    </w:p>
    <w:p w14:paraId="0DC2BFE2">
      <w:pPr>
        <w:pStyle w:val="2"/>
        <w:rPr>
          <w:rFonts w:hint="eastAsia" w:ascii="Times New Roman" w:hAnsi="Times New Roman"/>
          <w:b w:val="0"/>
          <w:bCs/>
        </w:rPr>
      </w:pPr>
      <w:r>
        <w:rPr>
          <w:rFonts w:hint="eastAsia" w:ascii="黑体" w:hAnsi="黑体" w:eastAsia="黑体" w:cs="黑体"/>
          <w:b w:val="0"/>
          <w:bCs/>
        </w:rPr>
        <w:t>第二十四条</w:t>
      </w:r>
      <w:r>
        <w:rPr>
          <w:rFonts w:hint="eastAsia" w:ascii="Times New Roman" w:hAnsi="Times New Roman"/>
          <w:b w:val="0"/>
          <w:bCs/>
        </w:rPr>
        <w:t xml:space="preserve"> 年度</w:t>
      </w:r>
      <w:r>
        <w:rPr>
          <w:rFonts w:hint="eastAsia" w:ascii="Times New Roman" w:hAnsi="Times New Roman"/>
          <w:b w:val="0"/>
          <w:bCs/>
          <w:lang w:eastAsia="zh-CN"/>
        </w:rPr>
        <w:t>区级</w:t>
      </w:r>
      <w:r>
        <w:rPr>
          <w:rFonts w:hint="eastAsia" w:ascii="Times New Roman" w:hAnsi="Times New Roman"/>
          <w:b w:val="0"/>
          <w:bCs/>
        </w:rPr>
        <w:t>国有资本经营预算确定后，企业改变产权或财务隶属关系引起预算级次和关系变化的，应当同时办理预算划转手续。</w:t>
      </w:r>
    </w:p>
    <w:p w14:paraId="464C1788">
      <w:pPr>
        <w:pStyle w:val="3"/>
        <w:bidi w:val="0"/>
        <w:ind w:left="0" w:leftChars="0" w:firstLine="0" w:firstLineChars="0"/>
        <w:jc w:val="center"/>
        <w:rPr>
          <w:rFonts w:hint="eastAsia" w:ascii="Times New Roman" w:hAnsi="Times New Roman"/>
        </w:rPr>
      </w:pPr>
      <w:r>
        <w:rPr>
          <w:rFonts w:hint="eastAsia" w:ascii="Times New Roman" w:hAnsi="Times New Roman"/>
        </w:rPr>
        <w:t>第七章 决 算</w:t>
      </w:r>
    </w:p>
    <w:p w14:paraId="0D1B5E38">
      <w:pPr>
        <w:pStyle w:val="2"/>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b w:val="0"/>
          <w:bCs/>
          <w:lang w:val="en-US" w:eastAsia="zh-CN"/>
        </w:rPr>
      </w:pPr>
      <w:r>
        <w:rPr>
          <w:rFonts w:hint="eastAsia" w:ascii="黑体" w:hAnsi="黑体" w:eastAsia="黑体" w:cs="黑体"/>
          <w:b w:val="0"/>
          <w:bCs/>
        </w:rPr>
        <w:t>第二十五条</w:t>
      </w:r>
      <w:r>
        <w:rPr>
          <w:rFonts w:hint="eastAsia" w:ascii="Times New Roman" w:hAnsi="Times New Roman"/>
          <w:b w:val="0"/>
          <w:bCs/>
        </w:rPr>
        <w:t xml:space="preserve"> </w:t>
      </w:r>
      <w:r>
        <w:rPr>
          <w:rFonts w:hint="eastAsia" w:ascii="Times New Roman" w:hAnsi="Times New Roman"/>
          <w:b w:val="0"/>
          <w:bCs/>
          <w:lang w:eastAsia="zh-CN"/>
        </w:rPr>
        <w:t>区财政</w:t>
      </w:r>
      <w:r>
        <w:rPr>
          <w:rFonts w:hint="eastAsia" w:ascii="Times New Roman" w:hAnsi="Times New Roman"/>
          <w:b w:val="0"/>
          <w:bCs/>
        </w:rPr>
        <w:t>局按照编制决算的统一要求，部署编制年度</w:t>
      </w:r>
      <w:r>
        <w:rPr>
          <w:rFonts w:hint="eastAsia" w:ascii="Times New Roman" w:hAnsi="Times New Roman"/>
          <w:b w:val="0"/>
          <w:bCs/>
          <w:lang w:eastAsia="zh-CN"/>
        </w:rPr>
        <w:t>区级</w:t>
      </w:r>
      <w:r>
        <w:rPr>
          <w:rFonts w:hint="eastAsia" w:ascii="Times New Roman" w:hAnsi="Times New Roman"/>
          <w:b w:val="0"/>
          <w:bCs/>
        </w:rPr>
        <w:t>国有资本经营决算草案工作。</w:t>
      </w:r>
      <w:r>
        <w:rPr>
          <w:rFonts w:hint="eastAsia" w:ascii="Times New Roman" w:hAnsi="Times New Roman"/>
          <w:b w:val="0"/>
          <w:bCs/>
          <w:highlight w:val="none"/>
          <w:lang w:val="en-US" w:eastAsia="zh-CN"/>
        </w:rPr>
        <w:t>国资预算单位</w:t>
      </w:r>
      <w:r>
        <w:rPr>
          <w:rFonts w:hint="eastAsia" w:ascii="Times New Roman" w:hAnsi="Times New Roman"/>
          <w:b w:val="0"/>
          <w:bCs/>
          <w:lang w:val="en-US" w:eastAsia="zh-CN"/>
        </w:rPr>
        <w:t>编制本单位国有资本经营决算草案报区财政局。</w:t>
      </w:r>
    </w:p>
    <w:p w14:paraId="6422B45C">
      <w:pPr>
        <w:rPr>
          <w:rFonts w:hint="eastAsia" w:ascii="Times New Roman" w:hAnsi="Times New Roman"/>
        </w:rPr>
      </w:pPr>
      <w:r>
        <w:rPr>
          <w:rFonts w:hint="eastAsia" w:ascii="黑体" w:hAnsi="黑体" w:eastAsia="黑体" w:cs="黑体"/>
        </w:rPr>
        <w:t>第二十六条</w:t>
      </w:r>
      <w:r>
        <w:rPr>
          <w:rFonts w:hint="eastAsia" w:ascii="Times New Roman" w:hAnsi="Times New Roman"/>
        </w:rPr>
        <w:t xml:space="preserve"> </w:t>
      </w:r>
      <w:r>
        <w:rPr>
          <w:rFonts w:hint="eastAsia" w:ascii="Times New Roman" w:hAnsi="Times New Roman"/>
          <w:lang w:eastAsia="zh-CN"/>
        </w:rPr>
        <w:t>区财政</w:t>
      </w:r>
      <w:r>
        <w:rPr>
          <w:rFonts w:hint="eastAsia" w:ascii="Times New Roman" w:hAnsi="Times New Roman"/>
        </w:rPr>
        <w:t>局根据当年国有资本经营预算执行情况和</w:t>
      </w:r>
      <w:r>
        <w:rPr>
          <w:rFonts w:hint="eastAsia" w:ascii="Times New Roman" w:hAnsi="Times New Roman"/>
          <w:highlight w:val="none"/>
        </w:rPr>
        <w:t>国资预算单位</w:t>
      </w:r>
      <w:r>
        <w:rPr>
          <w:rFonts w:hint="eastAsia" w:ascii="Times New Roman" w:hAnsi="Times New Roman"/>
        </w:rPr>
        <w:t>上报的决算草案，编制</w:t>
      </w:r>
      <w:r>
        <w:rPr>
          <w:rFonts w:hint="eastAsia" w:ascii="Times New Roman" w:hAnsi="Times New Roman"/>
          <w:lang w:eastAsia="zh-CN"/>
        </w:rPr>
        <w:t>区级</w:t>
      </w:r>
      <w:r>
        <w:rPr>
          <w:rFonts w:hint="eastAsia" w:ascii="Times New Roman" w:hAnsi="Times New Roman"/>
        </w:rPr>
        <w:t>国有资本经营决算草案。</w:t>
      </w:r>
    </w:p>
    <w:p w14:paraId="6ECF126D">
      <w:pPr>
        <w:rPr>
          <w:rFonts w:hint="eastAsia" w:ascii="Times New Roman" w:hAnsi="Times New Roman"/>
        </w:rPr>
      </w:pPr>
      <w:r>
        <w:rPr>
          <w:rFonts w:hint="eastAsia" w:ascii="黑体" w:hAnsi="黑体" w:eastAsia="黑体" w:cs="黑体"/>
        </w:rPr>
        <w:t>第二十七条</w:t>
      </w:r>
      <w:r>
        <w:rPr>
          <w:rFonts w:hint="eastAsia" w:ascii="Times New Roman" w:hAnsi="Times New Roman"/>
        </w:rPr>
        <w:t xml:space="preserve"> </w:t>
      </w:r>
      <w:r>
        <w:rPr>
          <w:rFonts w:hint="eastAsia" w:ascii="Times New Roman" w:hAnsi="Times New Roman"/>
          <w:lang w:eastAsia="zh-CN"/>
        </w:rPr>
        <w:t>区级</w:t>
      </w:r>
      <w:r>
        <w:rPr>
          <w:rFonts w:hint="eastAsia" w:ascii="Times New Roman" w:hAnsi="Times New Roman"/>
        </w:rPr>
        <w:t>国有资本经营决算草案，经</w:t>
      </w:r>
      <w:r>
        <w:rPr>
          <w:rFonts w:hint="eastAsia" w:ascii="Times New Roman" w:hAnsi="Times New Roman"/>
          <w:lang w:eastAsia="zh-CN"/>
        </w:rPr>
        <w:t>区</w:t>
      </w:r>
      <w:r>
        <w:rPr>
          <w:rFonts w:hint="eastAsia" w:ascii="Times New Roman" w:hAnsi="Times New Roman"/>
        </w:rPr>
        <w:t>政府审计部门审计后，报</w:t>
      </w:r>
      <w:r>
        <w:rPr>
          <w:rFonts w:hint="eastAsia" w:ascii="Times New Roman" w:hAnsi="Times New Roman"/>
          <w:lang w:eastAsia="zh-CN"/>
        </w:rPr>
        <w:t>区</w:t>
      </w:r>
      <w:r>
        <w:rPr>
          <w:rFonts w:hint="eastAsia" w:ascii="Times New Roman" w:hAnsi="Times New Roman"/>
        </w:rPr>
        <w:t>政府审定，并按规定提请</w:t>
      </w:r>
      <w:r>
        <w:rPr>
          <w:rFonts w:hint="eastAsia" w:ascii="Times New Roman" w:hAnsi="Times New Roman"/>
          <w:lang w:eastAsia="zh-CN"/>
        </w:rPr>
        <w:t>区</w:t>
      </w:r>
      <w:r>
        <w:rPr>
          <w:rFonts w:hint="eastAsia" w:ascii="Times New Roman" w:hAnsi="Times New Roman"/>
        </w:rPr>
        <w:t>人民代表大会常务委员会审查。</w:t>
      </w:r>
    </w:p>
    <w:p w14:paraId="5DBA4A38">
      <w:pPr>
        <w:rPr>
          <w:rFonts w:hint="eastAsia" w:ascii="Times New Roman" w:hAnsi="Times New Roman"/>
          <w:lang w:eastAsia="zh-CN"/>
        </w:rPr>
      </w:pPr>
      <w:r>
        <w:rPr>
          <w:rFonts w:hint="eastAsia" w:ascii="黑体" w:hAnsi="黑体" w:eastAsia="黑体" w:cs="黑体"/>
        </w:rPr>
        <w:t>第二十八条</w:t>
      </w:r>
      <w:r>
        <w:rPr>
          <w:rFonts w:hint="eastAsia" w:ascii="Times New Roman" w:hAnsi="Times New Roman"/>
        </w:rPr>
        <w:t xml:space="preserve"> </w:t>
      </w:r>
      <w:r>
        <w:rPr>
          <w:rFonts w:hint="eastAsia" w:ascii="Times New Roman" w:hAnsi="Times New Roman"/>
          <w:highlight w:val="none"/>
          <w:lang w:eastAsia="zh-CN"/>
        </w:rPr>
        <w:t>区级</w:t>
      </w:r>
      <w:r>
        <w:rPr>
          <w:rFonts w:hint="eastAsia" w:ascii="Times New Roman" w:hAnsi="Times New Roman"/>
          <w:highlight w:val="none"/>
        </w:rPr>
        <w:t>国有资本经营决算草案经</w:t>
      </w:r>
      <w:r>
        <w:rPr>
          <w:rFonts w:hint="eastAsia" w:ascii="Times New Roman" w:hAnsi="Times New Roman"/>
          <w:highlight w:val="none"/>
          <w:lang w:eastAsia="zh-CN"/>
        </w:rPr>
        <w:t>区</w:t>
      </w:r>
      <w:r>
        <w:rPr>
          <w:rFonts w:hint="eastAsia" w:ascii="Times New Roman" w:hAnsi="Times New Roman"/>
          <w:highlight w:val="none"/>
        </w:rPr>
        <w:t>人民代表大会常务委员会批准后，</w:t>
      </w:r>
      <w:r>
        <w:rPr>
          <w:rFonts w:hint="eastAsia" w:ascii="Times New Roman" w:hAnsi="Times New Roman"/>
          <w:highlight w:val="none"/>
          <w:lang w:eastAsia="zh-CN"/>
        </w:rPr>
        <w:t>区财政</w:t>
      </w:r>
      <w:r>
        <w:rPr>
          <w:rFonts w:hint="eastAsia" w:ascii="Times New Roman" w:hAnsi="Times New Roman"/>
          <w:highlight w:val="none"/>
        </w:rPr>
        <w:t>局应当在20日内向有关国资预算单位批复决算。国资预算单位应当在接到</w:t>
      </w:r>
      <w:r>
        <w:rPr>
          <w:rFonts w:hint="eastAsia" w:ascii="Times New Roman" w:hAnsi="Times New Roman"/>
          <w:highlight w:val="none"/>
          <w:lang w:eastAsia="zh-CN"/>
        </w:rPr>
        <w:t>区财政</w:t>
      </w:r>
      <w:r>
        <w:rPr>
          <w:rFonts w:hint="eastAsia" w:ascii="Times New Roman" w:hAnsi="Times New Roman"/>
          <w:highlight w:val="none"/>
        </w:rPr>
        <w:t>局批复的本单位决算后15日内向所监管 （所属）企业批复决算</w:t>
      </w:r>
      <w:r>
        <w:rPr>
          <w:rFonts w:hint="eastAsia" w:ascii="Times New Roman" w:hAnsi="Times New Roman"/>
          <w:lang w:eastAsia="zh-CN"/>
        </w:rPr>
        <w:t>。</w:t>
      </w:r>
    </w:p>
    <w:p w14:paraId="76A32AAE">
      <w:pPr>
        <w:pStyle w:val="3"/>
        <w:bidi w:val="0"/>
        <w:ind w:left="0" w:leftChars="0" w:firstLine="0" w:firstLineChars="0"/>
        <w:jc w:val="center"/>
        <w:rPr>
          <w:rFonts w:hint="eastAsia" w:ascii="Times New Roman" w:hAnsi="Times New Roman"/>
        </w:rPr>
      </w:pPr>
      <w:r>
        <w:rPr>
          <w:rFonts w:hint="eastAsia" w:ascii="Times New Roman" w:hAnsi="Times New Roman"/>
          <w:lang w:val="en-US" w:eastAsia="zh-CN"/>
        </w:rPr>
        <w:t xml:space="preserve">第八章 </w:t>
      </w:r>
      <w:r>
        <w:rPr>
          <w:rFonts w:hint="eastAsia" w:ascii="Times New Roman" w:hAnsi="Times New Roman"/>
        </w:rPr>
        <w:t>绩效管理</w:t>
      </w:r>
    </w:p>
    <w:p w14:paraId="7649F8F9">
      <w:pPr>
        <w:rPr>
          <w:rFonts w:hint="eastAsia" w:ascii="Times New Roman" w:hAnsi="Times New Roman"/>
        </w:rPr>
      </w:pPr>
      <w:r>
        <w:rPr>
          <w:rFonts w:hint="eastAsia" w:ascii="黑体" w:hAnsi="黑体" w:eastAsia="黑体" w:cs="黑体"/>
        </w:rPr>
        <w:t>第二十九条</w:t>
      </w:r>
      <w:r>
        <w:rPr>
          <w:rFonts w:hint="eastAsia" w:ascii="Times New Roman" w:hAnsi="Times New Roman"/>
        </w:rPr>
        <w:t xml:space="preserve"> </w:t>
      </w:r>
      <w:r>
        <w:rPr>
          <w:rFonts w:hint="eastAsia" w:ascii="Times New Roman" w:hAnsi="Times New Roman"/>
          <w:lang w:eastAsia="zh-CN"/>
        </w:rPr>
        <w:t>区财政</w:t>
      </w:r>
      <w:r>
        <w:rPr>
          <w:rFonts w:hint="eastAsia" w:ascii="Times New Roman" w:hAnsi="Times New Roman"/>
        </w:rPr>
        <w:t>局牵头实施</w:t>
      </w:r>
      <w:r>
        <w:rPr>
          <w:rFonts w:hint="eastAsia" w:ascii="Times New Roman" w:hAnsi="Times New Roman"/>
          <w:lang w:eastAsia="zh-CN"/>
        </w:rPr>
        <w:t>区级</w:t>
      </w:r>
      <w:r>
        <w:rPr>
          <w:rFonts w:hint="eastAsia" w:ascii="Times New Roman" w:hAnsi="Times New Roman"/>
        </w:rPr>
        <w:t>国有资本经营预算绩效管理。</w:t>
      </w:r>
    </w:p>
    <w:p w14:paraId="294C9FE3">
      <w:pPr>
        <w:rPr>
          <w:rFonts w:hint="eastAsia" w:ascii="Times New Roman" w:hAnsi="Times New Roman"/>
        </w:rPr>
      </w:pPr>
      <w:r>
        <w:rPr>
          <w:rFonts w:hint="eastAsia" w:ascii="黑体" w:hAnsi="黑体" w:eastAsia="黑体" w:cs="黑体"/>
        </w:rPr>
        <w:t>第三十条</w:t>
      </w:r>
      <w:r>
        <w:rPr>
          <w:rFonts w:hint="eastAsia" w:ascii="Times New Roman" w:hAnsi="Times New Roman"/>
        </w:rPr>
        <w:t xml:space="preserve"> </w:t>
      </w:r>
      <w:r>
        <w:rPr>
          <w:rFonts w:hint="eastAsia" w:ascii="Times New Roman" w:hAnsi="Times New Roman"/>
          <w:highlight w:val="none"/>
        </w:rPr>
        <w:t>国资预算单位</w:t>
      </w:r>
      <w:r>
        <w:rPr>
          <w:rFonts w:hint="eastAsia" w:ascii="Times New Roman" w:hAnsi="Times New Roman"/>
        </w:rPr>
        <w:t>对</w:t>
      </w:r>
      <w:r>
        <w:rPr>
          <w:rFonts w:hint="eastAsia" w:ascii="Times New Roman" w:hAnsi="Times New Roman"/>
          <w:lang w:eastAsia="zh-CN"/>
        </w:rPr>
        <w:t>区级</w:t>
      </w:r>
      <w:r>
        <w:rPr>
          <w:rFonts w:hint="eastAsia" w:ascii="Times New Roman" w:hAnsi="Times New Roman"/>
        </w:rPr>
        <w:t>国有资本经营预算实施全过程绩效管理，科学设立绩效目标，按规定开展事前绩效评估，加强绩效运行监控和绩效评价。</w:t>
      </w:r>
    </w:p>
    <w:p w14:paraId="51CE83D6">
      <w:pPr>
        <w:rPr>
          <w:rFonts w:hint="eastAsia" w:ascii="Times New Roman" w:hAnsi="Times New Roman"/>
        </w:rPr>
      </w:pPr>
      <w:r>
        <w:rPr>
          <w:rFonts w:hint="eastAsia" w:ascii="黑体" w:hAnsi="黑体" w:eastAsia="黑体" w:cs="黑体"/>
        </w:rPr>
        <w:t>第三十一条</w:t>
      </w:r>
      <w:r>
        <w:rPr>
          <w:rFonts w:hint="eastAsia" w:ascii="Times New Roman" w:hAnsi="Times New Roman"/>
        </w:rPr>
        <w:t xml:space="preserve"> </w:t>
      </w:r>
      <w:r>
        <w:rPr>
          <w:rFonts w:hint="eastAsia" w:ascii="Times New Roman" w:hAnsi="Times New Roman"/>
          <w:highlight w:val="none"/>
        </w:rPr>
        <w:t>国资预算单位</w:t>
      </w:r>
      <w:r>
        <w:rPr>
          <w:rFonts w:hint="eastAsia" w:ascii="Times New Roman" w:hAnsi="Times New Roman"/>
        </w:rPr>
        <w:t>应当对所监管 （所属）企业设置上缴国有资本收益情况的考核指标，纳入企业年度高质量发展绩效考核内容。</w:t>
      </w:r>
    </w:p>
    <w:p w14:paraId="2C134F42">
      <w:pPr>
        <w:rPr>
          <w:rFonts w:hint="eastAsia" w:ascii="Times New Roman" w:hAnsi="Times New Roman"/>
          <w:lang w:eastAsia="zh-CN"/>
        </w:rPr>
      </w:pPr>
      <w:r>
        <w:rPr>
          <w:rFonts w:hint="eastAsia" w:ascii="黑体" w:hAnsi="黑体" w:eastAsia="黑体" w:cs="黑体"/>
        </w:rPr>
        <w:t>第三十二条</w:t>
      </w:r>
      <w:r>
        <w:rPr>
          <w:rFonts w:hint="eastAsia" w:ascii="Times New Roman" w:hAnsi="Times New Roman"/>
        </w:rPr>
        <w:t xml:space="preserve"> </w:t>
      </w:r>
      <w:r>
        <w:rPr>
          <w:rFonts w:hint="eastAsia" w:ascii="Times New Roman" w:hAnsi="Times New Roman"/>
          <w:lang w:eastAsia="zh-CN"/>
        </w:rPr>
        <w:t>区财政</w:t>
      </w:r>
      <w:r>
        <w:rPr>
          <w:rFonts w:hint="eastAsia" w:ascii="Times New Roman" w:hAnsi="Times New Roman"/>
        </w:rPr>
        <w:t>局和</w:t>
      </w:r>
      <w:r>
        <w:rPr>
          <w:rFonts w:hint="eastAsia" w:ascii="Times New Roman" w:hAnsi="Times New Roman"/>
          <w:highlight w:val="none"/>
        </w:rPr>
        <w:t>国资预算单位</w:t>
      </w:r>
      <w:r>
        <w:rPr>
          <w:rFonts w:hint="eastAsia" w:ascii="Times New Roman" w:hAnsi="Times New Roman"/>
        </w:rPr>
        <w:t>将预算绩效管理结果作为加强预算管理和安排以后年度预算支出的重要依据</w:t>
      </w:r>
      <w:r>
        <w:rPr>
          <w:rFonts w:hint="eastAsia" w:ascii="Times New Roman" w:hAnsi="Times New Roman"/>
          <w:lang w:eastAsia="zh-CN"/>
        </w:rPr>
        <w:t>。</w:t>
      </w:r>
    </w:p>
    <w:p w14:paraId="44EBA2E7">
      <w:pPr>
        <w:pStyle w:val="3"/>
        <w:bidi w:val="0"/>
        <w:ind w:left="0" w:leftChars="0" w:firstLine="0" w:firstLineChars="0"/>
        <w:jc w:val="center"/>
        <w:rPr>
          <w:rFonts w:hint="eastAsia" w:ascii="Times New Roman" w:hAnsi="Times New Roman"/>
          <w:lang w:eastAsia="zh-CN"/>
        </w:rPr>
      </w:pPr>
      <w:r>
        <w:rPr>
          <w:rFonts w:hint="eastAsia" w:ascii="Times New Roman" w:hAnsi="Times New Roman"/>
          <w:lang w:val="en-US" w:eastAsia="zh-CN"/>
        </w:rPr>
        <w:t xml:space="preserve">第九章 </w:t>
      </w:r>
      <w:r>
        <w:rPr>
          <w:rFonts w:hint="eastAsia" w:ascii="Times New Roman" w:hAnsi="Times New Roman"/>
        </w:rPr>
        <w:t>监 督</w:t>
      </w:r>
    </w:p>
    <w:p w14:paraId="50BF9C1E">
      <w:pPr>
        <w:rPr>
          <w:rFonts w:hint="eastAsia" w:ascii="Times New Roman" w:hAnsi="Times New Roman"/>
        </w:rPr>
      </w:pPr>
      <w:r>
        <w:rPr>
          <w:rFonts w:hint="eastAsia" w:ascii="黑体" w:hAnsi="黑体" w:eastAsia="黑体" w:cs="黑体"/>
        </w:rPr>
        <w:t>第三十三条</w:t>
      </w:r>
      <w:r>
        <w:rPr>
          <w:rFonts w:hint="eastAsia" w:ascii="Times New Roman" w:hAnsi="Times New Roman"/>
        </w:rPr>
        <w:t xml:space="preserve"> </w:t>
      </w:r>
      <w:r>
        <w:rPr>
          <w:rFonts w:hint="eastAsia" w:ascii="Times New Roman" w:hAnsi="Times New Roman"/>
          <w:lang w:eastAsia="zh-CN"/>
        </w:rPr>
        <w:t>区财政</w:t>
      </w:r>
      <w:r>
        <w:rPr>
          <w:rFonts w:hint="eastAsia" w:ascii="Times New Roman" w:hAnsi="Times New Roman"/>
        </w:rPr>
        <w:t>局、</w:t>
      </w:r>
      <w:r>
        <w:rPr>
          <w:rFonts w:hint="eastAsia" w:ascii="Times New Roman" w:hAnsi="Times New Roman"/>
          <w:lang w:eastAsia="zh-CN"/>
        </w:rPr>
        <w:t>区</w:t>
      </w:r>
      <w:r>
        <w:rPr>
          <w:rFonts w:hint="eastAsia" w:ascii="Times New Roman" w:hAnsi="Times New Roman"/>
        </w:rPr>
        <w:t>审计局等部门依法对</w:t>
      </w:r>
      <w:r>
        <w:rPr>
          <w:rFonts w:hint="eastAsia" w:ascii="Times New Roman" w:hAnsi="Times New Roman"/>
          <w:lang w:eastAsia="zh-CN"/>
        </w:rPr>
        <w:t>区级</w:t>
      </w:r>
      <w:r>
        <w:rPr>
          <w:rFonts w:hint="eastAsia" w:ascii="Times New Roman" w:hAnsi="Times New Roman"/>
        </w:rPr>
        <w:t>国有资本经营预算进行财会监督和审计监督。</w:t>
      </w:r>
    </w:p>
    <w:p w14:paraId="04AB3FA3">
      <w:pPr>
        <w:rPr>
          <w:rFonts w:hint="eastAsia" w:ascii="Times New Roman" w:hAnsi="Times New Roman"/>
        </w:rPr>
      </w:pPr>
      <w:r>
        <w:rPr>
          <w:rFonts w:hint="eastAsia" w:ascii="黑体" w:hAnsi="黑体" w:eastAsia="黑体" w:cs="黑体"/>
        </w:rPr>
        <w:t>第三十四条</w:t>
      </w:r>
      <w:r>
        <w:rPr>
          <w:rFonts w:hint="eastAsia" w:ascii="Times New Roman" w:hAnsi="Times New Roman"/>
        </w:rPr>
        <w:t xml:space="preserve"> </w:t>
      </w:r>
      <w:r>
        <w:rPr>
          <w:rFonts w:hint="eastAsia" w:ascii="Times New Roman" w:hAnsi="Times New Roman"/>
          <w:lang w:eastAsia="zh-CN"/>
        </w:rPr>
        <w:t>区财政</w:t>
      </w:r>
      <w:r>
        <w:rPr>
          <w:rFonts w:hint="eastAsia" w:ascii="Times New Roman" w:hAnsi="Times New Roman"/>
        </w:rPr>
        <w:t>局和有关国资预算单位应当按照国家和省、市</w:t>
      </w:r>
      <w:r>
        <w:rPr>
          <w:rFonts w:hint="eastAsia" w:ascii="Times New Roman" w:hAnsi="Times New Roman"/>
          <w:lang w:eastAsia="zh-CN"/>
        </w:rPr>
        <w:t>、</w:t>
      </w:r>
      <w:r>
        <w:rPr>
          <w:rFonts w:hint="eastAsia" w:ascii="Times New Roman" w:hAnsi="Times New Roman"/>
          <w:lang w:val="en-US" w:eastAsia="zh-CN"/>
        </w:rPr>
        <w:t>区</w:t>
      </w:r>
      <w:r>
        <w:rPr>
          <w:rFonts w:hint="eastAsia" w:ascii="Times New Roman" w:hAnsi="Times New Roman"/>
        </w:rPr>
        <w:t>关于预（决）算公开的相关规定，做好国有资本经营预（决）算公开工作。</w:t>
      </w:r>
    </w:p>
    <w:p w14:paraId="48096E26">
      <w:pPr>
        <w:rPr>
          <w:rFonts w:hint="eastAsia" w:ascii="Times New Roman" w:hAnsi="Times New Roman"/>
          <w:lang w:eastAsia="zh-CN"/>
        </w:rPr>
      </w:pPr>
      <w:r>
        <w:rPr>
          <w:rFonts w:hint="eastAsia" w:ascii="黑体" w:hAnsi="黑体" w:eastAsia="黑体" w:cs="黑体"/>
        </w:rPr>
        <w:t>第三十五条</w:t>
      </w:r>
      <w:r>
        <w:rPr>
          <w:rFonts w:hint="eastAsia" w:ascii="Times New Roman" w:hAnsi="Times New Roman"/>
        </w:rPr>
        <w:t xml:space="preserve"> 对</w:t>
      </w:r>
      <w:r>
        <w:rPr>
          <w:rFonts w:hint="eastAsia" w:ascii="Times New Roman" w:hAnsi="Times New Roman"/>
          <w:lang w:eastAsia="zh-CN"/>
        </w:rPr>
        <w:t>区级</w:t>
      </w:r>
      <w:r>
        <w:rPr>
          <w:rFonts w:hint="eastAsia" w:ascii="Times New Roman" w:hAnsi="Times New Roman"/>
        </w:rPr>
        <w:t>国有资本经营预算编制、执行、调整、决算、绩效管理、监督等过程中违反本办法规定的，依照 《中华人民共和国预算法》</w:t>
      </w:r>
      <w:r>
        <w:rPr>
          <w:rFonts w:hint="eastAsia"/>
          <w:lang w:eastAsia="zh-CN"/>
        </w:rPr>
        <w:t>、</w:t>
      </w:r>
      <w:r>
        <w:rPr>
          <w:rFonts w:hint="eastAsia" w:ascii="Times New Roman" w:hAnsi="Times New Roman"/>
        </w:rPr>
        <w:t>《财政违法行为处罚处分条例》等有关规定进行处理、处罚和处分，依法追究有关单位及相关人员责任</w:t>
      </w:r>
      <w:r>
        <w:rPr>
          <w:rFonts w:hint="eastAsia" w:ascii="Times New Roman" w:hAnsi="Times New Roman"/>
          <w:lang w:eastAsia="zh-CN"/>
        </w:rPr>
        <w:t>。</w:t>
      </w:r>
    </w:p>
    <w:p w14:paraId="1091DABC">
      <w:pPr>
        <w:pStyle w:val="3"/>
        <w:bidi w:val="0"/>
        <w:ind w:left="0" w:leftChars="0" w:firstLine="0" w:firstLineChars="0"/>
        <w:jc w:val="center"/>
        <w:rPr>
          <w:rFonts w:hint="eastAsia" w:ascii="Times New Roman" w:hAnsi="Times New Roman"/>
        </w:rPr>
      </w:pPr>
      <w:r>
        <w:rPr>
          <w:rFonts w:hint="eastAsia" w:ascii="Times New Roman" w:hAnsi="Times New Roman"/>
          <w:lang w:val="en-US" w:eastAsia="zh-CN"/>
        </w:rPr>
        <w:t xml:space="preserve">第十章 </w:t>
      </w:r>
      <w:r>
        <w:rPr>
          <w:rFonts w:hint="eastAsia" w:ascii="Times New Roman" w:hAnsi="Times New Roman"/>
        </w:rPr>
        <w:t>附 则</w:t>
      </w:r>
    </w:p>
    <w:p w14:paraId="6AD33A65">
      <w:pPr>
        <w:rPr>
          <w:rFonts w:hint="eastAsia" w:ascii="Times New Roman" w:hAnsi="Times New Roman"/>
        </w:rPr>
      </w:pPr>
      <w:r>
        <w:rPr>
          <w:rFonts w:hint="eastAsia" w:ascii="黑体" w:hAnsi="黑体" w:eastAsia="黑体" w:cs="黑体"/>
        </w:rPr>
        <w:t>第三十六条</w:t>
      </w:r>
      <w:r>
        <w:rPr>
          <w:rFonts w:hint="eastAsia" w:ascii="Times New Roman" w:hAnsi="Times New Roman"/>
        </w:rPr>
        <w:t xml:space="preserve"> </w:t>
      </w:r>
      <w:r>
        <w:rPr>
          <w:rFonts w:hint="eastAsia" w:ascii="Times New Roman" w:hAnsi="Times New Roman"/>
          <w:lang w:eastAsia="zh-CN"/>
        </w:rPr>
        <w:t>区财政</w:t>
      </w:r>
      <w:r>
        <w:rPr>
          <w:rFonts w:hint="eastAsia" w:ascii="Times New Roman" w:hAnsi="Times New Roman"/>
        </w:rPr>
        <w:t>局根据本办法制定和完善相关配套政策。</w:t>
      </w:r>
    </w:p>
    <w:p w14:paraId="33C1FC68">
      <w:pPr>
        <w:rPr>
          <w:rFonts w:ascii="Times New Roman" w:hAnsi="Times New Roman"/>
          <w:highlight w:val="none"/>
        </w:rPr>
      </w:pPr>
      <w:r>
        <w:rPr>
          <w:rFonts w:hint="eastAsia" w:ascii="黑体" w:hAnsi="黑体" w:eastAsia="黑体" w:cs="黑体"/>
        </w:rPr>
        <w:t>第三十七条</w:t>
      </w:r>
      <w:r>
        <w:rPr>
          <w:rFonts w:hint="eastAsia" w:ascii="Times New Roman" w:hAnsi="Times New Roman"/>
        </w:rPr>
        <w:t xml:space="preserve"> 本办法自</w:t>
      </w:r>
      <w:r>
        <w:rPr>
          <w:rFonts w:hint="eastAsia" w:ascii="Times New Roman" w:hAnsi="Times New Roman"/>
          <w:highlight w:val="none"/>
        </w:rPr>
        <w:t>2024年</w:t>
      </w:r>
      <w:r>
        <w:rPr>
          <w:rFonts w:hint="eastAsia"/>
          <w:highlight w:val="none"/>
          <w:lang w:val="en-US" w:eastAsia="zh-CN"/>
        </w:rPr>
        <w:t>**</w:t>
      </w:r>
      <w:r>
        <w:rPr>
          <w:rFonts w:hint="eastAsia" w:ascii="Times New Roman" w:hAnsi="Times New Roman"/>
          <w:highlight w:val="none"/>
        </w:rPr>
        <w:t>月</w:t>
      </w:r>
      <w:r>
        <w:rPr>
          <w:rFonts w:hint="eastAsia"/>
          <w:highlight w:val="none"/>
          <w:lang w:val="en-US" w:eastAsia="zh-CN"/>
        </w:rPr>
        <w:t>**</w:t>
      </w:r>
      <w:r>
        <w:rPr>
          <w:rFonts w:hint="eastAsia" w:ascii="Times New Roman" w:hAnsi="Times New Roman"/>
          <w:highlight w:val="none"/>
        </w:rPr>
        <w:t>日起施行，有效期至2028年8月31日。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MGFlYmViNTFkY2IxN2UzZDk4MmE5N2FjMjMxZjEifQ=="/>
  </w:docVars>
  <w:rsids>
    <w:rsidRoot w:val="09067358"/>
    <w:rsid w:val="00C957AC"/>
    <w:rsid w:val="05A871AD"/>
    <w:rsid w:val="09067358"/>
    <w:rsid w:val="09395F92"/>
    <w:rsid w:val="0E990EFC"/>
    <w:rsid w:val="0F656151"/>
    <w:rsid w:val="17A35D88"/>
    <w:rsid w:val="1D6B6159"/>
    <w:rsid w:val="1FAA66A9"/>
    <w:rsid w:val="277D459F"/>
    <w:rsid w:val="420C6983"/>
    <w:rsid w:val="42AE5C6C"/>
    <w:rsid w:val="4B302CF9"/>
    <w:rsid w:val="54C379E3"/>
    <w:rsid w:val="57B46E12"/>
    <w:rsid w:val="5D5C2C77"/>
    <w:rsid w:val="5F0D0843"/>
    <w:rsid w:val="69FA2C7F"/>
    <w:rsid w:val="79A7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560" w:lineRule="exact"/>
      <w:ind w:firstLine="880" w:firstLineChars="200"/>
      <w:jc w:val="center"/>
      <w:outlineLvl w:val="0"/>
    </w:pPr>
    <w:rPr>
      <w:rFonts w:ascii="Times New Roman" w:hAnsi="Times New Roman" w:eastAsia="黑体"/>
      <w:kern w:val="44"/>
      <w:sz w:val="34"/>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3409</Words>
  <Characters>3429</Characters>
  <Lines>0</Lines>
  <Paragraphs>0</Paragraphs>
  <TotalTime>406</TotalTime>
  <ScaleCrop>false</ScaleCrop>
  <LinksUpToDate>false</LinksUpToDate>
  <CharactersWithSpaces>3491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2024-05-23T07:02:00Z</dcterms:created>
  <dc:creator>WPS_1566896644</dc:creator>
  <cp:lastModifiedBy>WPS_1566896644</cp:lastModifiedBy>
  <cp:lastPrinted>2024-06-25T03:17:00Z</cp:lastPrinted>
  <dcterms:modified xsi:type="dcterms:W3CDTF">2024-07-17T07:41:35Z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479F907F3C8142149D90C3A900CE552F_13</vt:lpwstr>
  </property>
</Properties>
</file>