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eastAsia="zh-CN"/>
        </w:rPr>
        <w:t>淄川区地方金融监管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年度行政许可情况统计表</w:t>
      </w:r>
    </w:p>
    <w:tbl>
      <w:tblPr>
        <w:tblStyle w:val="8"/>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hint="eastAsia"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hint="eastAsia" w:ascii="黑体" w:hAnsi="黑体" w:eastAsia="黑体" w:cs="黑体"/>
                <w:sz w:val="30"/>
                <w:szCs w:val="30"/>
              </w:rPr>
            </w:pPr>
          </w:p>
        </w:tc>
        <w:tc>
          <w:tcPr>
            <w:tcW w:w="2184"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淄川区地方金融监管</w:t>
            </w:r>
            <w:r>
              <w:rPr>
                <w:rFonts w:hint="eastAsia" w:ascii="仿宋_GB2312" w:hAnsi="仿宋_GB2312" w:eastAsia="仿宋_GB2312" w:cs="仿宋_GB2312"/>
                <w:sz w:val="28"/>
                <w:szCs w:val="28"/>
              </w:rPr>
              <w:t>局</w:t>
            </w:r>
          </w:p>
        </w:tc>
        <w:tc>
          <w:tcPr>
            <w:tcW w:w="2184"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_GB2312" w:hAnsi="仿宋_GB2312" w:eastAsia="仿宋_GB2312" w:cs="仿宋_GB2312"/>
                <w:sz w:val="28"/>
                <w:szCs w:val="28"/>
              </w:rPr>
            </w:pPr>
          </w:p>
        </w:tc>
        <w:tc>
          <w:tcPr>
            <w:tcW w:w="2184" w:type="dxa"/>
            <w:vAlign w:val="center"/>
          </w:tcPr>
          <w:p>
            <w:pPr>
              <w:spacing w:line="480" w:lineRule="exact"/>
              <w:jc w:val="center"/>
              <w:rPr>
                <w:rFonts w:hint="eastAsia" w:ascii="仿宋_GB2312" w:hAnsi="仿宋_GB2312" w:eastAsia="仿宋_GB2312" w:cs="仿宋_GB2312"/>
                <w:sz w:val="32"/>
                <w:szCs w:val="32"/>
              </w:rPr>
            </w:pPr>
          </w:p>
        </w:tc>
        <w:tc>
          <w:tcPr>
            <w:tcW w:w="2126" w:type="dxa"/>
            <w:vAlign w:val="center"/>
          </w:tcPr>
          <w:p>
            <w:pPr>
              <w:spacing w:line="480" w:lineRule="exact"/>
              <w:jc w:val="center"/>
              <w:rPr>
                <w:rFonts w:hint="eastAsia" w:ascii="仿宋_GB2312" w:hAnsi="仿宋_GB2312" w:eastAsia="仿宋_GB2312" w:cs="仿宋_GB2312"/>
                <w:sz w:val="32"/>
                <w:szCs w:val="32"/>
              </w:rPr>
            </w:pPr>
          </w:p>
        </w:tc>
        <w:tc>
          <w:tcPr>
            <w:tcW w:w="2044" w:type="dxa"/>
            <w:vAlign w:val="center"/>
          </w:tcPr>
          <w:p>
            <w:pPr>
              <w:spacing w:line="480" w:lineRule="exact"/>
              <w:jc w:val="center"/>
              <w:rPr>
                <w:rFonts w:hint="eastAsia" w:ascii="仿宋_GB2312" w:hAnsi="仿宋_GB2312" w:eastAsia="仿宋_GB2312" w:cs="仿宋_GB2312"/>
                <w:sz w:val="32"/>
                <w:szCs w:val="32"/>
              </w:rPr>
            </w:pPr>
          </w:p>
        </w:tc>
        <w:tc>
          <w:tcPr>
            <w:tcW w:w="3410" w:type="dxa"/>
            <w:vAlign w:val="center"/>
          </w:tcPr>
          <w:p>
            <w:pPr>
              <w:spacing w:line="48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tcPr>
          <w:p>
            <w:pPr>
              <w:spacing w:line="480" w:lineRule="exact"/>
              <w:jc w:val="center"/>
              <w:rPr>
                <w:rFonts w:hint="eastAsia" w:ascii="仿宋_GB2312" w:hAnsi="仿宋_GB2312" w:eastAsia="仿宋_GB2312" w:cs="仿宋_GB2312"/>
                <w:sz w:val="28"/>
                <w:szCs w:val="28"/>
              </w:rPr>
            </w:pPr>
          </w:p>
        </w:tc>
        <w:tc>
          <w:tcPr>
            <w:tcW w:w="2184" w:type="dxa"/>
            <w:vAlign w:val="center"/>
          </w:tcPr>
          <w:p>
            <w:pPr>
              <w:spacing w:line="480" w:lineRule="exact"/>
              <w:jc w:val="center"/>
              <w:rPr>
                <w:rFonts w:hint="eastAsia" w:ascii="仿宋_GB2312" w:hAnsi="仿宋_GB2312" w:eastAsia="仿宋_GB2312" w:cs="仿宋_GB2312"/>
                <w:sz w:val="32"/>
                <w:szCs w:val="32"/>
              </w:rPr>
            </w:pPr>
          </w:p>
        </w:tc>
        <w:tc>
          <w:tcPr>
            <w:tcW w:w="2126" w:type="dxa"/>
            <w:vAlign w:val="center"/>
          </w:tcPr>
          <w:p>
            <w:pPr>
              <w:spacing w:line="480" w:lineRule="exact"/>
              <w:jc w:val="center"/>
              <w:rPr>
                <w:rFonts w:hint="eastAsia" w:ascii="仿宋_GB2312" w:hAnsi="仿宋_GB2312" w:eastAsia="仿宋_GB2312" w:cs="仿宋_GB2312"/>
                <w:sz w:val="32"/>
                <w:szCs w:val="32"/>
              </w:rPr>
            </w:pPr>
          </w:p>
        </w:tc>
        <w:tc>
          <w:tcPr>
            <w:tcW w:w="2044" w:type="dxa"/>
            <w:vAlign w:val="center"/>
          </w:tcPr>
          <w:p>
            <w:pPr>
              <w:spacing w:line="480" w:lineRule="exact"/>
              <w:jc w:val="center"/>
              <w:rPr>
                <w:rFonts w:hint="eastAsia" w:ascii="仿宋_GB2312" w:hAnsi="仿宋_GB2312" w:eastAsia="仿宋_GB2312" w:cs="仿宋_GB2312"/>
                <w:sz w:val="32"/>
                <w:szCs w:val="32"/>
              </w:rPr>
            </w:pPr>
          </w:p>
        </w:tc>
        <w:tc>
          <w:tcPr>
            <w:tcW w:w="3410" w:type="dxa"/>
            <w:vAlign w:val="center"/>
          </w:tcPr>
          <w:p>
            <w:pPr>
              <w:spacing w:line="48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736" w:type="dxa"/>
          </w:tcPr>
          <w:p>
            <w:pPr>
              <w:spacing w:line="480" w:lineRule="exact"/>
              <w:jc w:val="center"/>
              <w:rPr>
                <w:rFonts w:hint="eastAsia" w:ascii="仿宋_GB2312" w:hAnsi="仿宋_GB2312" w:eastAsia="仿宋_GB2312" w:cs="仿宋_GB2312"/>
                <w:sz w:val="28"/>
                <w:szCs w:val="28"/>
              </w:rPr>
            </w:pPr>
            <w:r>
              <w:rPr>
                <w:rFonts w:hint="eastAsia" w:ascii="黑体" w:hAnsi="黑体" w:eastAsia="黑体" w:cs="黑体"/>
                <w:sz w:val="28"/>
                <w:szCs w:val="28"/>
              </w:rPr>
              <w:t>合计</w:t>
            </w:r>
          </w:p>
        </w:tc>
        <w:tc>
          <w:tcPr>
            <w:tcW w:w="2184"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spacing w:line="320" w:lineRule="exact"/>
        <w:rPr>
          <w:rFonts w:hint="eastAsia"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hint="eastAsia"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eastAsia="zh-CN"/>
        </w:rPr>
        <w:t>淄川区地方金融监管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hint="eastAsia" w:ascii="文星标宋" w:hAnsi="文星标宋" w:eastAsia="文星标宋" w:cs="文星标宋"/>
          <w:sz w:val="44"/>
          <w:szCs w:val="44"/>
        </w:rPr>
      </w:pPr>
    </w:p>
    <w:tbl>
      <w:tblPr>
        <w:tblStyle w:val="8"/>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hint="eastAsia"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hint="eastAsia"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hint="eastAsia"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暂扣许可证、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hint="eastAsia"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吊销许可证、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行政</w:t>
            </w:r>
          </w:p>
          <w:p>
            <w:pPr>
              <w:spacing w:line="240" w:lineRule="exact"/>
              <w:jc w:val="center"/>
              <w:rPr>
                <w:rFonts w:hint="eastAsia"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hint="eastAsia" w:ascii="黑体" w:hAnsi="黑体" w:eastAsia="黑体" w:cs="黑体"/>
              </w:rPr>
            </w:pPr>
            <w:r>
              <w:rPr>
                <w:rFonts w:hint="eastAsia" w:ascii="黑体" w:hAnsi="黑体" w:eastAsia="黑体" w:cs="黑体"/>
              </w:rPr>
              <w:t>罚没金额</w:t>
            </w:r>
          </w:p>
          <w:p>
            <w:pPr>
              <w:spacing w:line="240" w:lineRule="exact"/>
              <w:jc w:val="center"/>
              <w:rPr>
                <w:rFonts w:hint="eastAsia"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hint="eastAsia"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hint="eastAsia"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hint="eastAsia"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hint="eastAsia"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lang w:eastAsia="zh-CN"/>
              </w:rPr>
              <w:t>淄川区地方金融监管</w:t>
            </w:r>
            <w:r>
              <w:rPr>
                <w:rFonts w:hint="eastAsia" w:ascii="仿宋_GB2312" w:hAnsi="仿宋_GB2312" w:eastAsia="仿宋_GB2312" w:cs="仿宋_GB2312"/>
                <w:sz w:val="28"/>
                <w:szCs w:val="28"/>
              </w:rPr>
              <w:t>局</w:t>
            </w:r>
          </w:p>
        </w:tc>
        <w:tc>
          <w:tcPr>
            <w:tcW w:w="77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0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0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08"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937"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3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4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3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3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3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2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5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8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8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48"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5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hint="eastAsia" w:ascii="仿宋_GB2312" w:hAnsi="仿宋_GB2312" w:eastAsia="仿宋_GB2312" w:cs="仿宋_GB2312"/>
                <w:sz w:val="32"/>
                <w:szCs w:val="32"/>
              </w:rPr>
            </w:pPr>
          </w:p>
        </w:tc>
        <w:tc>
          <w:tcPr>
            <w:tcW w:w="709" w:type="dxa"/>
            <w:vAlign w:val="center"/>
          </w:tcPr>
          <w:p>
            <w:pPr>
              <w:spacing w:line="480" w:lineRule="exact"/>
              <w:jc w:val="center"/>
              <w:rPr>
                <w:rFonts w:hint="eastAsia" w:ascii="仿宋_GB2312" w:hAnsi="仿宋_GB2312" w:eastAsia="仿宋_GB2312" w:cs="仿宋_GB2312"/>
                <w:sz w:val="32"/>
                <w:szCs w:val="32"/>
              </w:rPr>
            </w:pPr>
          </w:p>
        </w:tc>
        <w:tc>
          <w:tcPr>
            <w:tcW w:w="709" w:type="dxa"/>
            <w:vAlign w:val="center"/>
          </w:tcPr>
          <w:p>
            <w:pPr>
              <w:spacing w:line="300" w:lineRule="exact"/>
              <w:jc w:val="center"/>
              <w:rPr>
                <w:rFonts w:hint="eastAsia" w:ascii="仿宋_GB2312" w:hAnsi="仿宋_GB2312" w:eastAsia="仿宋_GB2312" w:cs="仿宋_GB2312"/>
                <w:sz w:val="32"/>
                <w:szCs w:val="32"/>
              </w:rPr>
            </w:pPr>
          </w:p>
        </w:tc>
        <w:tc>
          <w:tcPr>
            <w:tcW w:w="708" w:type="dxa"/>
            <w:vAlign w:val="center"/>
          </w:tcPr>
          <w:p>
            <w:pPr>
              <w:spacing w:line="300" w:lineRule="exact"/>
              <w:jc w:val="center"/>
              <w:rPr>
                <w:rFonts w:hint="eastAsia" w:ascii="仿宋_GB2312" w:hAnsi="仿宋_GB2312" w:eastAsia="仿宋_GB2312" w:cs="仿宋_GB2312"/>
                <w:sz w:val="32"/>
                <w:szCs w:val="32"/>
              </w:rPr>
            </w:pPr>
          </w:p>
        </w:tc>
        <w:tc>
          <w:tcPr>
            <w:tcW w:w="937" w:type="dxa"/>
            <w:vAlign w:val="center"/>
          </w:tcPr>
          <w:p>
            <w:pPr>
              <w:spacing w:line="300" w:lineRule="exact"/>
              <w:jc w:val="center"/>
              <w:rPr>
                <w:rFonts w:hint="eastAsia" w:ascii="仿宋_GB2312" w:hAnsi="仿宋_GB2312" w:eastAsia="仿宋_GB2312" w:cs="仿宋_GB2312"/>
                <w:sz w:val="32"/>
                <w:szCs w:val="32"/>
              </w:rPr>
            </w:pPr>
          </w:p>
        </w:tc>
        <w:tc>
          <w:tcPr>
            <w:tcW w:w="639" w:type="dxa"/>
            <w:vAlign w:val="center"/>
          </w:tcPr>
          <w:p>
            <w:pPr>
              <w:spacing w:line="300" w:lineRule="exact"/>
              <w:jc w:val="center"/>
              <w:rPr>
                <w:rFonts w:hint="eastAsia" w:ascii="仿宋_GB2312" w:hAnsi="仿宋_GB2312" w:eastAsia="仿宋_GB2312" w:cs="仿宋_GB2312"/>
                <w:sz w:val="32"/>
                <w:szCs w:val="32"/>
              </w:rPr>
            </w:pPr>
          </w:p>
        </w:tc>
        <w:tc>
          <w:tcPr>
            <w:tcW w:w="640" w:type="dxa"/>
            <w:vAlign w:val="center"/>
          </w:tcPr>
          <w:p>
            <w:pPr>
              <w:spacing w:line="300" w:lineRule="exact"/>
              <w:jc w:val="center"/>
              <w:rPr>
                <w:rFonts w:hint="eastAsia" w:ascii="仿宋_GB2312" w:hAnsi="仿宋_GB2312" w:eastAsia="仿宋_GB2312" w:cs="仿宋_GB2312"/>
                <w:sz w:val="32"/>
                <w:szCs w:val="32"/>
              </w:rPr>
            </w:pPr>
          </w:p>
        </w:tc>
        <w:tc>
          <w:tcPr>
            <w:tcW w:w="639" w:type="dxa"/>
            <w:vAlign w:val="center"/>
          </w:tcPr>
          <w:p>
            <w:pPr>
              <w:spacing w:line="300" w:lineRule="exact"/>
              <w:jc w:val="center"/>
              <w:rPr>
                <w:rFonts w:hint="eastAsia" w:ascii="仿宋_GB2312" w:hAnsi="仿宋_GB2312" w:eastAsia="仿宋_GB2312" w:cs="仿宋_GB2312"/>
                <w:sz w:val="32"/>
                <w:szCs w:val="32"/>
              </w:rPr>
            </w:pPr>
          </w:p>
        </w:tc>
        <w:tc>
          <w:tcPr>
            <w:tcW w:w="639" w:type="dxa"/>
            <w:vAlign w:val="center"/>
          </w:tcPr>
          <w:p>
            <w:pPr>
              <w:spacing w:line="300" w:lineRule="exact"/>
              <w:jc w:val="center"/>
              <w:rPr>
                <w:rFonts w:hint="eastAsia" w:ascii="仿宋_GB2312" w:hAnsi="仿宋_GB2312" w:eastAsia="仿宋_GB2312" w:cs="仿宋_GB2312"/>
                <w:sz w:val="32"/>
                <w:szCs w:val="32"/>
              </w:rPr>
            </w:pPr>
          </w:p>
        </w:tc>
        <w:tc>
          <w:tcPr>
            <w:tcW w:w="639" w:type="dxa"/>
            <w:vAlign w:val="center"/>
          </w:tcPr>
          <w:p>
            <w:pPr>
              <w:spacing w:line="300" w:lineRule="exact"/>
              <w:jc w:val="center"/>
              <w:rPr>
                <w:rFonts w:hint="eastAsia" w:ascii="仿宋_GB2312" w:hAnsi="仿宋_GB2312" w:eastAsia="仿宋_GB2312" w:cs="仿宋_GB2312"/>
                <w:sz w:val="32"/>
                <w:szCs w:val="32"/>
              </w:rPr>
            </w:pPr>
          </w:p>
        </w:tc>
        <w:tc>
          <w:tcPr>
            <w:tcW w:w="829" w:type="dxa"/>
            <w:vAlign w:val="center"/>
          </w:tcPr>
          <w:p>
            <w:pPr>
              <w:spacing w:line="300" w:lineRule="exact"/>
              <w:jc w:val="center"/>
              <w:rPr>
                <w:rFonts w:hint="eastAsia" w:ascii="仿宋_GB2312" w:hAnsi="仿宋_GB2312" w:eastAsia="仿宋_GB2312" w:cs="仿宋_GB2312"/>
                <w:sz w:val="32"/>
                <w:szCs w:val="32"/>
              </w:rPr>
            </w:pPr>
          </w:p>
        </w:tc>
        <w:tc>
          <w:tcPr>
            <w:tcW w:w="850" w:type="dxa"/>
            <w:vAlign w:val="center"/>
          </w:tcPr>
          <w:p>
            <w:pPr>
              <w:spacing w:line="300" w:lineRule="exact"/>
              <w:jc w:val="center"/>
              <w:rPr>
                <w:rFonts w:hint="eastAsia" w:ascii="仿宋_GB2312" w:hAnsi="仿宋_GB2312" w:eastAsia="仿宋_GB2312" w:cs="仿宋_GB2312"/>
                <w:sz w:val="32"/>
                <w:szCs w:val="32"/>
              </w:rPr>
            </w:pPr>
          </w:p>
        </w:tc>
        <w:tc>
          <w:tcPr>
            <w:tcW w:w="882" w:type="dxa"/>
            <w:vAlign w:val="center"/>
          </w:tcPr>
          <w:p>
            <w:pPr>
              <w:spacing w:line="300" w:lineRule="exact"/>
              <w:jc w:val="center"/>
              <w:rPr>
                <w:rFonts w:hint="eastAsia" w:ascii="仿宋_GB2312" w:hAnsi="仿宋_GB2312" w:eastAsia="仿宋_GB2312" w:cs="仿宋_GB2312"/>
                <w:sz w:val="32"/>
                <w:szCs w:val="32"/>
              </w:rPr>
            </w:pPr>
          </w:p>
        </w:tc>
        <w:tc>
          <w:tcPr>
            <w:tcW w:w="680" w:type="dxa"/>
            <w:vAlign w:val="center"/>
          </w:tcPr>
          <w:p>
            <w:pPr>
              <w:spacing w:line="300" w:lineRule="exact"/>
              <w:jc w:val="center"/>
              <w:rPr>
                <w:rFonts w:hint="eastAsia" w:ascii="仿宋_GB2312" w:hAnsi="仿宋_GB2312" w:eastAsia="仿宋_GB2312" w:cs="仿宋_GB2312"/>
                <w:sz w:val="32"/>
                <w:szCs w:val="32"/>
              </w:rPr>
            </w:pPr>
          </w:p>
        </w:tc>
        <w:tc>
          <w:tcPr>
            <w:tcW w:w="848" w:type="dxa"/>
            <w:vAlign w:val="center"/>
          </w:tcPr>
          <w:p>
            <w:pPr>
              <w:spacing w:line="300" w:lineRule="exact"/>
              <w:jc w:val="center"/>
              <w:rPr>
                <w:rFonts w:hint="eastAsia" w:ascii="仿宋_GB2312" w:hAnsi="仿宋_GB2312" w:eastAsia="仿宋_GB2312" w:cs="仿宋_GB2312"/>
                <w:sz w:val="32"/>
                <w:szCs w:val="32"/>
              </w:rPr>
            </w:pPr>
          </w:p>
        </w:tc>
        <w:tc>
          <w:tcPr>
            <w:tcW w:w="851" w:type="dxa"/>
            <w:vAlign w:val="center"/>
          </w:tcPr>
          <w:p>
            <w:pPr>
              <w:spacing w:line="3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70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70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708"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937"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3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0"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3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3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3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829"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850"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882"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0"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848"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851" w:type="dxa"/>
            <w:textDirection w:val="lrTb"/>
            <w:vAlign w:val="center"/>
          </w:tcPr>
          <w:p>
            <w:pPr>
              <w:spacing w:line="4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bl>
    <w:p>
      <w:pPr>
        <w:spacing w:line="260" w:lineRule="exact"/>
        <w:ind w:left="1050" w:hanging="1050" w:hangingChars="500"/>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hint="eastAsia"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eastAsia="zh-CN"/>
        </w:rPr>
        <w:t>淄川区地方金融监管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hint="eastAsia" w:ascii="文星标宋" w:hAnsi="文星标宋" w:eastAsia="文星标宋" w:cs="文星标宋"/>
          <w:sz w:val="44"/>
          <w:szCs w:val="44"/>
        </w:rPr>
      </w:pPr>
    </w:p>
    <w:tbl>
      <w:tblPr>
        <w:tblStyle w:val="8"/>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hint="eastAsia" w:ascii="黑体" w:hAnsi="黑体" w:eastAsia="黑体" w:cs="黑体"/>
                <w:sz w:val="28"/>
                <w:szCs w:val="28"/>
              </w:rPr>
            </w:pPr>
          </w:p>
        </w:tc>
        <w:tc>
          <w:tcPr>
            <w:tcW w:w="3854" w:type="dxa"/>
            <w:gridSpan w:val="5"/>
            <w:vMerge w:val="continue"/>
            <w:vAlign w:val="center"/>
          </w:tcPr>
          <w:p>
            <w:pPr>
              <w:spacing w:line="320" w:lineRule="exact"/>
              <w:jc w:val="center"/>
              <w:rPr>
                <w:rFonts w:hint="eastAsia" w:ascii="黑体" w:hAnsi="黑体" w:eastAsia="黑体" w:cs="黑体"/>
                <w:sz w:val="28"/>
                <w:szCs w:val="28"/>
              </w:rPr>
            </w:pPr>
          </w:p>
        </w:tc>
        <w:tc>
          <w:tcPr>
            <w:tcW w:w="5518" w:type="dxa"/>
            <w:gridSpan w:val="7"/>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hint="eastAsia"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淄川区地方金融监管</w:t>
            </w:r>
            <w:r>
              <w:rPr>
                <w:rFonts w:hint="eastAsia" w:ascii="仿宋_GB2312" w:hAnsi="仿宋_GB2312" w:eastAsia="仿宋_GB2312" w:cs="仿宋_GB2312"/>
                <w:sz w:val="28"/>
                <w:szCs w:val="28"/>
              </w:rPr>
              <w:t>局</w:t>
            </w: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07"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451"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6"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770"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771"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802"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801"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707"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1451" w:type="dxa"/>
            <w:vAlign w:val="center"/>
          </w:tcPr>
          <w:p>
            <w:pPr>
              <w:spacing w:line="480" w:lineRule="exact"/>
              <w:jc w:val="center"/>
              <w:rPr>
                <w:rFonts w:hint="eastAsia" w:ascii="仿宋_GB2312" w:hAnsi="仿宋_GB2312" w:eastAsia="仿宋_GB2312" w:cs="仿宋_GB2312"/>
                <w:sz w:val="32"/>
                <w:szCs w:val="32"/>
                <w:lang w:val="en-US" w:eastAsia="zh-CN"/>
              </w:rPr>
            </w:pPr>
          </w:p>
        </w:tc>
        <w:tc>
          <w:tcPr>
            <w:tcW w:w="776" w:type="dxa"/>
            <w:vAlign w:val="center"/>
          </w:tcPr>
          <w:p>
            <w:pPr>
              <w:spacing w:line="480" w:lineRule="exact"/>
              <w:jc w:val="center"/>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合计</w:t>
            </w:r>
          </w:p>
        </w:tc>
        <w:tc>
          <w:tcPr>
            <w:tcW w:w="771"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1"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0"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1"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1"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2"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801"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07"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451"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776" w:type="dxa"/>
            <w:textDirection w:val="lrTb"/>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spacing w:line="280" w:lineRule="exact"/>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淄川区地方金融监管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hint="eastAsia" w:ascii="仿宋_GB2312" w:hAnsi="仿宋_GB2312" w:eastAsia="仿宋_GB2312" w:cs="仿宋_GB2312"/>
          <w:szCs w:val="32"/>
        </w:rPr>
      </w:pPr>
    </w:p>
    <w:tbl>
      <w:tblPr>
        <w:tblStyle w:val="8"/>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淄川区地方金融监管</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88"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453"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6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_GB2312" w:hAnsi="仿宋_GB2312" w:eastAsia="仿宋_GB2312" w:cs="仿宋_GB2312"/>
                <w:sz w:val="28"/>
                <w:szCs w:val="28"/>
              </w:rPr>
            </w:pPr>
          </w:p>
        </w:tc>
        <w:tc>
          <w:tcPr>
            <w:tcW w:w="1980" w:type="dxa"/>
            <w:vAlign w:val="center"/>
          </w:tcPr>
          <w:p>
            <w:pPr>
              <w:spacing w:line="480" w:lineRule="exact"/>
              <w:jc w:val="center"/>
              <w:rPr>
                <w:rFonts w:hint="eastAsia" w:ascii="仿宋_GB2312" w:hAnsi="仿宋_GB2312" w:eastAsia="仿宋_GB2312" w:cs="仿宋_GB2312"/>
                <w:sz w:val="24"/>
              </w:rPr>
            </w:pPr>
          </w:p>
        </w:tc>
        <w:tc>
          <w:tcPr>
            <w:tcW w:w="2488" w:type="dxa"/>
            <w:vAlign w:val="center"/>
          </w:tcPr>
          <w:p>
            <w:pPr>
              <w:spacing w:line="480" w:lineRule="exact"/>
              <w:jc w:val="center"/>
              <w:rPr>
                <w:rFonts w:hint="eastAsia" w:ascii="仿宋_GB2312" w:hAnsi="仿宋_GB2312" w:eastAsia="仿宋_GB2312" w:cs="仿宋_GB2312"/>
                <w:sz w:val="24"/>
              </w:rPr>
            </w:pPr>
          </w:p>
        </w:tc>
        <w:tc>
          <w:tcPr>
            <w:tcW w:w="3453" w:type="dxa"/>
            <w:vAlign w:val="center"/>
          </w:tcPr>
          <w:p>
            <w:pPr>
              <w:spacing w:line="480" w:lineRule="exact"/>
              <w:jc w:val="center"/>
              <w:rPr>
                <w:rFonts w:hint="eastAsia" w:ascii="仿宋_GB2312" w:hAnsi="仿宋_GB2312" w:eastAsia="仿宋_GB2312" w:cs="仿宋_GB2312"/>
                <w:sz w:val="24"/>
              </w:rPr>
            </w:pPr>
          </w:p>
        </w:tc>
        <w:tc>
          <w:tcPr>
            <w:tcW w:w="2602" w:type="dxa"/>
            <w:vAlign w:val="center"/>
          </w:tcPr>
          <w:p>
            <w:pPr>
              <w:spacing w:line="4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488"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453"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602"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spacing w:line="280" w:lineRule="exact"/>
        <w:jc w:val="left"/>
        <w:rPr>
          <w:rFonts w:hint="eastAsia"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hint="eastAsia"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淄川区地方金融监管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w:t>
      </w:r>
      <w:bookmarkStart w:id="0" w:name="_GoBack"/>
      <w:bookmarkEnd w:id="0"/>
      <w:r>
        <w:rPr>
          <w:rFonts w:hint="eastAsia" w:ascii="方正小标宋简体" w:hAnsi="文星标宋" w:eastAsia="方正小标宋简体" w:cs="文星标宋"/>
          <w:sz w:val="32"/>
          <w:szCs w:val="32"/>
        </w:rPr>
        <w:t>行政检查情况统计表</w:t>
      </w:r>
    </w:p>
    <w:p>
      <w:pPr>
        <w:spacing w:line="480" w:lineRule="exact"/>
        <w:rPr>
          <w:rFonts w:hint="eastAsia" w:ascii="仿宋_GB2312" w:hAnsi="仿宋_GB2312" w:eastAsia="仿宋_GB2312" w:cs="仿宋_GB2312"/>
          <w:sz w:val="24"/>
        </w:rPr>
      </w:pPr>
    </w:p>
    <w:tbl>
      <w:tblPr>
        <w:tblStyle w:val="8"/>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8"/>
                <w:szCs w:val="28"/>
                <w:lang w:eastAsia="zh-CN"/>
              </w:rPr>
              <w:t>淄川区地方金融监管</w:t>
            </w:r>
            <w:r>
              <w:rPr>
                <w:rFonts w:hint="eastAsia" w:ascii="仿宋_GB2312" w:hAnsi="仿宋_GB2312" w:eastAsia="仿宋_GB2312" w:cs="仿宋_GB2312"/>
                <w:sz w:val="28"/>
                <w:szCs w:val="28"/>
              </w:rPr>
              <w:t>局</w:t>
            </w:r>
          </w:p>
        </w:tc>
        <w:tc>
          <w:tcPr>
            <w:tcW w:w="619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_GB2312" w:hAnsi="仿宋_GB2312" w:eastAsia="仿宋_GB2312" w:cs="仿宋_GB2312"/>
                <w:sz w:val="24"/>
              </w:rPr>
            </w:pPr>
          </w:p>
        </w:tc>
        <w:tc>
          <w:tcPr>
            <w:tcW w:w="6199" w:type="dxa"/>
            <w:vAlign w:val="center"/>
          </w:tcPr>
          <w:p>
            <w:pPr>
              <w:spacing w:line="48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合计</w:t>
            </w:r>
          </w:p>
        </w:tc>
        <w:tc>
          <w:tcPr>
            <w:tcW w:w="6199"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spacing w:line="320" w:lineRule="exact"/>
        <w:rPr>
          <w:rFonts w:hint="eastAsia"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hint="eastAsia"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eastAsia="zh-CN"/>
      </w:rPr>
      <w:t>3</w:t>
    </w:r>
    <w:r>
      <w:rPr>
        <w:lang w:val="zh-CN" w:eastAsia="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0DCD7CD1"/>
    <w:rsid w:val="122E1DBD"/>
    <w:rsid w:val="1C63102D"/>
    <w:rsid w:val="266F5E17"/>
    <w:rsid w:val="2E0004ED"/>
    <w:rsid w:val="43765B1A"/>
    <w:rsid w:val="456938A3"/>
    <w:rsid w:val="4A264A3D"/>
    <w:rsid w:val="4BDB16E7"/>
    <w:rsid w:val="4E243A08"/>
    <w:rsid w:val="553C6728"/>
    <w:rsid w:val="5DCD3D91"/>
    <w:rsid w:val="6E9B6E54"/>
    <w:rsid w:val="6FB43082"/>
    <w:rsid w:val="712463AE"/>
    <w:rsid w:val="720440CF"/>
    <w:rsid w:val="725E6387"/>
    <w:rsid w:val="75D41CFF"/>
    <w:rsid w:val="777C41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table" w:styleId="9">
    <w:name w:val="Table Grid"/>
    <w:basedOn w:val="8"/>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 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 Char Char Char Char"/>
    <w:basedOn w:val="1"/>
    <w:qFormat/>
    <w:uiPriority w:val="0"/>
    <w:pPr>
      <w:adjustRightInd w:val="0"/>
      <w:spacing w:line="360" w:lineRule="auto"/>
    </w:pPr>
    <w:rPr>
      <w:rFonts w:ascii="Times New Roman" w:hAnsi="Times New Roman" w:cs="Times New Roman"/>
      <w:szCs w:val="24"/>
    </w:rPr>
  </w:style>
  <w:style w:type="paragraph" w:customStyle="1" w:styleId="16">
    <w:name w:val=" 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361</Words>
  <Characters>2060</Characters>
  <Lines>17</Lines>
  <Paragraphs>4</Paragraphs>
  <TotalTime>0</TotalTime>
  <ScaleCrop>false</ScaleCrop>
  <LinksUpToDate>false</LinksUpToDate>
  <CharactersWithSpaces>2417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2019-11-07T09:25:00Z</cp:lastPrinted>
  <dcterms:modified xsi:type="dcterms:W3CDTF">2020-01-14T06:01:21Z</dcterms:modified>
  <dc:title>国务院第一巡查组召开安全生产大检查汇报会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