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Autospacing="0" w:afterAutospacing="0" w:line="560" w:lineRule="exact"/>
        <w:jc w:val="center"/>
        <w:rPr>
          <w:rFonts w:ascii="Times New Roman" w:hAnsi="Times New Roman" w:eastAsia="方正小标宋简体"/>
          <w:bCs/>
          <w:spacing w:val="-17"/>
          <w:sz w:val="44"/>
          <w:szCs w:val="44"/>
          <w:shd w:val="clear" w:color="auto" w:fill="FFFFFF"/>
        </w:rPr>
      </w:pPr>
      <w:bookmarkStart w:id="13" w:name="_GoBack"/>
      <w:r>
        <w:rPr>
          <w:rFonts w:hint="eastAsia" w:ascii="Times New Roman" w:hAnsi="Times New Roman" w:eastAsia="方正小标宋简体"/>
          <w:bCs/>
          <w:spacing w:val="-17"/>
          <w:sz w:val="44"/>
          <w:szCs w:val="44"/>
          <w:shd w:val="clear" w:color="auto" w:fill="FFFFFF"/>
        </w:rPr>
        <w:t>淄博市</w:t>
      </w:r>
      <w:r>
        <w:rPr>
          <w:rFonts w:ascii="Times New Roman" w:hAnsi="Times New Roman" w:eastAsia="方正小标宋简体"/>
          <w:bCs/>
          <w:spacing w:val="-17"/>
          <w:sz w:val="44"/>
          <w:szCs w:val="44"/>
          <w:shd w:val="clear" w:color="auto" w:fill="FFFFFF"/>
        </w:rPr>
        <w:t>淄川区地方金融监督管理局</w:t>
      </w:r>
    </w:p>
    <w:p>
      <w:pPr>
        <w:pStyle w:val="4"/>
        <w:shd w:val="clear" w:color="auto" w:fill="FFFFFF"/>
        <w:spacing w:beforeAutospacing="0" w:afterAutospacing="0" w:line="560" w:lineRule="exact"/>
        <w:jc w:val="center"/>
        <w:rPr>
          <w:rFonts w:ascii="Times New Roman" w:hAnsi="Times New Roman" w:eastAsia="方正小标宋简体"/>
          <w:bCs/>
          <w:spacing w:val="-17"/>
          <w:sz w:val="44"/>
          <w:szCs w:val="44"/>
          <w:shd w:val="clear" w:color="auto" w:fill="FFFFFF"/>
        </w:rPr>
      </w:pPr>
      <w:r>
        <w:rPr>
          <w:rFonts w:ascii="Times New Roman" w:hAnsi="Times New Roman" w:eastAsia="方正小标宋简体"/>
          <w:bCs/>
          <w:spacing w:val="-17"/>
          <w:sz w:val="44"/>
          <w:szCs w:val="44"/>
          <w:shd w:val="clear" w:color="auto" w:fill="FFFFFF"/>
        </w:rPr>
        <w:t>202</w:t>
      </w:r>
      <w:r>
        <w:rPr>
          <w:rFonts w:hint="eastAsia" w:ascii="Times New Roman" w:hAnsi="Times New Roman" w:eastAsia="方正小标宋简体"/>
          <w:bCs/>
          <w:spacing w:val="-17"/>
          <w:sz w:val="44"/>
          <w:szCs w:val="44"/>
          <w:shd w:val="clear" w:color="auto" w:fill="FFFFFF"/>
        </w:rPr>
        <w:t>3</w:t>
      </w:r>
      <w:r>
        <w:rPr>
          <w:rFonts w:ascii="Times New Roman" w:hAnsi="Times New Roman" w:eastAsia="方正小标宋简体"/>
          <w:bCs/>
          <w:spacing w:val="-17"/>
          <w:sz w:val="44"/>
          <w:szCs w:val="44"/>
          <w:shd w:val="clear" w:color="auto" w:fill="FFFFFF"/>
        </w:rPr>
        <w:t>年政府信息公开工作年度报告  </w:t>
      </w:r>
    </w:p>
    <w:p>
      <w:pPr>
        <w:pStyle w:val="4"/>
        <w:spacing w:beforeAutospacing="0" w:afterAutospacing="0"/>
        <w:ind w:firstLine="480" w:firstLineChars="200"/>
        <w:jc w:val="both"/>
        <w:rPr>
          <w:rFonts w:ascii="微软雅黑" w:hAnsi="微软雅黑" w:eastAsia="微软雅黑" w:cs="微软雅黑"/>
          <w:spacing w:val="0"/>
          <w:szCs w:val="24"/>
        </w:rPr>
      </w:pPr>
      <w:r>
        <w:rPr>
          <w:rFonts w:hint="eastAsia" w:ascii="微软雅黑" w:hAnsi="微软雅黑" w:eastAsia="微软雅黑" w:cs="微软雅黑"/>
          <w:spacing w:val="0"/>
          <w:szCs w:val="24"/>
        </w:rPr>
        <w:t> </w:t>
      </w:r>
    </w:p>
    <w:p>
      <w:pPr>
        <w:pStyle w:val="4"/>
        <w:shd w:val="clear" w:color="auto" w:fill="FFFFFF"/>
        <w:spacing w:beforeAutospacing="0" w:afterAutospacing="0"/>
        <w:ind w:firstLine="640" w:firstLineChars="200"/>
        <w:rPr>
          <w:rFonts w:ascii="Times New Roman" w:hAnsi="Times New Roman"/>
          <w:spacing w:val="0"/>
          <w:sz w:val="32"/>
          <w:szCs w:val="32"/>
        </w:rPr>
      </w:pPr>
      <w:r>
        <w:rPr>
          <w:rFonts w:hint="eastAsia" w:ascii="Times New Roman" w:hAnsi="Times New Roman"/>
          <w:spacing w:val="0"/>
          <w:sz w:val="32"/>
          <w:szCs w:val="32"/>
        </w:rPr>
        <w:t>本年度报告中所列数据的统计期限自2023年1月1日起，至2023年12月31日止。如对报告内容有疑问，请与淄川区地方金融监督管理局联系（地址：</w:t>
      </w:r>
      <w:r>
        <w:rPr>
          <w:rFonts w:ascii="Times New Roman" w:hAnsi="Times New Roman"/>
          <w:spacing w:val="0"/>
          <w:sz w:val="32"/>
          <w:szCs w:val="32"/>
        </w:rPr>
        <w:t>山东省淄博市淄川区般阳路76号</w:t>
      </w:r>
      <w:r>
        <w:rPr>
          <w:rFonts w:hint="eastAsia" w:ascii="Times New Roman" w:hAnsi="Times New Roman"/>
          <w:spacing w:val="0"/>
          <w:sz w:val="32"/>
          <w:szCs w:val="32"/>
        </w:rPr>
        <w:t>；邮编：255100；电话：0533-5181689；电子邮箱：zcqjrb@zb.shandong.cn）。</w:t>
      </w:r>
    </w:p>
    <w:p>
      <w:pPr>
        <w:pStyle w:val="4"/>
        <w:shd w:val="clear" w:color="auto" w:fill="FFFFFF"/>
        <w:spacing w:beforeAutospacing="0" w:afterAutospacing="0"/>
        <w:ind w:firstLine="640" w:firstLineChars="200"/>
        <w:jc w:val="both"/>
        <w:rPr>
          <w:rFonts w:ascii="黑体" w:hAnsi="黑体" w:eastAsia="黑体" w:cs="黑体"/>
          <w:bCs/>
          <w:spacing w:val="0"/>
          <w:sz w:val="32"/>
          <w:szCs w:val="32"/>
          <w:shd w:val="clear" w:color="auto" w:fill="FFFFFF"/>
        </w:rPr>
      </w:pPr>
      <w:r>
        <w:rPr>
          <w:rFonts w:hint="eastAsia" w:ascii="黑体" w:hAnsi="黑体" w:eastAsia="黑体" w:cs="黑体"/>
          <w:bCs/>
          <w:spacing w:val="0"/>
          <w:sz w:val="32"/>
          <w:szCs w:val="32"/>
          <w:shd w:val="clear" w:color="auto" w:fill="FFFFFF"/>
        </w:rPr>
        <w:t>一、总体情况</w:t>
      </w:r>
    </w:p>
    <w:p>
      <w:pPr>
        <w:pStyle w:val="4"/>
        <w:shd w:val="clear" w:color="auto" w:fill="FFFFFF"/>
        <w:spacing w:beforeAutospacing="0" w:afterAutospacing="0"/>
        <w:ind w:firstLine="640" w:firstLineChars="200"/>
        <w:rPr>
          <w:rFonts w:ascii="Times New Roman" w:hAnsi="Times New Roman"/>
          <w:spacing w:val="0"/>
          <w:sz w:val="32"/>
          <w:szCs w:val="32"/>
        </w:rPr>
      </w:pPr>
      <w:r>
        <w:rPr>
          <w:rFonts w:hint="eastAsia" w:ascii="Times New Roman" w:hAnsi="Times New Roman"/>
          <w:spacing w:val="0"/>
          <w:sz w:val="32"/>
          <w:szCs w:val="32"/>
        </w:rPr>
        <w:t>2023年淄川区地方金融监管局全面贯彻落实党的二十大精神，严格按照《中华人民共和国政府信息公开条例》及省市区相关要求，进一步规范公开内容、公开格式、公开流程，完善公开制度，切实提高工作主动性、自觉性、严谨性，不断提升政务信息公开工作质量，取得了较好成效，现报告如下：</w:t>
      </w:r>
    </w:p>
    <w:p>
      <w:pPr>
        <w:pStyle w:val="4"/>
        <w:shd w:val="clear" w:color="auto" w:fill="FFFFFF"/>
        <w:spacing w:beforeAutospacing="0" w:afterAutospacing="0"/>
        <w:ind w:firstLine="640" w:firstLineChars="200"/>
        <w:rPr>
          <w:rFonts w:ascii="Times New Roman" w:hAnsi="Times New Roman"/>
          <w:spacing w:val="0"/>
          <w:sz w:val="32"/>
          <w:szCs w:val="32"/>
        </w:rPr>
      </w:pPr>
      <w:r>
        <w:rPr>
          <w:rFonts w:hint="eastAsia" w:ascii="Times New Roman" w:hAnsi="Times New Roman"/>
          <w:spacing w:val="0"/>
          <w:sz w:val="32"/>
          <w:szCs w:val="32"/>
        </w:rPr>
        <w:t>1.主动公开方面。</w:t>
      </w:r>
    </w:p>
    <w:p>
      <w:pPr>
        <w:pStyle w:val="4"/>
        <w:shd w:val="clear" w:color="auto" w:fill="FFFFFF"/>
        <w:spacing w:beforeAutospacing="0" w:afterAutospacing="0"/>
        <w:ind w:firstLine="640" w:firstLineChars="200"/>
        <w:rPr>
          <w:rFonts w:ascii="Times New Roman" w:hAnsi="Times New Roman"/>
          <w:spacing w:val="0"/>
          <w:sz w:val="32"/>
          <w:szCs w:val="32"/>
        </w:rPr>
      </w:pPr>
      <w:r>
        <w:rPr>
          <w:rFonts w:hint="eastAsia" w:ascii="Times New Roman" w:hAnsi="Times New Roman"/>
          <w:spacing w:val="0"/>
          <w:sz w:val="32"/>
          <w:szCs w:val="32"/>
        </w:rPr>
        <w:t>2023年，淄川区地方金融监督管理局主动公开政府信息52条。公开类别：规划计划类2条；政策文件类11条；重要部署执行类5条；建议提案类6条；财政信息类5条；行政执法公示类9条；防范化解重大风险类4条；“双随机，一公开”4条；优化营商环境类4条；政府信息公开目录类1条；政府信息公开年度报告1条。</w:t>
      </w:r>
    </w:p>
    <w:p>
      <w:pPr>
        <w:pStyle w:val="4"/>
        <w:shd w:val="clear" w:color="auto" w:fill="FFFFFF"/>
        <w:spacing w:beforeAutospacing="0" w:afterAutospacing="0"/>
        <w:ind w:firstLine="640" w:firstLineChars="200"/>
        <w:rPr>
          <w:rFonts w:ascii="Times New Roman" w:hAnsi="Times New Roman"/>
          <w:spacing w:val="0"/>
          <w:sz w:val="32"/>
          <w:szCs w:val="32"/>
        </w:rPr>
      </w:pPr>
      <w:r>
        <w:rPr>
          <w:rFonts w:hint="eastAsia" w:ascii="Times New Roman" w:hAnsi="Times New Roman"/>
          <w:spacing w:val="0"/>
          <w:sz w:val="32"/>
          <w:szCs w:val="32"/>
        </w:rPr>
        <w:t>2.依申请公开工作方面。</w:t>
      </w:r>
    </w:p>
    <w:p>
      <w:pPr>
        <w:pStyle w:val="4"/>
        <w:shd w:val="clear" w:color="auto" w:fill="FFFFFF"/>
        <w:spacing w:beforeAutospacing="0" w:afterAutospacing="0"/>
        <w:ind w:firstLine="640" w:firstLineChars="200"/>
        <w:rPr>
          <w:rFonts w:ascii="Times New Roman" w:hAnsi="Times New Roman"/>
          <w:spacing w:val="0"/>
          <w:sz w:val="32"/>
          <w:szCs w:val="32"/>
        </w:rPr>
      </w:pPr>
      <w:r>
        <w:rPr>
          <w:rFonts w:hint="eastAsia" w:ascii="Times New Roman" w:hAnsi="Times New Roman"/>
          <w:spacing w:val="0"/>
          <w:sz w:val="32"/>
          <w:szCs w:val="32"/>
        </w:rPr>
        <w:t>我局</w:t>
      </w:r>
      <w:bookmarkStart w:id="0" w:name="_Hlk157155260"/>
      <w:r>
        <w:rPr>
          <w:rFonts w:hint="eastAsia" w:ascii="Times New Roman" w:hAnsi="Times New Roman"/>
          <w:spacing w:val="0"/>
          <w:sz w:val="32"/>
          <w:szCs w:val="32"/>
        </w:rPr>
        <w:t>2023年未收到依申请公开事项</w:t>
      </w:r>
      <w:bookmarkEnd w:id="0"/>
      <w:r>
        <w:rPr>
          <w:rFonts w:hint="eastAsia" w:ascii="Times New Roman" w:hAnsi="Times New Roman"/>
          <w:spacing w:val="0"/>
          <w:sz w:val="32"/>
          <w:szCs w:val="32"/>
        </w:rPr>
        <w:t>。</w:t>
      </w:r>
    </w:p>
    <w:p>
      <w:pPr>
        <w:pStyle w:val="4"/>
        <w:shd w:val="clear" w:color="auto" w:fill="FFFFFF"/>
        <w:spacing w:beforeAutospacing="0" w:afterAutospacing="0"/>
        <w:ind w:firstLine="640" w:firstLineChars="200"/>
        <w:rPr>
          <w:rFonts w:ascii="Times New Roman" w:hAnsi="Times New Roman"/>
          <w:spacing w:val="0"/>
          <w:sz w:val="32"/>
          <w:szCs w:val="32"/>
        </w:rPr>
      </w:pPr>
      <w:r>
        <w:rPr>
          <w:rFonts w:hint="eastAsia" w:ascii="Times New Roman" w:hAnsi="Times New Roman"/>
          <w:spacing w:val="0"/>
          <w:sz w:val="32"/>
          <w:szCs w:val="32"/>
        </w:rPr>
        <w:t>3.政府信息管理情况。</w:t>
      </w:r>
    </w:p>
    <w:p>
      <w:pPr>
        <w:pStyle w:val="4"/>
        <w:shd w:val="clear" w:color="auto" w:fill="FFFFFF"/>
        <w:spacing w:beforeAutospacing="0" w:afterAutospacing="0"/>
        <w:ind w:firstLine="640" w:firstLineChars="200"/>
        <w:rPr>
          <w:rFonts w:ascii="Times New Roman" w:hAnsi="Times New Roman"/>
          <w:spacing w:val="0"/>
          <w:sz w:val="32"/>
          <w:szCs w:val="32"/>
        </w:rPr>
      </w:pPr>
      <w:r>
        <w:rPr>
          <w:rFonts w:hint="eastAsia" w:ascii="Times New Roman" w:hAnsi="Times New Roman"/>
          <w:spacing w:val="0"/>
          <w:sz w:val="32"/>
          <w:szCs w:val="32"/>
        </w:rPr>
        <w:t>我局严格落实《中华人民共和国政府信息公开条例》，制定发布我局政府信息主动公开基本目录（2023年版），</w:t>
      </w:r>
      <w:bookmarkStart w:id="1" w:name="_Hlk157155200"/>
      <w:r>
        <w:rPr>
          <w:rFonts w:hint="eastAsia" w:ascii="Times New Roman" w:hAnsi="Times New Roman"/>
          <w:spacing w:val="0"/>
          <w:sz w:val="32"/>
          <w:szCs w:val="32"/>
        </w:rPr>
        <w:t>明确公开内容、公开主体、公开时限及方式、公开载体；完善信息公开源头认定机制，加强本部门文件管理；落实政务信息公开保密管理制度，每件文稿都严格执行“三审三校”，确保公开文件不不涉密。</w:t>
      </w:r>
    </w:p>
    <w:bookmarkEnd w:id="1"/>
    <w:p>
      <w:pPr>
        <w:pStyle w:val="4"/>
        <w:shd w:val="clear" w:color="auto" w:fill="FFFFFF"/>
        <w:spacing w:beforeAutospacing="0" w:afterAutospacing="0"/>
        <w:ind w:firstLine="640" w:firstLineChars="200"/>
        <w:rPr>
          <w:rFonts w:ascii="Times New Roman" w:hAnsi="Times New Roman"/>
          <w:spacing w:val="0"/>
          <w:sz w:val="32"/>
          <w:szCs w:val="32"/>
        </w:rPr>
      </w:pPr>
      <w:r>
        <w:rPr>
          <w:rFonts w:hint="eastAsia" w:ascii="Times New Roman" w:hAnsi="Times New Roman"/>
          <w:spacing w:val="0"/>
          <w:sz w:val="32"/>
          <w:szCs w:val="32"/>
        </w:rPr>
        <w:t>4.平台建设方面。</w:t>
      </w:r>
    </w:p>
    <w:p>
      <w:pPr>
        <w:pStyle w:val="4"/>
        <w:shd w:val="clear" w:color="auto" w:fill="FFFFFF"/>
        <w:spacing w:beforeAutospacing="0" w:afterAutospacing="0"/>
        <w:ind w:firstLine="640" w:firstLineChars="200"/>
        <w:rPr>
          <w:rFonts w:ascii="Times New Roman" w:hAnsi="Times New Roman"/>
          <w:spacing w:val="0"/>
          <w:sz w:val="32"/>
          <w:szCs w:val="32"/>
        </w:rPr>
      </w:pPr>
      <w:r>
        <w:rPr>
          <w:rFonts w:hint="eastAsia" w:ascii="Times New Roman" w:hAnsi="Times New Roman"/>
          <w:spacing w:val="0"/>
          <w:sz w:val="32"/>
          <w:szCs w:val="32"/>
        </w:rPr>
        <w:t>持续建优建强政府信息公开平台，优化栏目设置，提升网站信息发布质量；充分发挥政务新媒体宣传推介作用，截至2023年12月31日，各政务新媒体发布图文、视频资料256条，及时发布金融监管服务工作动态、相关政策解读等信息。</w:t>
      </w:r>
    </w:p>
    <w:p>
      <w:pPr>
        <w:pStyle w:val="4"/>
        <w:shd w:val="clear" w:color="auto" w:fill="FFFFFF"/>
        <w:spacing w:beforeAutospacing="0" w:afterAutospacing="0"/>
        <w:ind w:firstLine="640" w:firstLineChars="200"/>
        <w:rPr>
          <w:rFonts w:ascii="Times New Roman" w:hAnsi="Times New Roman"/>
          <w:spacing w:val="0"/>
          <w:sz w:val="32"/>
          <w:szCs w:val="32"/>
        </w:rPr>
      </w:pPr>
      <w:r>
        <w:rPr>
          <w:rFonts w:hint="eastAsia" w:ascii="Times New Roman" w:hAnsi="Times New Roman"/>
          <w:spacing w:val="0"/>
          <w:sz w:val="32"/>
          <w:szCs w:val="32"/>
        </w:rPr>
        <w:t>5.监督保障情况。</w:t>
      </w:r>
    </w:p>
    <w:p>
      <w:pPr>
        <w:pStyle w:val="4"/>
        <w:shd w:val="clear" w:color="auto" w:fill="FFFFFF"/>
        <w:spacing w:beforeAutospacing="0" w:afterAutospacing="0"/>
        <w:ind w:firstLine="640" w:firstLineChars="200"/>
        <w:rPr>
          <w:rFonts w:ascii="Times New Roman" w:hAnsi="Times New Roman"/>
          <w:spacing w:val="0"/>
          <w:sz w:val="32"/>
          <w:szCs w:val="32"/>
        </w:rPr>
      </w:pPr>
      <w:r>
        <w:rPr>
          <w:rFonts w:hint="eastAsia" w:ascii="Times New Roman" w:hAnsi="Times New Roman"/>
          <w:spacing w:val="0"/>
          <w:sz w:val="32"/>
          <w:szCs w:val="32"/>
        </w:rPr>
        <w:t>调整完善局政府信息公开管理工作小组，调整局信息管理员，按照政务公开工作任务分解表要求及时上传相关信息；定期对信息管理员进行业务培训，认真学习上级有关政府信息公开的文件和会议精神，不断提升政务公开水平，促进政府信息公开工作日趋制度化、规范化。</w:t>
      </w:r>
    </w:p>
    <w:p>
      <w:pPr>
        <w:pStyle w:val="4"/>
        <w:widowControl/>
        <w:numPr>
          <w:ilvl w:val="0"/>
          <w:numId w:val="1"/>
        </w:numPr>
        <w:shd w:val="clear" w:color="auto" w:fill="FFFFFF"/>
        <w:spacing w:beforeAutospacing="0" w:afterAutospacing="0"/>
        <w:ind w:firstLine="640" w:firstLineChars="200"/>
        <w:jc w:val="both"/>
        <w:rPr>
          <w:rFonts w:ascii="黑体" w:hAnsi="黑体" w:eastAsia="黑体" w:cs="黑体"/>
          <w:bCs/>
          <w:spacing w:val="0"/>
          <w:sz w:val="32"/>
          <w:szCs w:val="32"/>
          <w:shd w:val="clear" w:color="auto" w:fill="FFFFFF"/>
        </w:rPr>
      </w:pPr>
      <w:r>
        <w:rPr>
          <w:rFonts w:hint="eastAsia" w:ascii="黑体" w:hAnsi="黑体" w:eastAsia="黑体" w:cs="黑体"/>
          <w:bCs/>
          <w:spacing w:val="0"/>
          <w:sz w:val="32"/>
          <w:szCs w:val="32"/>
          <w:shd w:val="clear" w:color="auto" w:fill="FFFFFF"/>
        </w:rPr>
        <w:t>主动公开政府信息情况</w:t>
      </w:r>
    </w:p>
    <w:tbl>
      <w:tblPr>
        <w:tblStyle w:val="6"/>
        <w:tblW w:w="7500" w:type="dxa"/>
        <w:tblInd w:w="0" w:type="dxa"/>
        <w:tblLayout w:type="fixed"/>
        <w:tblCellMar>
          <w:top w:w="0" w:type="dxa"/>
          <w:left w:w="108" w:type="dxa"/>
          <w:bottom w:w="0" w:type="dxa"/>
          <w:right w:w="108" w:type="dxa"/>
        </w:tblCellMar>
      </w:tblPr>
      <w:tblGrid>
        <w:gridCol w:w="1875"/>
        <w:gridCol w:w="1875"/>
        <w:gridCol w:w="1875"/>
        <w:gridCol w:w="1875"/>
      </w:tblGrid>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spacing w:val="0"/>
                <w:kern w:val="0"/>
                <w:sz w:val="21"/>
                <w:szCs w:val="21"/>
              </w:rPr>
            </w:pPr>
            <w:r>
              <w:rPr>
                <w:rFonts w:hint="eastAsia" w:ascii="黑体" w:hAnsi="黑体" w:eastAsia="黑体" w:cs="宋体"/>
                <w:spacing w:val="0"/>
                <w:kern w:val="0"/>
                <w:sz w:val="21"/>
                <w:szCs w:val="21"/>
              </w:rPr>
              <w:t>第二十条第（一）项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cs="宋体"/>
                <w:b/>
                <w:bCs/>
                <w:spacing w:val="0"/>
                <w:kern w:val="0"/>
                <w:sz w:val="21"/>
                <w:szCs w:val="21"/>
              </w:rPr>
            </w:pPr>
            <w:r>
              <w:rPr>
                <w:rFonts w:hint="eastAsia" w:ascii="仿宋_GB2312" w:hAnsi="宋体" w:cs="宋体"/>
                <w:b/>
                <w:bCs/>
                <w:spacing w:val="0"/>
                <w:kern w:val="0"/>
                <w:sz w:val="21"/>
                <w:szCs w:val="21"/>
              </w:rPr>
              <w:t>信息内容</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cs="宋体"/>
                <w:b/>
                <w:bCs/>
                <w:spacing w:val="0"/>
                <w:kern w:val="0"/>
                <w:sz w:val="21"/>
                <w:szCs w:val="21"/>
              </w:rPr>
            </w:pPr>
            <w:r>
              <w:rPr>
                <w:rFonts w:hint="eastAsia" w:ascii="仿宋_GB2312" w:hAnsi="宋体" w:cs="宋体"/>
                <w:b/>
                <w:bCs/>
                <w:spacing w:val="0"/>
                <w:kern w:val="0"/>
                <w:sz w:val="21"/>
                <w:szCs w:val="21"/>
              </w:rPr>
              <w:t>本年制发件数</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cs="宋体"/>
                <w:b/>
                <w:bCs/>
                <w:spacing w:val="0"/>
                <w:kern w:val="0"/>
                <w:sz w:val="21"/>
                <w:szCs w:val="21"/>
              </w:rPr>
            </w:pPr>
            <w:r>
              <w:rPr>
                <w:rFonts w:hint="eastAsia" w:ascii="仿宋_GB2312" w:hAnsi="宋体" w:cs="宋体"/>
                <w:b/>
                <w:bCs/>
                <w:spacing w:val="0"/>
                <w:kern w:val="0"/>
                <w:sz w:val="21"/>
                <w:szCs w:val="21"/>
              </w:rPr>
              <w:t>本年废止件数</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cs="宋体"/>
                <w:b/>
                <w:bCs/>
                <w:spacing w:val="0"/>
                <w:kern w:val="0"/>
                <w:sz w:val="21"/>
                <w:szCs w:val="21"/>
              </w:rPr>
            </w:pPr>
            <w:r>
              <w:rPr>
                <w:rFonts w:hint="eastAsia" w:ascii="仿宋_GB2312" w:hAnsi="宋体" w:cs="宋体"/>
                <w:b/>
                <w:bCs/>
                <w:spacing w:val="0"/>
                <w:kern w:val="0"/>
                <w:sz w:val="21"/>
                <w:szCs w:val="21"/>
              </w:rPr>
              <w:t>现行有效件数</w:t>
            </w:r>
          </w:p>
        </w:tc>
      </w:tr>
      <w:tr>
        <w:tblPrEx>
          <w:tblCellMar>
            <w:top w:w="0" w:type="dxa"/>
            <w:left w:w="108" w:type="dxa"/>
            <w:bottom w:w="0" w:type="dxa"/>
            <w:right w:w="108" w:type="dxa"/>
          </w:tblCellMar>
        </w:tblPrEx>
        <w:trPr>
          <w:trHeight w:val="904"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cs="宋体"/>
                <w:b/>
                <w:bCs/>
                <w:spacing w:val="0"/>
                <w:kern w:val="0"/>
                <w:sz w:val="21"/>
                <w:szCs w:val="21"/>
              </w:rPr>
            </w:pPr>
            <w:r>
              <w:rPr>
                <w:rFonts w:hint="eastAsia" w:ascii="仿宋_GB2312" w:hAnsi="宋体" w:cs="宋体"/>
                <w:b/>
                <w:bCs/>
                <w:spacing w:val="0"/>
                <w:kern w:val="0"/>
                <w:sz w:val="21"/>
                <w:szCs w:val="21"/>
              </w:rPr>
              <w:t>规章</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cs="宋体"/>
                <w:spacing w:val="0"/>
                <w:kern w:val="0"/>
                <w:sz w:val="21"/>
                <w:szCs w:val="21"/>
              </w:rPr>
            </w:pPr>
            <w:r>
              <w:rPr>
                <w:rFonts w:hint="eastAsia" w:ascii="仿宋_GB2312" w:hAnsi="宋体" w:cs="宋体"/>
                <w:spacing w:val="0"/>
                <w:kern w:val="0"/>
                <w:sz w:val="21"/>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cs="宋体"/>
                <w:spacing w:val="0"/>
                <w:kern w:val="0"/>
                <w:sz w:val="21"/>
                <w:szCs w:val="21"/>
              </w:rPr>
            </w:pPr>
            <w:r>
              <w:rPr>
                <w:rFonts w:hint="eastAsia" w:ascii="仿宋_GB2312" w:hAnsi="宋体" w:cs="宋体"/>
                <w:spacing w:val="0"/>
                <w:kern w:val="0"/>
                <w:sz w:val="21"/>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cs="宋体"/>
                <w:spacing w:val="0"/>
                <w:kern w:val="0"/>
                <w:sz w:val="21"/>
                <w:szCs w:val="21"/>
              </w:rPr>
            </w:pPr>
            <w:r>
              <w:rPr>
                <w:rFonts w:hint="eastAsia" w:ascii="仿宋_GB2312" w:hAnsi="宋体" w:cs="宋体"/>
                <w:spacing w:val="0"/>
                <w:kern w:val="0"/>
                <w:sz w:val="21"/>
                <w:szCs w:val="21"/>
              </w:rPr>
              <w:t>0</w:t>
            </w:r>
          </w:p>
        </w:tc>
      </w:tr>
      <w:tr>
        <w:tblPrEx>
          <w:tblCellMar>
            <w:top w:w="0" w:type="dxa"/>
            <w:left w:w="108" w:type="dxa"/>
            <w:bottom w:w="0" w:type="dxa"/>
            <w:right w:w="108" w:type="dxa"/>
          </w:tblCellMar>
        </w:tblPrEx>
        <w:trPr>
          <w:trHeight w:val="1028" w:hRule="atLeast"/>
        </w:trPr>
        <w:tc>
          <w:tcPr>
            <w:tcW w:w="1875" w:type="dxa"/>
            <w:tcBorders>
              <w:top w:val="nil"/>
              <w:left w:val="single" w:color="auto" w:sz="8" w:space="0"/>
              <w:bottom w:val="single" w:color="auto" w:sz="8" w:space="0"/>
              <w:right w:val="single" w:color="auto" w:sz="8" w:space="0"/>
            </w:tcBorders>
            <w:vAlign w:val="center"/>
          </w:tcPr>
          <w:p>
            <w:pPr>
              <w:widowControl/>
              <w:jc w:val="left"/>
              <w:rPr>
                <w:rFonts w:ascii="仿宋_GB2312" w:hAnsi="宋体" w:cs="宋体"/>
                <w:b/>
                <w:bCs/>
                <w:spacing w:val="0"/>
                <w:kern w:val="0"/>
                <w:sz w:val="21"/>
                <w:szCs w:val="21"/>
              </w:rPr>
            </w:pPr>
            <w:r>
              <w:rPr>
                <w:rFonts w:hint="eastAsia" w:ascii="仿宋_GB2312" w:hAnsi="宋体" w:cs="宋体"/>
                <w:b/>
                <w:bCs/>
                <w:spacing w:val="0"/>
                <w:kern w:val="0"/>
                <w:sz w:val="21"/>
                <w:szCs w:val="21"/>
              </w:rPr>
              <w:t>行政规范性文件</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cs="宋体"/>
                <w:spacing w:val="0"/>
                <w:kern w:val="0"/>
                <w:sz w:val="21"/>
                <w:szCs w:val="21"/>
              </w:rPr>
            </w:pPr>
            <w:r>
              <w:rPr>
                <w:rFonts w:hint="eastAsia" w:ascii="仿宋_GB2312" w:hAnsi="宋体" w:cs="宋体"/>
                <w:spacing w:val="0"/>
                <w:kern w:val="0"/>
                <w:sz w:val="21"/>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cs="宋体"/>
                <w:spacing w:val="0"/>
                <w:kern w:val="0"/>
                <w:sz w:val="21"/>
                <w:szCs w:val="21"/>
              </w:rPr>
            </w:pPr>
            <w:r>
              <w:rPr>
                <w:rFonts w:hint="eastAsia" w:ascii="仿宋_GB2312" w:hAnsi="宋体" w:cs="宋体"/>
                <w:spacing w:val="0"/>
                <w:kern w:val="0"/>
                <w:sz w:val="21"/>
                <w:szCs w:val="21"/>
              </w:rPr>
              <w:t>0</w:t>
            </w:r>
          </w:p>
        </w:tc>
        <w:tc>
          <w:tcPr>
            <w:tcW w:w="1875" w:type="dxa"/>
            <w:tcBorders>
              <w:top w:val="nil"/>
              <w:left w:val="nil"/>
              <w:bottom w:val="single" w:color="auto" w:sz="8" w:space="0"/>
              <w:right w:val="single" w:color="auto" w:sz="8" w:space="0"/>
            </w:tcBorders>
            <w:vAlign w:val="center"/>
          </w:tcPr>
          <w:p>
            <w:pPr>
              <w:widowControl/>
              <w:jc w:val="center"/>
              <w:rPr>
                <w:rFonts w:ascii="仿宋_GB2312" w:hAnsi="宋体" w:cs="宋体"/>
                <w:spacing w:val="0"/>
                <w:kern w:val="0"/>
                <w:sz w:val="21"/>
                <w:szCs w:val="21"/>
              </w:rPr>
            </w:pPr>
            <w:r>
              <w:rPr>
                <w:rFonts w:hint="eastAsia" w:ascii="仿宋_GB2312" w:hAnsi="宋体" w:cs="宋体"/>
                <w:spacing w:val="0"/>
                <w:kern w:val="0"/>
                <w:sz w:val="21"/>
                <w:szCs w:val="21"/>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spacing w:val="0"/>
                <w:kern w:val="0"/>
                <w:sz w:val="21"/>
                <w:szCs w:val="21"/>
              </w:rPr>
            </w:pPr>
            <w:r>
              <w:rPr>
                <w:rFonts w:hint="eastAsia" w:ascii="黑体" w:hAnsi="黑体" w:eastAsia="黑体" w:cs="宋体"/>
                <w:spacing w:val="0"/>
                <w:kern w:val="0"/>
                <w:sz w:val="21"/>
                <w:szCs w:val="21"/>
              </w:rPr>
              <w:t>第二十条第（五）项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cs="宋体"/>
                <w:b/>
                <w:bCs/>
                <w:spacing w:val="0"/>
                <w:kern w:val="0"/>
                <w:sz w:val="21"/>
                <w:szCs w:val="21"/>
              </w:rPr>
            </w:pPr>
            <w:r>
              <w:rPr>
                <w:rFonts w:hint="eastAsia" w:ascii="仿宋_GB2312" w:hAnsi="宋体" w:cs="宋体"/>
                <w:b/>
                <w:bCs/>
                <w:spacing w:val="0"/>
                <w:kern w:val="0"/>
                <w:sz w:val="21"/>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cs="宋体"/>
                <w:b/>
                <w:bCs/>
                <w:spacing w:val="0"/>
                <w:kern w:val="0"/>
                <w:sz w:val="21"/>
                <w:szCs w:val="21"/>
              </w:rPr>
            </w:pPr>
            <w:r>
              <w:rPr>
                <w:rFonts w:hint="eastAsia" w:ascii="仿宋_GB2312" w:hAnsi="宋体" w:cs="宋体"/>
                <w:b/>
                <w:bCs/>
                <w:spacing w:val="0"/>
                <w:kern w:val="0"/>
                <w:sz w:val="21"/>
                <w:szCs w:val="21"/>
              </w:rPr>
              <w:t>本年处理决定数量</w:t>
            </w:r>
          </w:p>
        </w:tc>
      </w:tr>
      <w:tr>
        <w:tblPrEx>
          <w:tblCellMar>
            <w:top w:w="0" w:type="dxa"/>
            <w:left w:w="108" w:type="dxa"/>
            <w:bottom w:w="0" w:type="dxa"/>
            <w:right w:w="108" w:type="dxa"/>
          </w:tblCellMar>
        </w:tblPrEx>
        <w:trPr>
          <w:trHeight w:val="880"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cs="宋体"/>
                <w:spacing w:val="0"/>
                <w:kern w:val="0"/>
                <w:sz w:val="21"/>
                <w:szCs w:val="21"/>
              </w:rPr>
            </w:pPr>
            <w:r>
              <w:rPr>
                <w:rFonts w:hint="eastAsia" w:ascii="仿宋_GB2312" w:hAnsi="宋体" w:cs="宋体"/>
                <w:b/>
                <w:bCs/>
                <w:spacing w:val="0"/>
                <w:kern w:val="0"/>
                <w:sz w:val="21"/>
                <w:szCs w:val="21"/>
              </w:rPr>
              <w:t>行政许可</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cs="Calibri"/>
                <w:spacing w:val="0"/>
                <w:kern w:val="0"/>
                <w:sz w:val="21"/>
                <w:szCs w:val="21"/>
              </w:rPr>
            </w:pPr>
            <w:r>
              <w:rPr>
                <w:rFonts w:hint="eastAsia" w:ascii="仿宋_GB2312" w:cs="Calibri"/>
                <w:spacing w:val="0"/>
                <w:kern w:val="0"/>
                <w:sz w:val="21"/>
                <w:szCs w:val="21"/>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spacing w:val="0"/>
                <w:kern w:val="0"/>
                <w:sz w:val="21"/>
                <w:szCs w:val="21"/>
              </w:rPr>
            </w:pPr>
            <w:r>
              <w:rPr>
                <w:rFonts w:hint="eastAsia" w:ascii="黑体" w:hAnsi="黑体" w:eastAsia="黑体" w:cs="宋体"/>
                <w:spacing w:val="0"/>
                <w:kern w:val="0"/>
                <w:sz w:val="21"/>
                <w:szCs w:val="21"/>
              </w:rPr>
              <w:t>第二十条第（六）项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cs="宋体"/>
                <w:b/>
                <w:bCs/>
                <w:spacing w:val="0"/>
                <w:kern w:val="0"/>
                <w:sz w:val="21"/>
                <w:szCs w:val="21"/>
              </w:rPr>
            </w:pPr>
            <w:r>
              <w:rPr>
                <w:rFonts w:hint="eastAsia" w:ascii="仿宋_GB2312" w:hAnsi="宋体" w:cs="宋体"/>
                <w:b/>
                <w:bCs/>
                <w:spacing w:val="0"/>
                <w:kern w:val="0"/>
                <w:sz w:val="21"/>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cs="宋体"/>
                <w:b/>
                <w:bCs/>
                <w:spacing w:val="0"/>
                <w:kern w:val="0"/>
                <w:sz w:val="21"/>
                <w:szCs w:val="21"/>
              </w:rPr>
            </w:pPr>
            <w:r>
              <w:rPr>
                <w:rFonts w:hint="eastAsia" w:ascii="仿宋_GB2312" w:hAnsi="宋体" w:cs="宋体"/>
                <w:b/>
                <w:bCs/>
                <w:spacing w:val="0"/>
                <w:kern w:val="0"/>
                <w:sz w:val="21"/>
                <w:szCs w:val="21"/>
              </w:rPr>
              <w:t>本年处理决定数量</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cs="宋体"/>
                <w:b/>
                <w:bCs/>
                <w:spacing w:val="0"/>
                <w:kern w:val="0"/>
                <w:sz w:val="21"/>
                <w:szCs w:val="21"/>
              </w:rPr>
            </w:pPr>
            <w:r>
              <w:rPr>
                <w:rFonts w:hint="eastAsia" w:ascii="仿宋_GB2312" w:hAnsi="宋体" w:cs="宋体"/>
                <w:b/>
                <w:bCs/>
                <w:spacing w:val="0"/>
                <w:kern w:val="0"/>
                <w:sz w:val="21"/>
                <w:szCs w:val="21"/>
              </w:rPr>
              <w:t>行政处罚</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cs="宋体"/>
                <w:spacing w:val="0"/>
                <w:kern w:val="0"/>
                <w:sz w:val="21"/>
                <w:szCs w:val="21"/>
              </w:rPr>
            </w:pPr>
            <w:r>
              <w:rPr>
                <w:rFonts w:hint="eastAsia" w:ascii="仿宋_GB2312" w:hAnsi="宋体" w:cs="宋体"/>
                <w:spacing w:val="0"/>
                <w:kern w:val="0"/>
                <w:sz w:val="21"/>
                <w:szCs w:val="21"/>
              </w:rPr>
              <w:t>0</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cs="宋体"/>
                <w:b/>
                <w:bCs/>
                <w:spacing w:val="0"/>
                <w:kern w:val="0"/>
                <w:sz w:val="21"/>
                <w:szCs w:val="21"/>
              </w:rPr>
            </w:pPr>
            <w:r>
              <w:rPr>
                <w:rFonts w:hint="eastAsia" w:ascii="仿宋_GB2312" w:hAnsi="宋体" w:cs="宋体"/>
                <w:b/>
                <w:bCs/>
                <w:spacing w:val="0"/>
                <w:kern w:val="0"/>
                <w:sz w:val="21"/>
                <w:szCs w:val="21"/>
              </w:rPr>
              <w:t>行政强制</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cs="宋体"/>
                <w:spacing w:val="0"/>
                <w:kern w:val="0"/>
                <w:sz w:val="21"/>
                <w:szCs w:val="21"/>
              </w:rPr>
            </w:pPr>
            <w:r>
              <w:rPr>
                <w:rFonts w:hint="eastAsia" w:ascii="仿宋_GB2312" w:hAnsi="宋体" w:cs="宋体"/>
                <w:spacing w:val="0"/>
                <w:kern w:val="0"/>
                <w:sz w:val="21"/>
                <w:szCs w:val="21"/>
              </w:rPr>
              <w:t>0</w:t>
            </w:r>
          </w:p>
        </w:tc>
      </w:tr>
      <w:tr>
        <w:tblPrEx>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spacing w:val="0"/>
                <w:kern w:val="0"/>
                <w:sz w:val="21"/>
                <w:szCs w:val="21"/>
              </w:rPr>
            </w:pPr>
            <w:r>
              <w:rPr>
                <w:rFonts w:hint="eastAsia" w:ascii="黑体" w:hAnsi="黑体" w:eastAsia="黑体" w:cs="宋体"/>
                <w:spacing w:val="0"/>
                <w:kern w:val="0"/>
                <w:sz w:val="21"/>
                <w:szCs w:val="21"/>
              </w:rPr>
              <w:t>第二十条第（八）项</w:t>
            </w:r>
          </w:p>
        </w:tc>
      </w:tr>
      <w:tr>
        <w:tblPrEx>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cs="宋体"/>
                <w:b/>
                <w:bCs/>
                <w:spacing w:val="0"/>
                <w:kern w:val="0"/>
                <w:sz w:val="21"/>
                <w:szCs w:val="21"/>
              </w:rPr>
            </w:pPr>
            <w:r>
              <w:rPr>
                <w:rFonts w:hint="eastAsia" w:ascii="仿宋_GB2312" w:hAnsi="宋体" w:cs="宋体"/>
                <w:b/>
                <w:bCs/>
                <w:spacing w:val="0"/>
                <w:kern w:val="0"/>
                <w:sz w:val="21"/>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cs="宋体"/>
                <w:b/>
                <w:bCs/>
                <w:spacing w:val="0"/>
                <w:kern w:val="0"/>
                <w:sz w:val="21"/>
                <w:szCs w:val="21"/>
              </w:rPr>
            </w:pPr>
            <w:r>
              <w:rPr>
                <w:rFonts w:hint="eastAsia" w:ascii="仿宋_GB2312" w:hAnsi="宋体" w:cs="宋体"/>
                <w:b/>
                <w:bCs/>
                <w:spacing w:val="0"/>
                <w:kern w:val="0"/>
                <w:sz w:val="21"/>
                <w:szCs w:val="21"/>
              </w:rPr>
              <w:t>本年收费金额（单位：万元）</w:t>
            </w:r>
          </w:p>
        </w:tc>
      </w:tr>
      <w:tr>
        <w:tblPrEx>
          <w:tblCellMar>
            <w:top w:w="0" w:type="dxa"/>
            <w:left w:w="108" w:type="dxa"/>
            <w:bottom w:w="0" w:type="dxa"/>
            <w:right w:w="108" w:type="dxa"/>
          </w:tblCellMar>
        </w:tblPrEx>
        <w:trPr>
          <w:trHeight w:val="1045"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cs="宋体"/>
                <w:spacing w:val="0"/>
                <w:kern w:val="0"/>
                <w:sz w:val="21"/>
                <w:szCs w:val="21"/>
              </w:rPr>
            </w:pPr>
            <w:r>
              <w:rPr>
                <w:rFonts w:hint="eastAsia" w:ascii="仿宋_GB2312" w:hAnsi="宋体" w:cs="宋体"/>
                <w:b/>
                <w:bCs/>
                <w:spacing w:val="0"/>
                <w:kern w:val="0"/>
                <w:sz w:val="21"/>
                <w:szCs w:val="21"/>
              </w:rPr>
              <w:t>行政事业性收费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cs="Calibri"/>
                <w:spacing w:val="0"/>
                <w:kern w:val="0"/>
                <w:sz w:val="21"/>
                <w:szCs w:val="21"/>
              </w:rPr>
            </w:pPr>
            <w:r>
              <w:rPr>
                <w:rFonts w:hint="eastAsia" w:ascii="仿宋_GB2312" w:cs="Calibri"/>
                <w:spacing w:val="0"/>
                <w:kern w:val="0"/>
                <w:sz w:val="21"/>
                <w:szCs w:val="21"/>
              </w:rPr>
              <w:t>0</w:t>
            </w:r>
          </w:p>
        </w:tc>
      </w:tr>
    </w:tbl>
    <w:p>
      <w:pPr>
        <w:pStyle w:val="4"/>
        <w:widowControl/>
        <w:shd w:val="clear" w:color="auto" w:fill="FFFFFF"/>
        <w:spacing w:beforeAutospacing="0" w:afterAutospacing="0"/>
        <w:ind w:left="420"/>
        <w:jc w:val="both"/>
        <w:rPr>
          <w:rFonts w:ascii="黑体" w:hAnsi="黑体" w:eastAsia="黑体" w:cs="黑体"/>
          <w:bCs/>
          <w:spacing w:val="0"/>
          <w:sz w:val="32"/>
          <w:szCs w:val="32"/>
          <w:shd w:val="clear" w:color="auto" w:fill="FFFFFF"/>
        </w:rPr>
      </w:pPr>
    </w:p>
    <w:p>
      <w:pPr>
        <w:pStyle w:val="4"/>
        <w:widowControl/>
        <w:numPr>
          <w:ilvl w:val="0"/>
          <w:numId w:val="1"/>
        </w:numPr>
        <w:shd w:val="clear" w:color="auto" w:fill="FFFFFF"/>
        <w:spacing w:beforeAutospacing="0" w:afterAutospacing="0"/>
        <w:ind w:firstLine="640" w:firstLineChars="200"/>
        <w:jc w:val="both"/>
        <w:rPr>
          <w:rFonts w:ascii="黑体" w:hAnsi="黑体" w:eastAsia="黑体" w:cs="黑体"/>
          <w:bCs/>
          <w:spacing w:val="0"/>
          <w:sz w:val="32"/>
          <w:szCs w:val="32"/>
          <w:shd w:val="clear" w:color="auto" w:fill="FFFFFF"/>
        </w:rPr>
      </w:pPr>
      <w:r>
        <w:rPr>
          <w:rFonts w:hint="eastAsia" w:ascii="黑体" w:hAnsi="黑体" w:eastAsia="黑体" w:cs="黑体"/>
          <w:bCs/>
          <w:spacing w:val="0"/>
          <w:sz w:val="32"/>
          <w:szCs w:val="32"/>
          <w:shd w:val="clear" w:color="auto" w:fill="FFFFFF"/>
        </w:rPr>
        <w:t>收到和处理政府信息公开申请情况</w:t>
      </w:r>
    </w:p>
    <w:tbl>
      <w:tblPr>
        <w:tblStyle w:val="6"/>
        <w:tblW w:w="78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81"/>
        <w:gridCol w:w="736"/>
        <w:gridCol w:w="2531"/>
        <w:gridCol w:w="581"/>
        <w:gridCol w:w="488"/>
        <w:gridCol w:w="562"/>
        <w:gridCol w:w="769"/>
        <w:gridCol w:w="731"/>
        <w:gridCol w:w="500"/>
        <w:gridCol w:w="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3648" w:type="dxa"/>
            <w:gridSpan w:val="3"/>
            <w:vMerge w:val="restart"/>
            <w:tcMar>
              <w:left w:w="108" w:type="dxa"/>
              <w:right w:w="108" w:type="dxa"/>
            </w:tcMar>
            <w:vAlign w:val="center"/>
          </w:tcPr>
          <w:p>
            <w:pPr>
              <w:widowControl/>
              <w:jc w:val="center"/>
              <w:rPr>
                <w:rFonts w:ascii="楷体_GB2312" w:hAnsi="黑体" w:eastAsia="楷体_GB2312"/>
                <w:spacing w:val="0"/>
                <w:kern w:val="0"/>
                <w:sz w:val="21"/>
                <w:szCs w:val="21"/>
              </w:rPr>
            </w:pPr>
            <w:r>
              <w:rPr>
                <w:rFonts w:hint="eastAsia" w:ascii="楷体_GB2312" w:hAnsi="黑体" w:eastAsia="楷体_GB2312"/>
                <w:spacing w:val="0"/>
                <w:kern w:val="0"/>
                <w:sz w:val="21"/>
                <w:szCs w:val="21"/>
              </w:rPr>
              <w:t>（本列数据的勾稽关系为：第一项加第二项之和，</w:t>
            </w:r>
          </w:p>
          <w:p>
            <w:pPr>
              <w:widowControl/>
              <w:jc w:val="center"/>
              <w:rPr>
                <w:rFonts w:ascii="仿宋_GB2312" w:hAnsi="Times New Roman"/>
                <w:spacing w:val="0"/>
                <w:kern w:val="2"/>
                <w:sz w:val="21"/>
                <w:szCs w:val="21"/>
              </w:rPr>
            </w:pPr>
            <w:r>
              <w:rPr>
                <w:rFonts w:hint="eastAsia" w:ascii="楷体_GB2312" w:hAnsi="黑体" w:eastAsia="楷体_GB2312"/>
                <w:spacing w:val="0"/>
                <w:kern w:val="0"/>
                <w:sz w:val="21"/>
                <w:szCs w:val="21"/>
              </w:rPr>
              <w:t>等于第三项加第四项之和）</w:t>
            </w:r>
          </w:p>
        </w:tc>
        <w:tc>
          <w:tcPr>
            <w:tcW w:w="4174" w:type="dxa"/>
            <w:gridSpan w:val="7"/>
            <w:tcMar>
              <w:left w:w="108" w:type="dxa"/>
              <w:right w:w="108" w:type="dxa"/>
            </w:tcMar>
            <w:vAlign w:val="center"/>
          </w:tcPr>
          <w:p>
            <w:pPr>
              <w:widowControl/>
              <w:spacing w:line="320" w:lineRule="exact"/>
              <w:jc w:val="center"/>
              <w:rPr>
                <w:rFonts w:ascii="黑体" w:hAnsi="黑体" w:eastAsia="黑体"/>
                <w:spacing w:val="0"/>
                <w:kern w:val="2"/>
                <w:sz w:val="21"/>
                <w:szCs w:val="21"/>
              </w:rPr>
            </w:pPr>
            <w:r>
              <w:rPr>
                <w:rFonts w:hint="eastAsia" w:ascii="黑体" w:hAnsi="黑体" w:eastAsia="黑体"/>
                <w:spacing w:val="0"/>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3648" w:type="dxa"/>
            <w:gridSpan w:val="3"/>
            <w:vMerge w:val="continue"/>
            <w:tcMar>
              <w:left w:w="108" w:type="dxa"/>
              <w:right w:w="108" w:type="dxa"/>
            </w:tcMar>
            <w:vAlign w:val="center"/>
          </w:tcPr>
          <w:p>
            <w:pPr>
              <w:jc w:val="center"/>
              <w:rPr>
                <w:rFonts w:ascii="仿宋_GB2312" w:hAnsi="Times New Roman"/>
                <w:spacing w:val="0"/>
                <w:kern w:val="2"/>
                <w:sz w:val="21"/>
                <w:szCs w:val="21"/>
              </w:rPr>
            </w:pPr>
          </w:p>
        </w:tc>
        <w:tc>
          <w:tcPr>
            <w:tcW w:w="581" w:type="dxa"/>
            <w:vMerge w:val="restart"/>
            <w:tcMar>
              <w:left w:w="108" w:type="dxa"/>
              <w:right w:w="108" w:type="dxa"/>
            </w:tcMar>
            <w:vAlign w:val="center"/>
          </w:tcPr>
          <w:p>
            <w:pPr>
              <w:widowControl/>
              <w:jc w:val="center"/>
              <w:rPr>
                <w:rFonts w:ascii="黑体" w:hAnsi="黑体" w:eastAsia="黑体"/>
                <w:spacing w:val="0"/>
                <w:kern w:val="2"/>
                <w:sz w:val="21"/>
                <w:szCs w:val="21"/>
              </w:rPr>
            </w:pPr>
            <w:r>
              <w:rPr>
                <w:rFonts w:hint="eastAsia" w:ascii="黑体" w:hAnsi="黑体" w:eastAsia="黑体"/>
                <w:spacing w:val="0"/>
                <w:kern w:val="0"/>
                <w:sz w:val="21"/>
                <w:szCs w:val="21"/>
              </w:rPr>
              <w:t>自然人</w:t>
            </w:r>
          </w:p>
        </w:tc>
        <w:tc>
          <w:tcPr>
            <w:tcW w:w="3050" w:type="dxa"/>
            <w:gridSpan w:val="5"/>
            <w:tcMar>
              <w:left w:w="108" w:type="dxa"/>
              <w:right w:w="108" w:type="dxa"/>
            </w:tcMar>
            <w:vAlign w:val="center"/>
          </w:tcPr>
          <w:p>
            <w:pPr>
              <w:widowControl/>
              <w:spacing w:line="320" w:lineRule="exact"/>
              <w:jc w:val="center"/>
              <w:rPr>
                <w:rFonts w:ascii="黑体" w:hAnsi="黑体" w:eastAsia="黑体"/>
                <w:spacing w:val="0"/>
                <w:kern w:val="2"/>
                <w:sz w:val="21"/>
                <w:szCs w:val="21"/>
              </w:rPr>
            </w:pPr>
            <w:r>
              <w:rPr>
                <w:rFonts w:hint="eastAsia" w:ascii="黑体" w:hAnsi="黑体" w:eastAsia="黑体"/>
                <w:spacing w:val="0"/>
                <w:kern w:val="0"/>
                <w:sz w:val="21"/>
                <w:szCs w:val="21"/>
              </w:rPr>
              <w:t>法人或其他组织</w:t>
            </w:r>
          </w:p>
        </w:tc>
        <w:tc>
          <w:tcPr>
            <w:tcW w:w="543" w:type="dxa"/>
            <w:vMerge w:val="restart"/>
            <w:tcMar>
              <w:left w:w="108" w:type="dxa"/>
              <w:right w:w="108" w:type="dxa"/>
            </w:tcMar>
            <w:vAlign w:val="center"/>
          </w:tcPr>
          <w:p>
            <w:pPr>
              <w:widowControl/>
              <w:jc w:val="center"/>
              <w:rPr>
                <w:rFonts w:ascii="黑体" w:hAnsi="黑体" w:eastAsia="黑体"/>
                <w:spacing w:val="0"/>
                <w:kern w:val="2"/>
                <w:sz w:val="21"/>
                <w:szCs w:val="21"/>
              </w:rPr>
            </w:pPr>
            <w:r>
              <w:rPr>
                <w:rFonts w:hint="eastAsia" w:ascii="黑体" w:hAnsi="黑体" w:eastAsia="黑体"/>
                <w:spacing w:val="0"/>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3648" w:type="dxa"/>
            <w:gridSpan w:val="3"/>
            <w:vMerge w:val="continue"/>
            <w:tcMar>
              <w:left w:w="108" w:type="dxa"/>
              <w:right w:w="108" w:type="dxa"/>
            </w:tcMar>
            <w:vAlign w:val="center"/>
          </w:tcPr>
          <w:p>
            <w:pPr>
              <w:jc w:val="center"/>
              <w:rPr>
                <w:rFonts w:ascii="仿宋_GB2312" w:hAnsi="Times New Roman"/>
                <w:spacing w:val="0"/>
                <w:kern w:val="2"/>
                <w:sz w:val="21"/>
                <w:szCs w:val="21"/>
              </w:rPr>
            </w:pPr>
          </w:p>
        </w:tc>
        <w:tc>
          <w:tcPr>
            <w:tcW w:w="581" w:type="dxa"/>
            <w:vMerge w:val="continue"/>
            <w:tcMar>
              <w:left w:w="108" w:type="dxa"/>
              <w:right w:w="108" w:type="dxa"/>
            </w:tcMar>
            <w:vAlign w:val="center"/>
          </w:tcPr>
          <w:p>
            <w:pPr>
              <w:jc w:val="center"/>
              <w:rPr>
                <w:rFonts w:ascii="黑体" w:hAnsi="黑体" w:eastAsia="黑体"/>
                <w:spacing w:val="0"/>
                <w:kern w:val="2"/>
                <w:sz w:val="21"/>
                <w:szCs w:val="21"/>
              </w:rPr>
            </w:pPr>
          </w:p>
        </w:tc>
        <w:tc>
          <w:tcPr>
            <w:tcW w:w="488" w:type="dxa"/>
            <w:tcMar>
              <w:left w:w="108" w:type="dxa"/>
              <w:right w:w="108" w:type="dxa"/>
            </w:tcMar>
            <w:vAlign w:val="center"/>
          </w:tcPr>
          <w:p>
            <w:pPr>
              <w:widowControl/>
              <w:spacing w:line="320" w:lineRule="exact"/>
              <w:ind w:left="-178" w:leftChars="-51" w:right="-179" w:rightChars="-51" w:hanging="1"/>
              <w:jc w:val="center"/>
              <w:rPr>
                <w:rFonts w:ascii="黑体" w:hAnsi="黑体" w:eastAsia="黑体"/>
                <w:spacing w:val="0"/>
                <w:kern w:val="2"/>
                <w:sz w:val="21"/>
                <w:szCs w:val="21"/>
              </w:rPr>
            </w:pPr>
            <w:r>
              <w:rPr>
                <w:rFonts w:hint="eastAsia" w:ascii="黑体" w:hAnsi="黑体" w:eastAsia="黑体"/>
                <w:spacing w:val="0"/>
                <w:kern w:val="0"/>
                <w:sz w:val="21"/>
                <w:szCs w:val="21"/>
              </w:rPr>
              <w:t>商业企业</w:t>
            </w:r>
          </w:p>
        </w:tc>
        <w:tc>
          <w:tcPr>
            <w:tcW w:w="562" w:type="dxa"/>
            <w:tcMar>
              <w:left w:w="108" w:type="dxa"/>
              <w:right w:w="108" w:type="dxa"/>
            </w:tcMar>
            <w:vAlign w:val="center"/>
          </w:tcPr>
          <w:p>
            <w:pPr>
              <w:widowControl/>
              <w:spacing w:line="320" w:lineRule="exact"/>
              <w:ind w:left="-179" w:leftChars="-51" w:right="-179" w:rightChars="-51"/>
              <w:jc w:val="center"/>
              <w:rPr>
                <w:rFonts w:ascii="黑体" w:hAnsi="黑体" w:eastAsia="黑体"/>
                <w:spacing w:val="0"/>
                <w:kern w:val="2"/>
                <w:sz w:val="21"/>
                <w:szCs w:val="21"/>
              </w:rPr>
            </w:pPr>
            <w:r>
              <w:rPr>
                <w:rFonts w:hint="eastAsia" w:ascii="黑体" w:hAnsi="黑体" w:eastAsia="黑体"/>
                <w:spacing w:val="0"/>
                <w:kern w:val="0"/>
                <w:sz w:val="21"/>
                <w:szCs w:val="21"/>
              </w:rPr>
              <w:t>科研机构</w:t>
            </w:r>
          </w:p>
        </w:tc>
        <w:tc>
          <w:tcPr>
            <w:tcW w:w="769" w:type="dxa"/>
            <w:tcMar>
              <w:left w:w="108" w:type="dxa"/>
              <w:right w:w="108" w:type="dxa"/>
            </w:tcMar>
            <w:vAlign w:val="center"/>
          </w:tcPr>
          <w:p>
            <w:pPr>
              <w:widowControl/>
              <w:spacing w:line="320" w:lineRule="exact"/>
              <w:ind w:left="-179" w:leftChars="-51" w:right="-179" w:rightChars="-51"/>
              <w:jc w:val="center"/>
              <w:rPr>
                <w:rFonts w:ascii="黑体" w:hAnsi="黑体" w:eastAsia="黑体"/>
                <w:spacing w:val="0"/>
                <w:kern w:val="2"/>
                <w:sz w:val="21"/>
                <w:szCs w:val="21"/>
              </w:rPr>
            </w:pPr>
            <w:r>
              <w:rPr>
                <w:rFonts w:hint="eastAsia" w:ascii="黑体" w:hAnsi="黑体" w:eastAsia="黑体"/>
                <w:spacing w:val="0"/>
                <w:kern w:val="0"/>
                <w:sz w:val="21"/>
                <w:szCs w:val="21"/>
              </w:rPr>
              <w:t>社会公益组织</w:t>
            </w:r>
          </w:p>
        </w:tc>
        <w:tc>
          <w:tcPr>
            <w:tcW w:w="731" w:type="dxa"/>
            <w:tcMar>
              <w:left w:w="108" w:type="dxa"/>
              <w:right w:w="108" w:type="dxa"/>
            </w:tcMar>
            <w:vAlign w:val="center"/>
          </w:tcPr>
          <w:p>
            <w:pPr>
              <w:widowControl/>
              <w:spacing w:line="320" w:lineRule="exact"/>
              <w:ind w:left="-178" w:leftChars="-51" w:right="-179" w:rightChars="-51" w:hanging="1"/>
              <w:jc w:val="center"/>
              <w:rPr>
                <w:rFonts w:ascii="黑体" w:hAnsi="黑体" w:eastAsia="黑体"/>
                <w:spacing w:val="0"/>
                <w:kern w:val="2"/>
                <w:sz w:val="21"/>
                <w:szCs w:val="21"/>
              </w:rPr>
            </w:pPr>
            <w:r>
              <w:rPr>
                <w:rFonts w:hint="eastAsia" w:ascii="黑体" w:hAnsi="黑体" w:eastAsia="黑体"/>
                <w:spacing w:val="0"/>
                <w:kern w:val="0"/>
                <w:sz w:val="21"/>
                <w:szCs w:val="21"/>
              </w:rPr>
              <w:t>法律服务机构</w:t>
            </w:r>
          </w:p>
        </w:tc>
        <w:tc>
          <w:tcPr>
            <w:tcW w:w="500" w:type="dxa"/>
            <w:tcMar>
              <w:left w:w="108" w:type="dxa"/>
              <w:right w:w="108" w:type="dxa"/>
            </w:tcMar>
            <w:vAlign w:val="center"/>
          </w:tcPr>
          <w:p>
            <w:pPr>
              <w:widowControl/>
              <w:spacing w:line="360" w:lineRule="exact"/>
              <w:ind w:left="-106" w:leftChars="-30" w:right="-225" w:rightChars="-64"/>
              <w:jc w:val="center"/>
              <w:rPr>
                <w:rFonts w:ascii="黑体" w:hAnsi="黑体" w:eastAsia="黑体"/>
                <w:spacing w:val="0"/>
                <w:kern w:val="2"/>
                <w:sz w:val="21"/>
                <w:szCs w:val="21"/>
              </w:rPr>
            </w:pPr>
            <w:r>
              <w:rPr>
                <w:rFonts w:hint="eastAsia" w:ascii="黑体" w:hAnsi="黑体" w:eastAsia="黑体"/>
                <w:spacing w:val="0"/>
                <w:kern w:val="0"/>
                <w:sz w:val="21"/>
                <w:szCs w:val="21"/>
              </w:rPr>
              <w:t>其他</w:t>
            </w:r>
          </w:p>
        </w:tc>
        <w:tc>
          <w:tcPr>
            <w:tcW w:w="543" w:type="dxa"/>
            <w:vMerge w:val="continue"/>
            <w:tcMar>
              <w:left w:w="108" w:type="dxa"/>
              <w:right w:w="108" w:type="dxa"/>
            </w:tcMar>
            <w:vAlign w:val="center"/>
          </w:tcPr>
          <w:p>
            <w:pPr>
              <w:jc w:val="center"/>
              <w:rPr>
                <w:rFonts w:ascii="仿宋_GB2312" w:hAnsi="Times New Roman"/>
                <w:spacing w:val="0"/>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tcMar>
              <w:left w:w="108" w:type="dxa"/>
              <w:right w:w="108" w:type="dxa"/>
            </w:tcMar>
            <w:vAlign w:val="center"/>
          </w:tcPr>
          <w:p>
            <w:pPr>
              <w:widowControl/>
              <w:rPr>
                <w:rFonts w:ascii="黑体" w:hAnsi="黑体" w:eastAsia="黑体"/>
                <w:spacing w:val="0"/>
                <w:kern w:val="2"/>
                <w:sz w:val="21"/>
                <w:szCs w:val="21"/>
              </w:rPr>
            </w:pPr>
            <w:r>
              <w:rPr>
                <w:rFonts w:hint="eastAsia" w:ascii="黑体" w:hAnsi="黑体" w:eastAsia="黑体"/>
                <w:spacing w:val="0"/>
                <w:kern w:val="0"/>
                <w:sz w:val="21"/>
                <w:szCs w:val="21"/>
              </w:rPr>
              <w:t>一、</w:t>
            </w:r>
            <w:bookmarkStart w:id="2" w:name="_Hlk66973412"/>
            <w:r>
              <w:rPr>
                <w:rFonts w:hint="eastAsia" w:ascii="黑体" w:hAnsi="黑体" w:eastAsia="黑体"/>
                <w:spacing w:val="0"/>
                <w:kern w:val="0"/>
                <w:sz w:val="21"/>
                <w:szCs w:val="21"/>
              </w:rPr>
              <w:t>本年新收政府信息公开申请数量</w:t>
            </w:r>
            <w:bookmarkEnd w:id="2"/>
          </w:p>
        </w:tc>
        <w:tc>
          <w:tcPr>
            <w:tcW w:w="581" w:type="dxa"/>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jc w:val="center"/>
        </w:trPr>
        <w:tc>
          <w:tcPr>
            <w:tcW w:w="3648" w:type="dxa"/>
            <w:gridSpan w:val="3"/>
            <w:shd w:val="clear" w:color="auto" w:fill="auto"/>
            <w:tcMar>
              <w:left w:w="108" w:type="dxa"/>
              <w:right w:w="108" w:type="dxa"/>
            </w:tcMar>
            <w:vAlign w:val="center"/>
          </w:tcPr>
          <w:p>
            <w:pPr>
              <w:widowControl/>
              <w:rPr>
                <w:rFonts w:ascii="黑体" w:hAnsi="黑体" w:eastAsia="黑体"/>
                <w:spacing w:val="0"/>
                <w:kern w:val="2"/>
                <w:sz w:val="21"/>
                <w:szCs w:val="21"/>
              </w:rPr>
            </w:pPr>
            <w:r>
              <w:rPr>
                <w:rFonts w:hint="eastAsia" w:ascii="黑体" w:hAnsi="黑体" w:eastAsia="黑体"/>
                <w:spacing w:val="0"/>
                <w:kern w:val="0"/>
                <w:sz w:val="21"/>
                <w:szCs w:val="21"/>
                <w:shd w:val="clear" w:color="auto"/>
              </w:rPr>
              <w:t>二、上年结转政府信息公开申请数量</w:t>
            </w:r>
          </w:p>
        </w:tc>
        <w:tc>
          <w:tcPr>
            <w:tcW w:w="581" w:type="dxa"/>
            <w:shd w:val="clear" w:color="auto" w:fill="auto"/>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shd w:val="clear" w:color="auto" w:fill="auto"/>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shd w:val="clear" w:color="auto" w:fill="auto"/>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shd w:val="clear" w:color="auto" w:fill="auto"/>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shd w:val="clear" w:color="auto" w:fill="auto"/>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shd w:val="clear" w:color="auto" w:fill="auto"/>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shd w:val="clear" w:color="auto" w:fill="auto"/>
            <w:tcMar>
              <w:left w:w="108" w:type="dxa"/>
              <w:right w:w="108" w:type="dxa"/>
            </w:tcMar>
            <w:vAlign w:val="center"/>
          </w:tcPr>
          <w:p>
            <w:pPr>
              <w:widowControl/>
              <w:spacing w:line="240" w:lineRule="exact"/>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381" w:type="dxa"/>
            <w:vMerge w:val="restart"/>
            <w:tcMar>
              <w:left w:w="108" w:type="dxa"/>
              <w:right w:w="108" w:type="dxa"/>
            </w:tcMar>
            <w:vAlign w:val="center"/>
          </w:tcPr>
          <w:p>
            <w:pPr>
              <w:rPr>
                <w:rFonts w:ascii="黑体" w:hAnsi="黑体" w:eastAsia="黑体"/>
                <w:spacing w:val="0"/>
                <w:kern w:val="2"/>
                <w:sz w:val="21"/>
                <w:szCs w:val="21"/>
              </w:rPr>
            </w:pPr>
            <w:r>
              <w:rPr>
                <w:rFonts w:hint="eastAsia" w:ascii="黑体" w:hAnsi="黑体" w:eastAsia="黑体"/>
                <w:spacing w:val="0"/>
                <w:kern w:val="0"/>
                <w:sz w:val="21"/>
                <w:szCs w:val="21"/>
              </w:rPr>
              <w:t>三、本年度办理结果</w:t>
            </w:r>
          </w:p>
        </w:tc>
        <w:tc>
          <w:tcPr>
            <w:tcW w:w="3267" w:type="dxa"/>
            <w:gridSpan w:val="2"/>
            <w:tcMar>
              <w:left w:w="108" w:type="dxa"/>
              <w:right w:w="108" w:type="dxa"/>
            </w:tcMar>
            <w:vAlign w:val="center"/>
          </w:tcPr>
          <w:p>
            <w:pPr>
              <w:rPr>
                <w:rFonts w:ascii="黑体" w:hAnsi="黑体" w:eastAsia="黑体"/>
                <w:spacing w:val="0"/>
                <w:kern w:val="2"/>
                <w:sz w:val="16"/>
                <w:szCs w:val="16"/>
              </w:rPr>
            </w:pPr>
            <w:r>
              <w:rPr>
                <w:rFonts w:hint="eastAsia" w:ascii="黑体" w:hAnsi="黑体" w:eastAsia="黑体"/>
                <w:spacing w:val="0"/>
                <w:kern w:val="0"/>
                <w:sz w:val="16"/>
                <w:szCs w:val="16"/>
              </w:rPr>
              <w:t>（一）予以公开</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3267" w:type="dxa"/>
            <w:gridSpan w:val="2"/>
            <w:tcMar>
              <w:left w:w="108" w:type="dxa"/>
              <w:right w:w="108" w:type="dxa"/>
            </w:tcMar>
            <w:vAlign w:val="center"/>
          </w:tcPr>
          <w:p>
            <w:pPr>
              <w:rPr>
                <w:rFonts w:ascii="黑体" w:hAnsi="黑体" w:eastAsia="黑体"/>
                <w:spacing w:val="0"/>
                <w:kern w:val="2"/>
                <w:sz w:val="16"/>
                <w:szCs w:val="16"/>
              </w:rPr>
            </w:pPr>
            <w:r>
              <w:rPr>
                <w:rFonts w:hint="eastAsia" w:ascii="黑体" w:hAnsi="黑体" w:eastAsia="黑体"/>
                <w:spacing w:val="0"/>
                <w:kern w:val="0"/>
                <w:sz w:val="16"/>
                <w:szCs w:val="16"/>
              </w:rPr>
              <w:t>（二）部分公开（</w:t>
            </w:r>
            <w:bookmarkStart w:id="3" w:name="_Hlk66973981"/>
            <w:r>
              <w:rPr>
                <w:rFonts w:hint="eastAsia" w:ascii="黑体" w:hAnsi="黑体" w:eastAsia="黑体"/>
                <w:spacing w:val="0"/>
                <w:kern w:val="0"/>
                <w:sz w:val="16"/>
                <w:szCs w:val="16"/>
              </w:rPr>
              <w:t>区分处理的，只计这一情形，不计其他情形</w:t>
            </w:r>
            <w:bookmarkEnd w:id="3"/>
            <w:r>
              <w:rPr>
                <w:rFonts w:hint="eastAsia" w:ascii="黑体" w:hAnsi="黑体" w:eastAsia="黑体"/>
                <w:spacing w:val="0"/>
                <w:kern w:val="0"/>
                <w:sz w:val="16"/>
                <w:szCs w:val="16"/>
              </w:rPr>
              <w:t>）</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restart"/>
            <w:tcMar>
              <w:left w:w="108" w:type="dxa"/>
              <w:right w:w="108" w:type="dxa"/>
            </w:tcMar>
            <w:vAlign w:val="center"/>
          </w:tcPr>
          <w:p>
            <w:pPr>
              <w:rPr>
                <w:rFonts w:ascii="黑体" w:hAnsi="黑体" w:eastAsia="黑体"/>
                <w:spacing w:val="0"/>
                <w:kern w:val="2"/>
                <w:sz w:val="16"/>
                <w:szCs w:val="16"/>
              </w:rPr>
            </w:pPr>
            <w:r>
              <w:rPr>
                <w:rFonts w:hint="eastAsia" w:ascii="黑体" w:hAnsi="黑体" w:eastAsia="黑体"/>
                <w:spacing w:val="0"/>
                <w:kern w:val="0"/>
                <w:sz w:val="16"/>
                <w:szCs w:val="16"/>
              </w:rPr>
              <w:t>（三）不予公开</w:t>
            </w: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1.属于国家秘密</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r>
              <w:rPr>
                <w:rFonts w:hint="eastAsia" w:ascii="黑体" w:hAnsi="黑体" w:eastAsia="黑体"/>
                <w:spacing w:val="0"/>
                <w:kern w:val="2"/>
                <w:sz w:val="21"/>
                <w:szCs w:val="21"/>
              </w:rPr>
              <w:t>S</w:t>
            </w:r>
          </w:p>
        </w:tc>
        <w:tc>
          <w:tcPr>
            <w:tcW w:w="736" w:type="dxa"/>
            <w:vMerge w:val="continue"/>
            <w:tcMar>
              <w:left w:w="108" w:type="dxa"/>
              <w:right w:w="108" w:type="dxa"/>
            </w:tcMar>
            <w:vAlign w:val="center"/>
          </w:tcPr>
          <w:p>
            <w:pPr>
              <w:rPr>
                <w:rFonts w:ascii="黑体" w:hAnsi="黑体" w:eastAsia="黑体"/>
                <w:spacing w:val="0"/>
                <w:kern w:val="2"/>
                <w:sz w:val="16"/>
                <w:szCs w:val="16"/>
              </w:rPr>
            </w:pP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2.</w:t>
            </w:r>
            <w:bookmarkStart w:id="4" w:name="_Hlk66974104"/>
            <w:r>
              <w:rPr>
                <w:rFonts w:hint="eastAsia" w:ascii="仿宋_GB2312" w:hAnsi="黑体"/>
                <w:spacing w:val="0"/>
                <w:kern w:val="0"/>
                <w:sz w:val="16"/>
                <w:szCs w:val="16"/>
              </w:rPr>
              <w:t>其他法律行政法规禁止公开</w:t>
            </w:r>
            <w:bookmarkEnd w:id="4"/>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2"/>
                <w:sz w:val="16"/>
                <w:szCs w:val="16"/>
              </w:rPr>
            </w:pP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3.危及“三安全一稳定”</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2"/>
                <w:sz w:val="16"/>
                <w:szCs w:val="16"/>
              </w:rPr>
            </w:pP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4.</w:t>
            </w:r>
            <w:bookmarkStart w:id="5" w:name="_Hlk66974290"/>
            <w:r>
              <w:rPr>
                <w:rFonts w:hint="eastAsia" w:ascii="仿宋_GB2312" w:hAnsi="黑体"/>
                <w:spacing w:val="0"/>
                <w:kern w:val="0"/>
                <w:sz w:val="16"/>
                <w:szCs w:val="16"/>
              </w:rPr>
              <w:t>保护第三方合法权益</w:t>
            </w:r>
            <w:bookmarkEnd w:id="5"/>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2"/>
                <w:sz w:val="16"/>
                <w:szCs w:val="16"/>
              </w:rPr>
            </w:pP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5.属于三类内部事务信息</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2"/>
                <w:sz w:val="16"/>
                <w:szCs w:val="16"/>
              </w:rPr>
            </w:pP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6.</w:t>
            </w:r>
            <w:bookmarkStart w:id="6" w:name="_Hlk66974555"/>
            <w:r>
              <w:rPr>
                <w:rFonts w:hint="eastAsia" w:ascii="仿宋_GB2312" w:hAnsi="黑体"/>
                <w:spacing w:val="0"/>
                <w:kern w:val="0"/>
                <w:sz w:val="16"/>
                <w:szCs w:val="16"/>
              </w:rPr>
              <w:t>属于四类过程性信息</w:t>
            </w:r>
            <w:bookmarkEnd w:id="6"/>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2"/>
                <w:sz w:val="16"/>
                <w:szCs w:val="16"/>
              </w:rPr>
            </w:pP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7.属于行政执法案卷</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2"/>
                <w:sz w:val="16"/>
                <w:szCs w:val="16"/>
              </w:rPr>
            </w:pP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8.</w:t>
            </w:r>
            <w:bookmarkStart w:id="7" w:name="_Hlk66975211"/>
            <w:r>
              <w:rPr>
                <w:rFonts w:hint="eastAsia" w:ascii="仿宋_GB2312" w:hAnsi="黑体"/>
                <w:spacing w:val="0"/>
                <w:kern w:val="0"/>
                <w:sz w:val="16"/>
                <w:szCs w:val="16"/>
              </w:rPr>
              <w:t>属于行政查询事项</w:t>
            </w:r>
            <w:bookmarkEnd w:id="7"/>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restart"/>
            <w:tcMar>
              <w:left w:w="108" w:type="dxa"/>
              <w:right w:w="108" w:type="dxa"/>
            </w:tcMar>
            <w:vAlign w:val="center"/>
          </w:tcPr>
          <w:p>
            <w:pPr>
              <w:rPr>
                <w:rFonts w:ascii="黑体" w:hAnsi="黑体" w:eastAsia="黑体"/>
                <w:spacing w:val="0"/>
                <w:kern w:val="2"/>
                <w:sz w:val="16"/>
                <w:szCs w:val="16"/>
              </w:rPr>
            </w:pPr>
            <w:r>
              <w:rPr>
                <w:rFonts w:hint="eastAsia" w:ascii="黑体" w:hAnsi="黑体" w:eastAsia="黑体"/>
                <w:spacing w:val="0"/>
                <w:kern w:val="0"/>
                <w:sz w:val="16"/>
                <w:szCs w:val="16"/>
              </w:rPr>
              <w:t>（四）无法提供</w:t>
            </w: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1.本机关不掌握相关政府信息</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2"/>
                <w:sz w:val="16"/>
                <w:szCs w:val="16"/>
              </w:rPr>
            </w:pP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2.</w:t>
            </w:r>
            <w:bookmarkStart w:id="8" w:name="_Hlk66975392"/>
            <w:r>
              <w:rPr>
                <w:rFonts w:hint="eastAsia" w:ascii="仿宋_GB2312" w:hAnsi="黑体"/>
                <w:spacing w:val="0"/>
                <w:kern w:val="0"/>
                <w:sz w:val="16"/>
                <w:szCs w:val="16"/>
              </w:rPr>
              <w:t>没有现成信息需要另行制作</w:t>
            </w:r>
            <w:bookmarkEnd w:id="8"/>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2"/>
                <w:sz w:val="16"/>
                <w:szCs w:val="16"/>
              </w:rPr>
            </w:pP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3.</w:t>
            </w:r>
            <w:bookmarkStart w:id="9" w:name="_Hlk66975466"/>
            <w:r>
              <w:rPr>
                <w:rFonts w:hint="eastAsia" w:ascii="仿宋_GB2312" w:hAnsi="黑体"/>
                <w:spacing w:val="0"/>
                <w:kern w:val="0"/>
                <w:sz w:val="16"/>
                <w:szCs w:val="16"/>
              </w:rPr>
              <w:t>补正后申请内容仍不明确</w:t>
            </w:r>
            <w:bookmarkEnd w:id="9"/>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restart"/>
            <w:tcMar>
              <w:left w:w="108" w:type="dxa"/>
              <w:right w:w="108" w:type="dxa"/>
            </w:tcMar>
            <w:vAlign w:val="center"/>
          </w:tcPr>
          <w:p>
            <w:pPr>
              <w:rPr>
                <w:rFonts w:ascii="黑体" w:hAnsi="黑体" w:eastAsia="黑体"/>
                <w:spacing w:val="0"/>
                <w:kern w:val="2"/>
                <w:sz w:val="16"/>
                <w:szCs w:val="16"/>
              </w:rPr>
            </w:pPr>
            <w:r>
              <w:rPr>
                <w:rFonts w:hint="eastAsia" w:ascii="黑体" w:hAnsi="黑体" w:eastAsia="黑体"/>
                <w:spacing w:val="0"/>
                <w:kern w:val="0"/>
                <w:sz w:val="16"/>
                <w:szCs w:val="16"/>
              </w:rPr>
              <w:t>（五）不予处理</w:t>
            </w: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1.</w:t>
            </w:r>
            <w:bookmarkStart w:id="10" w:name="_Hlk66975537"/>
            <w:r>
              <w:rPr>
                <w:rFonts w:hint="eastAsia" w:ascii="仿宋_GB2312" w:hAnsi="黑体"/>
                <w:spacing w:val="0"/>
                <w:kern w:val="0"/>
                <w:sz w:val="16"/>
                <w:szCs w:val="16"/>
              </w:rPr>
              <w:t>信访举报投诉类申请</w:t>
            </w:r>
            <w:bookmarkEnd w:id="10"/>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2"/>
                <w:sz w:val="16"/>
                <w:szCs w:val="16"/>
              </w:rPr>
            </w:pP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2.重复申请</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2"/>
                <w:sz w:val="16"/>
                <w:szCs w:val="16"/>
              </w:rPr>
            </w:pPr>
          </w:p>
        </w:tc>
        <w:tc>
          <w:tcPr>
            <w:tcW w:w="2531" w:type="dxa"/>
            <w:tcMar>
              <w:left w:w="108" w:type="dxa"/>
              <w:right w:w="108" w:type="dxa"/>
            </w:tcMar>
            <w:vAlign w:val="center"/>
          </w:tcPr>
          <w:p>
            <w:pPr>
              <w:rPr>
                <w:rFonts w:ascii="仿宋_GB2312" w:hAnsi="黑体"/>
                <w:spacing w:val="0"/>
                <w:kern w:val="2"/>
                <w:sz w:val="16"/>
                <w:szCs w:val="16"/>
              </w:rPr>
            </w:pPr>
            <w:r>
              <w:rPr>
                <w:rFonts w:hint="eastAsia" w:ascii="仿宋_GB2312" w:hAnsi="黑体"/>
                <w:spacing w:val="0"/>
                <w:kern w:val="0"/>
                <w:sz w:val="16"/>
                <w:szCs w:val="16"/>
              </w:rPr>
              <w:t>3.要求提供公开出版物</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exac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2"/>
                <w:sz w:val="16"/>
                <w:szCs w:val="16"/>
              </w:rPr>
            </w:pPr>
          </w:p>
        </w:tc>
        <w:tc>
          <w:tcPr>
            <w:tcW w:w="2531" w:type="dxa"/>
            <w:tcMar>
              <w:left w:w="108" w:type="dxa"/>
              <w:right w:w="108" w:type="dxa"/>
            </w:tcMar>
            <w:vAlign w:val="center"/>
          </w:tcPr>
          <w:p>
            <w:pPr>
              <w:rPr>
                <w:rFonts w:ascii="仿宋_GB2312" w:hAnsi="黑体"/>
                <w:spacing w:val="0"/>
                <w:kern w:val="2"/>
                <w:sz w:val="16"/>
                <w:szCs w:val="16"/>
              </w:rPr>
            </w:pPr>
            <w:r>
              <w:rPr>
                <w:rFonts w:hint="eastAsia" w:ascii="仿宋_GB2312" w:hAnsi="黑体"/>
                <w:spacing w:val="0"/>
                <w:kern w:val="0"/>
                <w:sz w:val="16"/>
                <w:szCs w:val="16"/>
              </w:rPr>
              <w:t>4.无正当理由大量反复申请</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2"/>
                <w:sz w:val="16"/>
                <w:szCs w:val="16"/>
              </w:rPr>
            </w:pPr>
          </w:p>
        </w:tc>
        <w:tc>
          <w:tcPr>
            <w:tcW w:w="2531" w:type="dxa"/>
            <w:tcMar>
              <w:left w:w="108" w:type="dxa"/>
              <w:right w:w="108" w:type="dxa"/>
            </w:tcMar>
            <w:vAlign w:val="center"/>
          </w:tcPr>
          <w:p>
            <w:pPr>
              <w:rPr>
                <w:rFonts w:ascii="仿宋_GB2312" w:hAnsi="黑体"/>
                <w:spacing w:val="0"/>
                <w:kern w:val="0"/>
                <w:sz w:val="16"/>
                <w:szCs w:val="16"/>
              </w:rPr>
            </w:pPr>
            <w:r>
              <w:rPr>
                <w:rFonts w:hint="eastAsia" w:ascii="仿宋_GB2312" w:hAnsi="黑体"/>
                <w:spacing w:val="0"/>
                <w:kern w:val="0"/>
                <w:sz w:val="16"/>
                <w:szCs w:val="16"/>
              </w:rPr>
              <w:t>5.要求行政机关确认或重新</w:t>
            </w:r>
          </w:p>
          <w:p>
            <w:pPr>
              <w:rPr>
                <w:rFonts w:ascii="仿宋_GB2312" w:hAnsi="黑体"/>
                <w:spacing w:val="0"/>
                <w:kern w:val="2"/>
                <w:sz w:val="16"/>
                <w:szCs w:val="16"/>
              </w:rPr>
            </w:pPr>
            <w:r>
              <w:rPr>
                <w:rFonts w:hint="eastAsia" w:ascii="仿宋_GB2312" w:hAnsi="黑体"/>
                <w:spacing w:val="0"/>
                <w:kern w:val="0"/>
                <w:sz w:val="16"/>
                <w:szCs w:val="16"/>
              </w:rPr>
              <w:t>出具已获取信息</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restart"/>
            <w:tcMar>
              <w:left w:w="108" w:type="dxa"/>
              <w:right w:w="108" w:type="dxa"/>
            </w:tcMar>
            <w:vAlign w:val="center"/>
          </w:tcPr>
          <w:p>
            <w:pPr>
              <w:rPr>
                <w:rFonts w:ascii="黑体" w:hAnsi="黑体" w:eastAsia="黑体"/>
                <w:spacing w:val="0"/>
                <w:kern w:val="0"/>
                <w:sz w:val="16"/>
                <w:szCs w:val="16"/>
              </w:rPr>
            </w:pPr>
            <w:r>
              <w:rPr>
                <w:rFonts w:hint="eastAsia" w:ascii="黑体" w:hAnsi="黑体" w:eastAsia="黑体"/>
                <w:spacing w:val="0"/>
                <w:kern w:val="0"/>
                <w:sz w:val="16"/>
                <w:szCs w:val="16"/>
              </w:rPr>
              <w:t>（六）其他处理</w:t>
            </w:r>
          </w:p>
        </w:tc>
        <w:tc>
          <w:tcPr>
            <w:tcW w:w="2531" w:type="dxa"/>
            <w:vAlign w:val="center"/>
          </w:tcPr>
          <w:p>
            <w:pPr>
              <w:rPr>
                <w:rFonts w:ascii="仿宋_GB2312" w:hAnsi="楷体"/>
                <w:spacing w:val="0"/>
                <w:kern w:val="2"/>
                <w:sz w:val="16"/>
                <w:szCs w:val="18"/>
              </w:rPr>
            </w:pPr>
            <w:r>
              <w:rPr>
                <w:rFonts w:hint="eastAsia" w:ascii="仿宋_GB2312" w:hAnsi="楷体"/>
                <w:spacing w:val="0"/>
                <w:kern w:val="2"/>
                <w:sz w:val="16"/>
                <w:szCs w:val="18"/>
              </w:rPr>
              <w:t>1.申请人无正当理由逾期……</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0"/>
                <w:sz w:val="16"/>
                <w:szCs w:val="16"/>
              </w:rPr>
            </w:pPr>
          </w:p>
        </w:tc>
        <w:tc>
          <w:tcPr>
            <w:tcW w:w="2531" w:type="dxa"/>
            <w:vAlign w:val="center"/>
          </w:tcPr>
          <w:p>
            <w:pPr>
              <w:rPr>
                <w:rFonts w:ascii="仿宋_GB2312" w:hAnsi="黑体"/>
                <w:spacing w:val="0"/>
                <w:kern w:val="0"/>
                <w:sz w:val="16"/>
                <w:szCs w:val="16"/>
              </w:rPr>
            </w:pPr>
            <w:r>
              <w:rPr>
                <w:rFonts w:hint="eastAsia" w:ascii="仿宋_GB2312" w:hAnsi="楷体"/>
                <w:spacing w:val="0"/>
                <w:kern w:val="2"/>
                <w:sz w:val="16"/>
                <w:szCs w:val="18"/>
              </w:rPr>
              <w:t>2.申请人逾期未按收费通知……</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736" w:type="dxa"/>
            <w:vMerge w:val="continue"/>
            <w:tcMar>
              <w:left w:w="108" w:type="dxa"/>
              <w:right w:w="108" w:type="dxa"/>
            </w:tcMar>
            <w:vAlign w:val="center"/>
          </w:tcPr>
          <w:p>
            <w:pPr>
              <w:rPr>
                <w:rFonts w:ascii="黑体" w:hAnsi="黑体" w:eastAsia="黑体"/>
                <w:spacing w:val="0"/>
                <w:kern w:val="0"/>
                <w:sz w:val="16"/>
                <w:szCs w:val="16"/>
              </w:rPr>
            </w:pPr>
          </w:p>
        </w:tc>
        <w:tc>
          <w:tcPr>
            <w:tcW w:w="2531" w:type="dxa"/>
            <w:vAlign w:val="center"/>
          </w:tcPr>
          <w:p>
            <w:pPr>
              <w:rPr>
                <w:rFonts w:ascii="仿宋_GB2312" w:hAnsi="黑体"/>
                <w:spacing w:val="0"/>
                <w:kern w:val="0"/>
                <w:sz w:val="16"/>
                <w:szCs w:val="16"/>
              </w:rPr>
            </w:pPr>
            <w:r>
              <w:rPr>
                <w:rFonts w:hint="eastAsia" w:ascii="仿宋_GB2312" w:hAnsi="楷体"/>
                <w:spacing w:val="0"/>
                <w:kern w:val="2"/>
                <w:sz w:val="16"/>
                <w:szCs w:val="18"/>
              </w:rPr>
              <w:t>3.其他</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381" w:type="dxa"/>
            <w:vMerge w:val="continue"/>
            <w:tcMar>
              <w:left w:w="108" w:type="dxa"/>
              <w:right w:w="108" w:type="dxa"/>
            </w:tcMar>
            <w:vAlign w:val="center"/>
          </w:tcPr>
          <w:p>
            <w:pPr>
              <w:rPr>
                <w:rFonts w:ascii="黑体" w:hAnsi="黑体" w:eastAsia="黑体"/>
                <w:spacing w:val="0"/>
                <w:kern w:val="2"/>
                <w:sz w:val="21"/>
                <w:szCs w:val="21"/>
              </w:rPr>
            </w:pPr>
          </w:p>
        </w:tc>
        <w:tc>
          <w:tcPr>
            <w:tcW w:w="3267" w:type="dxa"/>
            <w:gridSpan w:val="2"/>
            <w:tcMar>
              <w:left w:w="108" w:type="dxa"/>
              <w:right w:w="108" w:type="dxa"/>
            </w:tcMar>
            <w:vAlign w:val="center"/>
          </w:tcPr>
          <w:p>
            <w:pPr>
              <w:rPr>
                <w:rFonts w:ascii="黑体" w:hAnsi="黑体" w:eastAsia="黑体"/>
                <w:spacing w:val="0"/>
                <w:kern w:val="0"/>
                <w:sz w:val="16"/>
                <w:szCs w:val="16"/>
              </w:rPr>
            </w:pPr>
            <w:r>
              <w:rPr>
                <w:rFonts w:hint="eastAsia" w:ascii="黑体" w:hAnsi="黑体" w:eastAsia="黑体"/>
                <w:spacing w:val="0"/>
                <w:kern w:val="0"/>
                <w:sz w:val="16"/>
                <w:szCs w:val="16"/>
              </w:rPr>
              <w:t>（七）总计</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3648" w:type="dxa"/>
            <w:gridSpan w:val="3"/>
            <w:tcMar>
              <w:left w:w="108" w:type="dxa"/>
              <w:right w:w="108" w:type="dxa"/>
            </w:tcMar>
            <w:vAlign w:val="center"/>
          </w:tcPr>
          <w:p>
            <w:pPr>
              <w:rPr>
                <w:rFonts w:ascii="黑体" w:hAnsi="黑体" w:eastAsia="黑体"/>
                <w:spacing w:val="0"/>
                <w:kern w:val="0"/>
                <w:sz w:val="21"/>
                <w:szCs w:val="21"/>
              </w:rPr>
            </w:pPr>
            <w:r>
              <w:rPr>
                <w:rFonts w:hint="eastAsia" w:ascii="黑体" w:hAnsi="黑体" w:eastAsia="黑体"/>
                <w:spacing w:val="0"/>
                <w:kern w:val="0"/>
                <w:sz w:val="21"/>
                <w:szCs w:val="21"/>
              </w:rPr>
              <w:t>四、结转下年度继续办理</w:t>
            </w:r>
          </w:p>
        </w:tc>
        <w:tc>
          <w:tcPr>
            <w:tcW w:w="58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488"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62"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69"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731"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00"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c>
          <w:tcPr>
            <w:tcW w:w="543" w:type="dxa"/>
            <w:tcMar>
              <w:left w:w="108" w:type="dxa"/>
              <w:right w:w="108" w:type="dxa"/>
            </w:tcMar>
            <w:vAlign w:val="center"/>
          </w:tcPr>
          <w:p>
            <w:pPr>
              <w:jc w:val="center"/>
              <w:rPr>
                <w:rFonts w:ascii="仿宋_GB2312" w:hAnsi="Times New Roman"/>
                <w:spacing w:val="0"/>
                <w:kern w:val="2"/>
                <w:sz w:val="21"/>
                <w:szCs w:val="21"/>
              </w:rPr>
            </w:pPr>
            <w:r>
              <w:rPr>
                <w:rFonts w:hint="eastAsia" w:ascii="仿宋_GB2312" w:hAnsi="Times New Roman"/>
                <w:spacing w:val="0"/>
                <w:kern w:val="2"/>
                <w:sz w:val="21"/>
                <w:szCs w:val="21"/>
              </w:rPr>
              <w:t>0</w:t>
            </w:r>
          </w:p>
        </w:tc>
      </w:tr>
    </w:tbl>
    <w:p>
      <w:pPr>
        <w:pStyle w:val="4"/>
        <w:numPr>
          <w:ilvl w:val="0"/>
          <w:numId w:val="1"/>
        </w:numPr>
        <w:shd w:val="clear" w:color="auto" w:fill="FFFFFF"/>
        <w:spacing w:beforeAutospacing="0" w:afterAutospacing="0"/>
        <w:ind w:firstLine="640" w:firstLineChars="200"/>
        <w:rPr>
          <w:rFonts w:ascii="黑体" w:hAnsi="黑体" w:eastAsia="黑体" w:cs="黑体"/>
          <w:bCs/>
          <w:spacing w:val="0"/>
          <w:sz w:val="32"/>
          <w:szCs w:val="32"/>
          <w:shd w:val="clear" w:color="auto" w:fill="FFFFFF"/>
          <w:lang w:bidi="ar"/>
        </w:rPr>
      </w:pPr>
      <w:r>
        <w:rPr>
          <w:rFonts w:hint="eastAsia" w:ascii="黑体" w:hAnsi="黑体" w:eastAsia="黑体" w:cs="黑体"/>
          <w:bCs/>
          <w:spacing w:val="0"/>
          <w:sz w:val="32"/>
          <w:szCs w:val="32"/>
          <w:shd w:val="clear" w:color="auto" w:fill="FFFFFF"/>
          <w:lang w:bidi="ar"/>
        </w:rPr>
        <w:t>政府信息公开行政复议、行政诉讼情况</w:t>
      </w:r>
    </w:p>
    <w:tbl>
      <w:tblPr>
        <w:tblStyle w:val="6"/>
        <w:tblpPr w:leftFromText="180" w:rightFromText="180" w:vertAnchor="text" w:horzAnchor="page" w:tblpX="1537" w:tblpY="619"/>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黑体" w:hAnsi="黑体" w:eastAsia="黑体"/>
                <w:spacing w:val="0"/>
                <w:kern w:val="2"/>
                <w:sz w:val="21"/>
                <w:szCs w:val="22"/>
              </w:rPr>
            </w:pPr>
            <w:r>
              <w:rPr>
                <w:rFonts w:ascii="黑体" w:hAnsi="黑体" w:eastAsia="黑体"/>
                <w:spacing w:val="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spacing w:val="0"/>
                <w:kern w:val="2"/>
                <w:sz w:val="21"/>
                <w:szCs w:val="22"/>
              </w:rPr>
            </w:pPr>
            <w:r>
              <w:rPr>
                <w:rFonts w:ascii="黑体" w:hAnsi="黑体" w:eastAsia="黑体"/>
                <w:spacing w:val="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ind w:left="-250" w:leftChars="-71" w:right="-285" w:rightChars="-81"/>
              <w:jc w:val="center"/>
              <w:rPr>
                <w:rFonts w:ascii="黑体" w:hAnsi="黑体" w:eastAsia="黑体"/>
                <w:spacing w:val="0"/>
                <w:kern w:val="0"/>
                <w:sz w:val="20"/>
                <w:szCs w:val="20"/>
              </w:rPr>
            </w:pPr>
            <w:r>
              <w:rPr>
                <w:rFonts w:ascii="黑体" w:hAnsi="黑体" w:eastAsia="黑体"/>
                <w:spacing w:val="0"/>
                <w:kern w:val="0"/>
                <w:sz w:val="20"/>
                <w:szCs w:val="20"/>
              </w:rPr>
              <w:t>结果</w:t>
            </w:r>
          </w:p>
          <w:p>
            <w:pPr>
              <w:widowControl/>
              <w:ind w:left="-250" w:leftChars="-71" w:right="-285" w:rightChars="-81"/>
              <w:jc w:val="center"/>
              <w:rPr>
                <w:rFonts w:ascii="黑体" w:hAnsi="黑体" w:eastAsia="黑体"/>
                <w:spacing w:val="0"/>
                <w:kern w:val="2"/>
                <w:sz w:val="21"/>
                <w:szCs w:val="22"/>
              </w:rPr>
            </w:pPr>
            <w:r>
              <w:rPr>
                <w:rFonts w:ascii="黑体" w:hAnsi="黑体" w:eastAsia="黑体"/>
                <w:spacing w:val="0"/>
                <w:kern w:val="0"/>
                <w:sz w:val="20"/>
                <w:szCs w:val="20"/>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ind w:left="-73" w:leftChars="-21" w:right="-222" w:rightChars="-63" w:hanging="1"/>
              <w:jc w:val="center"/>
              <w:rPr>
                <w:rFonts w:ascii="黑体" w:hAnsi="黑体" w:eastAsia="黑体"/>
                <w:spacing w:val="0"/>
                <w:kern w:val="2"/>
                <w:sz w:val="21"/>
                <w:szCs w:val="22"/>
              </w:rPr>
            </w:pPr>
            <w:r>
              <w:rPr>
                <w:rFonts w:ascii="黑体" w:hAnsi="黑体" w:eastAsia="黑体"/>
                <w:spacing w:val="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137" w:leftChars="-39" w:right="-162" w:rightChars="-46"/>
              <w:jc w:val="center"/>
              <w:rPr>
                <w:rFonts w:ascii="黑体" w:hAnsi="黑体" w:eastAsia="黑体"/>
                <w:spacing w:val="0"/>
                <w:kern w:val="2"/>
                <w:sz w:val="21"/>
                <w:szCs w:val="22"/>
              </w:rPr>
            </w:pPr>
            <w:r>
              <w:rPr>
                <w:rFonts w:ascii="黑体" w:hAnsi="黑体" w:eastAsia="黑体"/>
                <w:spacing w:val="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197" w:leftChars="-56" w:right="-197" w:rightChars="-56"/>
              <w:jc w:val="center"/>
              <w:rPr>
                <w:rFonts w:ascii="黑体" w:hAnsi="黑体" w:eastAsia="黑体"/>
                <w:spacing w:val="0"/>
                <w:kern w:val="0"/>
                <w:sz w:val="20"/>
                <w:szCs w:val="20"/>
              </w:rPr>
            </w:pPr>
            <w:r>
              <w:rPr>
                <w:rFonts w:ascii="黑体" w:hAnsi="黑体" w:eastAsia="黑体"/>
                <w:spacing w:val="0"/>
                <w:kern w:val="0"/>
                <w:sz w:val="20"/>
                <w:szCs w:val="20"/>
              </w:rPr>
              <w:t>尚未</w:t>
            </w:r>
          </w:p>
          <w:p>
            <w:pPr>
              <w:widowControl/>
              <w:ind w:left="-197" w:leftChars="-56" w:right="-197" w:rightChars="-56"/>
              <w:jc w:val="center"/>
              <w:rPr>
                <w:rFonts w:ascii="黑体" w:hAnsi="黑体" w:eastAsia="黑体"/>
                <w:spacing w:val="0"/>
                <w:kern w:val="2"/>
                <w:sz w:val="21"/>
                <w:szCs w:val="22"/>
              </w:rPr>
            </w:pPr>
            <w:r>
              <w:rPr>
                <w:rFonts w:ascii="黑体" w:hAnsi="黑体" w:eastAsia="黑体"/>
                <w:spacing w:val="0"/>
                <w:kern w:val="0"/>
                <w:sz w:val="20"/>
                <w:szCs w:val="20"/>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黑体" w:hAnsi="黑体" w:eastAsia="黑体"/>
                <w:spacing w:val="0"/>
                <w:kern w:val="0"/>
                <w:sz w:val="20"/>
                <w:szCs w:val="20"/>
              </w:rPr>
            </w:pPr>
            <w:r>
              <w:rPr>
                <w:rFonts w:ascii="黑体" w:hAnsi="黑体" w:eastAsia="黑体"/>
                <w:spacing w:val="0"/>
                <w:kern w:val="0"/>
                <w:sz w:val="20"/>
                <w:szCs w:val="20"/>
              </w:rPr>
              <w:t>总</w:t>
            </w:r>
          </w:p>
          <w:p>
            <w:pPr>
              <w:widowControl/>
              <w:spacing w:line="320" w:lineRule="exact"/>
              <w:jc w:val="center"/>
              <w:rPr>
                <w:rFonts w:ascii="黑体" w:hAnsi="黑体" w:eastAsia="黑体"/>
                <w:spacing w:val="0"/>
                <w:kern w:val="2"/>
                <w:sz w:val="21"/>
                <w:szCs w:val="22"/>
              </w:rPr>
            </w:pPr>
            <w:r>
              <w:rPr>
                <w:rFonts w:ascii="黑体" w:hAnsi="黑体" w:eastAsia="黑体"/>
                <w:spacing w:val="0"/>
                <w:kern w:val="0"/>
                <w:sz w:val="20"/>
                <w:szCs w:val="20"/>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spacing w:val="0"/>
                <w:kern w:val="2"/>
                <w:sz w:val="21"/>
                <w:szCs w:val="22"/>
              </w:rPr>
            </w:pPr>
            <w:r>
              <w:rPr>
                <w:rFonts w:ascii="黑体" w:hAnsi="黑体" w:eastAsia="黑体"/>
                <w:spacing w:val="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spacing w:val="0"/>
                <w:kern w:val="2"/>
                <w:sz w:val="21"/>
                <w:szCs w:val="22"/>
              </w:rPr>
            </w:pPr>
            <w:bookmarkStart w:id="11" w:name="_Hlk67039688"/>
            <w:r>
              <w:rPr>
                <w:rFonts w:ascii="黑体" w:hAnsi="黑体" w:eastAsia="黑体"/>
                <w:spacing w:val="0"/>
                <w:kern w:val="0"/>
                <w:sz w:val="20"/>
                <w:szCs w:val="20"/>
              </w:rPr>
              <w:t>复议后起诉</w:t>
            </w:r>
            <w:bookmarkEnd w:id="11"/>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黑体" w:hAnsi="黑体" w:eastAsia="黑体"/>
                <w:spacing w:val="0"/>
                <w:kern w:val="2"/>
                <w:sz w:val="24"/>
                <w:szCs w:val="22"/>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黑体" w:hAnsi="黑体" w:eastAsia="黑体"/>
                <w:spacing w:val="0"/>
                <w:kern w:val="2"/>
                <w:sz w:val="24"/>
                <w:szCs w:val="22"/>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pacing w:val="0"/>
                <w:kern w:val="2"/>
                <w:sz w:val="24"/>
                <w:szCs w:val="22"/>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pacing w:val="0"/>
                <w:kern w:val="2"/>
                <w:sz w:val="24"/>
                <w:szCs w:val="22"/>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黑体" w:hAnsi="黑体" w:eastAsia="黑体"/>
                <w:spacing w:val="0"/>
                <w:kern w:val="2"/>
                <w:sz w:val="24"/>
                <w:szCs w:val="22"/>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ind w:left="-176" w:leftChars="-50" w:right="-211" w:rightChars="-60"/>
              <w:jc w:val="center"/>
              <w:rPr>
                <w:rFonts w:ascii="黑体" w:hAnsi="黑体" w:eastAsia="黑体"/>
                <w:spacing w:val="0"/>
                <w:kern w:val="2"/>
                <w:sz w:val="21"/>
                <w:szCs w:val="22"/>
              </w:rPr>
            </w:pPr>
            <w:r>
              <w:rPr>
                <w:rFonts w:ascii="黑体" w:hAnsi="黑体" w:eastAsia="黑体"/>
                <w:spacing w:val="0"/>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ind w:left="-144" w:leftChars="-41" w:right="-148" w:rightChars="-42"/>
              <w:jc w:val="center"/>
              <w:rPr>
                <w:rFonts w:ascii="黑体" w:hAnsi="黑体" w:eastAsia="黑体"/>
                <w:spacing w:val="0"/>
                <w:kern w:val="2"/>
                <w:sz w:val="21"/>
                <w:szCs w:val="22"/>
              </w:rPr>
            </w:pPr>
            <w:r>
              <w:rPr>
                <w:rFonts w:ascii="黑体" w:hAnsi="黑体" w:eastAsia="黑体"/>
                <w:spacing w:val="0"/>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211" w:leftChars="-60" w:right="-229" w:rightChars="-65"/>
              <w:jc w:val="center"/>
              <w:rPr>
                <w:rFonts w:ascii="黑体" w:hAnsi="黑体" w:eastAsia="黑体"/>
                <w:spacing w:val="0"/>
                <w:kern w:val="0"/>
                <w:sz w:val="20"/>
                <w:szCs w:val="20"/>
              </w:rPr>
            </w:pPr>
            <w:r>
              <w:rPr>
                <w:rFonts w:ascii="黑体" w:hAnsi="黑体" w:eastAsia="黑体"/>
                <w:spacing w:val="0"/>
                <w:kern w:val="0"/>
                <w:sz w:val="20"/>
                <w:szCs w:val="20"/>
              </w:rPr>
              <w:t>其他</w:t>
            </w:r>
          </w:p>
          <w:p>
            <w:pPr>
              <w:widowControl/>
              <w:ind w:left="-211" w:leftChars="-60" w:right="-229" w:rightChars="-65"/>
              <w:jc w:val="center"/>
              <w:rPr>
                <w:rFonts w:ascii="黑体" w:hAnsi="黑体" w:eastAsia="黑体"/>
                <w:spacing w:val="0"/>
                <w:kern w:val="2"/>
                <w:sz w:val="21"/>
                <w:szCs w:val="22"/>
              </w:rPr>
            </w:pPr>
            <w:r>
              <w:rPr>
                <w:rFonts w:ascii="黑体" w:hAnsi="黑体" w:eastAsia="黑体"/>
                <w:spacing w:val="0"/>
                <w:kern w:val="0"/>
                <w:sz w:val="20"/>
                <w:szCs w:val="20"/>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274" w:leftChars="-78" w:right="-257" w:rightChars="-73"/>
              <w:jc w:val="center"/>
              <w:rPr>
                <w:rFonts w:ascii="黑体" w:hAnsi="黑体" w:eastAsia="黑体"/>
                <w:spacing w:val="0"/>
                <w:kern w:val="0"/>
                <w:sz w:val="20"/>
                <w:szCs w:val="20"/>
              </w:rPr>
            </w:pPr>
            <w:r>
              <w:rPr>
                <w:rFonts w:ascii="黑体" w:hAnsi="黑体" w:eastAsia="黑体"/>
                <w:spacing w:val="0"/>
                <w:kern w:val="0"/>
                <w:sz w:val="20"/>
                <w:szCs w:val="20"/>
              </w:rPr>
              <w:t>尚未</w:t>
            </w:r>
          </w:p>
          <w:p>
            <w:pPr>
              <w:widowControl/>
              <w:ind w:left="-274" w:leftChars="-78" w:right="-257" w:rightChars="-73"/>
              <w:jc w:val="center"/>
              <w:rPr>
                <w:rFonts w:ascii="黑体" w:hAnsi="黑体" w:eastAsia="黑体"/>
                <w:spacing w:val="0"/>
                <w:kern w:val="2"/>
                <w:sz w:val="21"/>
                <w:szCs w:val="22"/>
              </w:rPr>
            </w:pPr>
            <w:r>
              <w:rPr>
                <w:rFonts w:ascii="黑体" w:hAnsi="黑体" w:eastAsia="黑体"/>
                <w:spacing w:val="0"/>
                <w:kern w:val="0"/>
                <w:sz w:val="20"/>
                <w:szCs w:val="20"/>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spacing w:val="0"/>
                <w:kern w:val="2"/>
                <w:sz w:val="21"/>
                <w:szCs w:val="22"/>
              </w:rPr>
            </w:pPr>
            <w:r>
              <w:rPr>
                <w:rFonts w:ascii="黑体" w:hAnsi="黑体" w:eastAsia="黑体"/>
                <w:spacing w:val="0"/>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65" w:leftChars="-47" w:right="-130" w:rightChars="-37"/>
              <w:jc w:val="center"/>
              <w:rPr>
                <w:rFonts w:ascii="黑体" w:hAnsi="黑体" w:eastAsia="黑体"/>
                <w:spacing w:val="0"/>
                <w:kern w:val="2"/>
                <w:sz w:val="21"/>
                <w:szCs w:val="22"/>
              </w:rPr>
            </w:pPr>
            <w:r>
              <w:rPr>
                <w:rFonts w:ascii="黑体" w:hAnsi="黑体" w:eastAsia="黑体"/>
                <w:spacing w:val="0"/>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229" w:leftChars="-65" w:right="-208" w:rightChars="-59"/>
              <w:jc w:val="center"/>
              <w:rPr>
                <w:rFonts w:ascii="黑体" w:hAnsi="黑体" w:eastAsia="黑体"/>
                <w:spacing w:val="0"/>
                <w:kern w:val="0"/>
                <w:sz w:val="20"/>
                <w:szCs w:val="20"/>
              </w:rPr>
            </w:pPr>
            <w:r>
              <w:rPr>
                <w:rFonts w:ascii="黑体" w:hAnsi="黑体" w:eastAsia="黑体"/>
                <w:spacing w:val="0"/>
                <w:kern w:val="0"/>
                <w:sz w:val="20"/>
                <w:szCs w:val="20"/>
              </w:rPr>
              <w:t>结果</w:t>
            </w:r>
          </w:p>
          <w:p>
            <w:pPr>
              <w:widowControl/>
              <w:ind w:left="-229" w:leftChars="-65" w:right="-208" w:rightChars="-59"/>
              <w:jc w:val="center"/>
              <w:rPr>
                <w:rFonts w:ascii="黑体" w:hAnsi="黑体" w:eastAsia="黑体"/>
                <w:spacing w:val="0"/>
                <w:kern w:val="2"/>
                <w:sz w:val="21"/>
                <w:szCs w:val="22"/>
              </w:rPr>
            </w:pPr>
            <w:r>
              <w:rPr>
                <w:rFonts w:ascii="黑体" w:hAnsi="黑体" w:eastAsia="黑体"/>
                <w:spacing w:val="0"/>
                <w:kern w:val="0"/>
                <w:sz w:val="20"/>
                <w:szCs w:val="20"/>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291" w:leftChars="-83" w:right="-225" w:rightChars="-64" w:hanging="1"/>
              <w:jc w:val="center"/>
              <w:rPr>
                <w:rFonts w:ascii="黑体" w:hAnsi="黑体" w:eastAsia="黑体"/>
                <w:spacing w:val="0"/>
                <w:kern w:val="0"/>
                <w:sz w:val="20"/>
                <w:szCs w:val="20"/>
              </w:rPr>
            </w:pPr>
            <w:r>
              <w:rPr>
                <w:rFonts w:ascii="黑体" w:hAnsi="黑体" w:eastAsia="黑体"/>
                <w:spacing w:val="0"/>
                <w:kern w:val="0"/>
                <w:sz w:val="20"/>
                <w:szCs w:val="20"/>
              </w:rPr>
              <w:t>其他</w:t>
            </w:r>
          </w:p>
          <w:p>
            <w:pPr>
              <w:widowControl/>
              <w:ind w:left="-291" w:leftChars="-83" w:right="-225" w:rightChars="-64" w:hanging="1"/>
              <w:jc w:val="center"/>
              <w:rPr>
                <w:rFonts w:ascii="黑体" w:hAnsi="黑体" w:eastAsia="黑体"/>
                <w:spacing w:val="0"/>
                <w:kern w:val="2"/>
                <w:sz w:val="21"/>
                <w:szCs w:val="22"/>
              </w:rPr>
            </w:pPr>
            <w:r>
              <w:rPr>
                <w:rFonts w:ascii="黑体" w:hAnsi="黑体" w:eastAsia="黑体"/>
                <w:spacing w:val="0"/>
                <w:kern w:val="0"/>
                <w:sz w:val="20"/>
                <w:szCs w:val="20"/>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14" w:leftChars="-33" w:right="-176" w:rightChars="-50" w:hanging="2" w:hangingChars="1"/>
              <w:jc w:val="center"/>
              <w:rPr>
                <w:rFonts w:ascii="黑体" w:hAnsi="黑体" w:eastAsia="黑体"/>
                <w:spacing w:val="0"/>
                <w:kern w:val="2"/>
                <w:sz w:val="21"/>
                <w:szCs w:val="22"/>
              </w:rPr>
            </w:pPr>
            <w:r>
              <w:rPr>
                <w:rFonts w:ascii="黑体" w:hAnsi="黑体" w:eastAsia="黑体"/>
                <w:spacing w:val="0"/>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黑体" w:hAnsi="黑体" w:eastAsia="黑体"/>
                <w:spacing w:val="0"/>
                <w:kern w:val="2"/>
                <w:sz w:val="21"/>
                <w:szCs w:val="22"/>
              </w:rPr>
            </w:pPr>
            <w:r>
              <w:rPr>
                <w:rFonts w:ascii="黑体" w:hAnsi="黑体" w:eastAsia="黑体"/>
                <w:spacing w:val="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Times New Roman" w:hAnsi="Times New Roman" w:eastAsia="宋体"/>
                <w:spacing w:val="0"/>
                <w:kern w:val="2"/>
                <w:sz w:val="21"/>
                <w:szCs w:val="22"/>
              </w:rPr>
            </w:pPr>
            <w:r>
              <w:rPr>
                <w:rFonts w:hint="eastAsia" w:ascii="Times New Roman" w:hAnsi="Times New Roman" w:eastAsia="宋体"/>
                <w:spacing w:val="0"/>
                <w:kern w:val="2"/>
                <w:sz w:val="21"/>
                <w:szCs w:val="22"/>
              </w:rPr>
              <w:t>0</w:t>
            </w:r>
          </w:p>
        </w:tc>
      </w:tr>
    </w:tbl>
    <w:p>
      <w:pPr>
        <w:pStyle w:val="4"/>
        <w:shd w:val="clear" w:color="auto" w:fill="FFFFFF"/>
        <w:spacing w:beforeAutospacing="0" w:afterAutospacing="0"/>
        <w:ind w:firstLine="640" w:firstLineChars="200"/>
        <w:jc w:val="both"/>
        <w:rPr>
          <w:rFonts w:ascii="黑体" w:hAnsi="黑体" w:eastAsia="黑体" w:cs="黑体"/>
          <w:spacing w:val="0"/>
          <w:sz w:val="32"/>
          <w:szCs w:val="32"/>
        </w:rPr>
      </w:pPr>
      <w:r>
        <w:rPr>
          <w:rStyle w:val="8"/>
          <w:rFonts w:hint="eastAsia" w:ascii="黑体" w:hAnsi="黑体" w:eastAsia="黑体" w:cs="黑体"/>
          <w:b w:val="0"/>
          <w:spacing w:val="0"/>
          <w:sz w:val="32"/>
          <w:szCs w:val="32"/>
          <w:shd w:val="clear" w:color="auto" w:fill="FFFFFF"/>
        </w:rPr>
        <w:t>五、存在的主要问题及改进情况</w:t>
      </w:r>
    </w:p>
    <w:p>
      <w:pPr>
        <w:pStyle w:val="4"/>
        <w:shd w:val="clear" w:color="auto" w:fill="FFFFFF"/>
        <w:spacing w:beforeAutospacing="0" w:afterAutospacing="0"/>
        <w:ind w:firstLine="640" w:firstLineChars="200"/>
        <w:jc w:val="both"/>
        <w:rPr>
          <w:rFonts w:ascii="仿宋_GB2312" w:hAnsi="仿宋_GB2312" w:cs="仿宋_GB2312"/>
          <w:spacing w:val="0"/>
          <w:sz w:val="32"/>
          <w:szCs w:val="32"/>
          <w:shd w:val="clear" w:color="auto" w:fill="FFFFFF"/>
        </w:rPr>
      </w:pPr>
      <w:bookmarkStart w:id="12" w:name="_Hlk157155576"/>
      <w:r>
        <w:rPr>
          <w:rFonts w:hint="eastAsia" w:ascii="仿宋_GB2312" w:hAnsi="仿宋_GB2312" w:cs="仿宋_GB2312"/>
          <w:spacing w:val="0"/>
          <w:sz w:val="32"/>
          <w:szCs w:val="32"/>
          <w:shd w:val="clear" w:color="auto" w:fill="FFFFFF"/>
        </w:rPr>
        <w:t>2023年度我局政府信息公开工作取得了一定成绩，但还存在一些不足：一是只满足于完成任务分解表中的硬性任务，对硬性任务之外的工作探索较少，没有更充分的利用政府信息公开平台；二是部分机关干部对政府信息公开工作还不足够重视，报送公开信息主动性不高，一些好的工作经验做法和最新动态没有及时主动公开。</w:t>
      </w:r>
    </w:p>
    <w:p>
      <w:pPr>
        <w:pStyle w:val="4"/>
        <w:shd w:val="clear" w:color="auto" w:fill="FFFFFF"/>
        <w:spacing w:beforeAutospacing="0" w:afterAutospacing="0"/>
        <w:ind w:firstLine="640" w:firstLineChars="200"/>
        <w:jc w:val="both"/>
        <w:rPr>
          <w:rFonts w:ascii="仿宋_GB2312" w:hAnsi="仿宋_GB2312" w:cs="仿宋_GB2312"/>
          <w:spacing w:val="0"/>
          <w:sz w:val="32"/>
          <w:szCs w:val="32"/>
        </w:rPr>
      </w:pPr>
      <w:r>
        <w:rPr>
          <w:rFonts w:hint="eastAsia" w:ascii="仿宋_GB2312" w:hAnsi="仿宋_GB2312" w:cs="仿宋_GB2312"/>
          <w:spacing w:val="0"/>
          <w:sz w:val="32"/>
          <w:szCs w:val="32"/>
          <w:shd w:val="clear" w:color="auto" w:fill="FFFFFF"/>
        </w:rPr>
        <w:t>针对上述问题，我局积极采取改进措施:一是进一步加强对政务信息公开平台的充分探索利用，在完成基础性任务的基础上规划带有部门特色的信息公开平台，打造宣传金融助企政策的新高地；二是进一步强化机关干部的信息公开意识，建立长效机制，加强科室间工作协调，持续深化政策宣传阵地建设。</w:t>
      </w:r>
    </w:p>
    <w:bookmarkEnd w:id="12"/>
    <w:p>
      <w:pPr>
        <w:pStyle w:val="4"/>
        <w:shd w:val="clear" w:color="auto" w:fill="FFFFFF"/>
        <w:spacing w:beforeAutospacing="0" w:afterAutospacing="0"/>
        <w:ind w:firstLine="640" w:firstLineChars="200"/>
        <w:jc w:val="both"/>
        <w:rPr>
          <w:rStyle w:val="8"/>
          <w:rFonts w:ascii="黑体" w:hAnsi="黑体" w:eastAsia="黑体" w:cs="黑体"/>
          <w:b w:val="0"/>
          <w:spacing w:val="0"/>
          <w:sz w:val="32"/>
          <w:szCs w:val="32"/>
          <w:shd w:val="clear" w:color="auto" w:fill="FFFFFF"/>
        </w:rPr>
      </w:pPr>
      <w:r>
        <w:rPr>
          <w:rStyle w:val="8"/>
          <w:rFonts w:hint="eastAsia" w:ascii="黑体" w:hAnsi="黑体" w:eastAsia="黑体" w:cs="黑体"/>
          <w:b w:val="0"/>
          <w:spacing w:val="0"/>
          <w:sz w:val="32"/>
          <w:szCs w:val="32"/>
          <w:shd w:val="clear" w:color="auto" w:fill="FFFFFF"/>
        </w:rPr>
        <w:t>六、其他需要报告的事项</w:t>
      </w:r>
    </w:p>
    <w:p>
      <w:pPr>
        <w:pStyle w:val="4"/>
        <w:shd w:val="clear" w:color="auto" w:fill="FFFFFF"/>
        <w:spacing w:beforeAutospacing="0" w:afterAutospacing="0"/>
        <w:ind w:firstLine="480" w:firstLineChars="200"/>
        <w:jc w:val="both"/>
        <w:rPr>
          <w:rFonts w:ascii="仿宋_GB2312" w:hAnsi="仿宋_GB2312" w:cs="仿宋_GB2312"/>
          <w:spacing w:val="0"/>
          <w:sz w:val="32"/>
          <w:szCs w:val="32"/>
          <w:shd w:val="clear" w:color="auto" w:fill="FFFFFF"/>
        </w:rPr>
      </w:pPr>
      <w:r>
        <w:rPr>
          <w:rFonts w:hint="eastAsia" w:ascii="微软雅黑" w:hAnsi="微软雅黑" w:eastAsia="微软雅黑" w:cs="微软雅黑"/>
          <w:spacing w:val="0"/>
          <w:szCs w:val="24"/>
          <w:shd w:val="clear" w:color="auto" w:fill="FFFFFF"/>
        </w:rPr>
        <w:t> </w:t>
      </w:r>
      <w:r>
        <w:rPr>
          <w:rFonts w:hint="eastAsia" w:ascii="仿宋_GB2312" w:hAnsi="仿宋_GB2312" w:cs="仿宋_GB2312"/>
          <w:spacing w:val="0"/>
          <w:sz w:val="32"/>
          <w:szCs w:val="32"/>
          <w:shd w:val="clear" w:color="auto" w:fill="FFFFFF"/>
        </w:rPr>
        <w:t> 1、收取信息处理费情况。按照《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pStyle w:val="4"/>
        <w:shd w:val="clear" w:color="auto" w:fill="FFFFFF"/>
        <w:spacing w:beforeAutospacing="0" w:afterAutospacing="0"/>
        <w:ind w:firstLine="640" w:firstLineChars="200"/>
        <w:jc w:val="both"/>
        <w:rPr>
          <w:rFonts w:ascii="仿宋_GB2312" w:hAnsi="仿宋_GB2312" w:cs="仿宋_GB2312"/>
          <w:spacing w:val="0"/>
          <w:sz w:val="32"/>
          <w:szCs w:val="32"/>
          <w:shd w:val="clear" w:color="auto" w:fill="FFFFFF"/>
        </w:rPr>
      </w:pPr>
      <w:r>
        <w:rPr>
          <w:rFonts w:hint="eastAsia" w:ascii="仿宋_GB2312" w:hAnsi="仿宋_GB2312" w:cs="仿宋_GB2312"/>
          <w:spacing w:val="0"/>
          <w:sz w:val="32"/>
          <w:szCs w:val="32"/>
          <w:shd w:val="clear" w:color="auto" w:fill="FFFFFF"/>
        </w:rPr>
        <w:t>2、落实上级年度政务公开工作要点情况。我局严格按照《淄川区人民政府办公室关于印发2023淄川区政务公开工作方案的通知》要求，对照《2023年淄川区政务公开重点工作任务分解表》逐一落实，按照工作要求和时限要求完成政务公开工作，重点做好政策解读回应、政务公开规范化建设，确保栏目清晰、要素齐全、更新及时。</w:t>
      </w:r>
    </w:p>
    <w:p>
      <w:pPr>
        <w:pStyle w:val="4"/>
        <w:shd w:val="clear" w:color="auto" w:fill="FFFFFF"/>
        <w:spacing w:beforeAutospacing="0" w:afterAutospacing="0"/>
        <w:ind w:firstLine="640" w:firstLineChars="200"/>
        <w:jc w:val="both"/>
        <w:rPr>
          <w:rFonts w:ascii="仿宋_GB2312" w:hAnsi="仿宋_GB2312" w:cs="仿宋_GB2312"/>
          <w:spacing w:val="0"/>
          <w:sz w:val="32"/>
          <w:szCs w:val="32"/>
          <w:shd w:val="clear" w:color="auto" w:fill="FFFFFF"/>
        </w:rPr>
      </w:pPr>
      <w:r>
        <w:rPr>
          <w:rFonts w:hint="eastAsia" w:ascii="仿宋_GB2312" w:hAnsi="仿宋_GB2312" w:cs="仿宋_GB2312"/>
          <w:spacing w:val="0"/>
          <w:sz w:val="32"/>
          <w:szCs w:val="32"/>
          <w:shd w:val="clear" w:color="auto" w:fill="FFFFFF"/>
        </w:rPr>
        <w:t>3、人大代表和政协提案办理结果公开情况。我局2023年共承办人大代表建议提案2件，主要涉及企业融资和产业发展领域；共承办政协委员提案3件，主要涉及中小微企业发展、政协金融驿站建设领域，5件提案均按法定程序给予了答复。</w:t>
      </w:r>
    </w:p>
    <w:p>
      <w:pPr>
        <w:pStyle w:val="4"/>
        <w:shd w:val="clear" w:color="auto" w:fill="FFFFFF"/>
        <w:spacing w:beforeAutospacing="0" w:afterAutospacing="0"/>
        <w:ind w:firstLine="640" w:firstLineChars="200"/>
        <w:jc w:val="both"/>
        <w:rPr>
          <w:rFonts w:ascii="仿宋_GB2312" w:hAnsi="仿宋_GB2312" w:cs="仿宋_GB2312"/>
          <w:spacing w:val="0"/>
          <w:sz w:val="32"/>
          <w:szCs w:val="32"/>
          <w:shd w:val="clear" w:color="auto" w:fill="FFFFFF"/>
        </w:rPr>
      </w:pPr>
      <w:r>
        <w:rPr>
          <w:rFonts w:hint="eastAsia" w:ascii="仿宋_GB2312" w:hAnsi="仿宋_GB2312" w:cs="仿宋_GB2312"/>
          <w:spacing w:val="0"/>
          <w:sz w:val="32"/>
          <w:szCs w:val="32"/>
          <w:shd w:val="clear" w:color="auto" w:fill="FFFFFF"/>
        </w:rPr>
        <w:t>4、政务公开工作创新情况。2023年，我局进一步发挥职能优势，加强政务公开工作与业务工作同部署同落实，确保“业务工作推进到哪里，政务公开就跟进到哪里”，重点做好政策文件类、防范化解重大风险类、优化营商环境类栏目的更新工作。</w:t>
      </w:r>
    </w:p>
    <w:p>
      <w:pPr>
        <w:pStyle w:val="4"/>
        <w:shd w:val="clear" w:color="auto" w:fill="FFFFFF"/>
        <w:spacing w:beforeAutospacing="0" w:afterAutospacing="0"/>
        <w:ind w:firstLine="640" w:firstLineChars="200"/>
        <w:jc w:val="both"/>
        <w:rPr>
          <w:rFonts w:ascii="仿宋_GB2312" w:hAnsi="仿宋_GB2312" w:cs="仿宋_GB2312"/>
          <w:spacing w:val="0"/>
          <w:sz w:val="32"/>
          <w:szCs w:val="32"/>
          <w:shd w:val="clear" w:color="auto" w:fill="FFFFFF"/>
        </w:rPr>
      </w:pPr>
      <w:r>
        <w:rPr>
          <w:rFonts w:hint="eastAsia" w:ascii="仿宋_GB2312" w:hAnsi="仿宋_GB2312" w:cs="仿宋_GB2312"/>
          <w:spacing w:val="0"/>
          <w:sz w:val="32"/>
          <w:szCs w:val="32"/>
          <w:shd w:val="clear" w:color="auto" w:fill="FFFFFF"/>
        </w:rPr>
        <w:t>5、政府信息公开工作年度报告数据统计需要说明的事项。无。</w:t>
      </w:r>
    </w:p>
    <w:p>
      <w:pPr>
        <w:pStyle w:val="4"/>
        <w:shd w:val="clear" w:color="auto" w:fill="FFFFFF"/>
        <w:spacing w:beforeAutospacing="0" w:afterAutospacing="0"/>
        <w:ind w:firstLine="640" w:firstLineChars="200"/>
        <w:jc w:val="both"/>
        <w:rPr>
          <w:rFonts w:ascii="仿宋_GB2312" w:hAnsi="仿宋_GB2312" w:cs="仿宋_GB2312"/>
          <w:spacing w:val="0"/>
          <w:sz w:val="32"/>
          <w:szCs w:val="32"/>
          <w:shd w:val="clear" w:color="auto" w:fill="FFFFFF"/>
        </w:rPr>
      </w:pPr>
      <w:r>
        <w:rPr>
          <w:rFonts w:hint="eastAsia" w:ascii="仿宋_GB2312" w:hAnsi="仿宋_GB2312" w:cs="仿宋_GB2312"/>
          <w:spacing w:val="0"/>
          <w:sz w:val="32"/>
          <w:szCs w:val="32"/>
          <w:shd w:val="clear" w:color="auto" w:fill="FFFFFF"/>
        </w:rPr>
        <w:t>6、本行政机关认为需要报告的其他事项。无。</w:t>
      </w:r>
    </w:p>
    <w:p>
      <w:pPr>
        <w:pStyle w:val="4"/>
        <w:shd w:val="clear" w:color="auto" w:fill="FFFFFF"/>
        <w:spacing w:beforeAutospacing="0" w:afterAutospacing="0"/>
        <w:ind w:firstLine="640" w:firstLineChars="200"/>
        <w:jc w:val="both"/>
        <w:rPr>
          <w:rFonts w:ascii="仿宋_GB2312" w:hAnsi="仿宋_GB2312" w:cs="仿宋_GB2312"/>
          <w:spacing w:val="0"/>
          <w:sz w:val="32"/>
          <w:szCs w:val="32"/>
          <w:shd w:val="clear" w:color="auto" w:fill="FFFFFF"/>
        </w:rPr>
      </w:pPr>
      <w:r>
        <w:rPr>
          <w:rFonts w:hint="eastAsia" w:ascii="仿宋_GB2312" w:hAnsi="仿宋_GB2312" w:cs="仿宋_GB2312"/>
          <w:spacing w:val="0"/>
          <w:sz w:val="32"/>
          <w:szCs w:val="32"/>
          <w:shd w:val="clear" w:color="auto" w:fill="FFFFFF"/>
        </w:rPr>
        <w:t>7、其他有关文件专门要求通过政府信息公开工作年度报告予以报告的事项。无。</w:t>
      </w:r>
    </w:p>
    <w:p>
      <w:pPr>
        <w:pStyle w:val="4"/>
        <w:shd w:val="clear" w:color="auto" w:fill="FFFFFF"/>
        <w:spacing w:beforeAutospacing="0" w:afterAutospacing="0"/>
        <w:ind w:firstLine="640" w:firstLineChars="200"/>
        <w:jc w:val="both"/>
        <w:rPr>
          <w:rFonts w:ascii="仿宋_GB2312" w:hAnsi="仿宋_GB2312" w:cs="仿宋_GB2312"/>
          <w:spacing w:val="0"/>
          <w:sz w:val="32"/>
          <w:szCs w:val="32"/>
          <w:shd w:val="clear" w:color="auto" w:fill="FFFFFF"/>
        </w:rPr>
      </w:pPr>
    </w:p>
    <w:p>
      <w:pPr>
        <w:pStyle w:val="4"/>
        <w:shd w:val="clear" w:color="auto" w:fill="FFFFFF"/>
        <w:spacing w:beforeAutospacing="0" w:afterAutospacing="0"/>
        <w:ind w:firstLine="640" w:firstLineChars="200"/>
        <w:jc w:val="both"/>
        <w:rPr>
          <w:rFonts w:ascii="仿宋_GB2312" w:hAnsi="仿宋_GB2312" w:cs="仿宋_GB2312"/>
          <w:spacing w:val="0"/>
          <w:sz w:val="32"/>
          <w:szCs w:val="32"/>
          <w:shd w:val="clear" w:color="auto" w:fill="FFFFFF"/>
        </w:rPr>
      </w:pPr>
    </w:p>
    <w:p>
      <w:pPr>
        <w:pStyle w:val="4"/>
        <w:shd w:val="clear" w:color="auto" w:fill="FFFFFF"/>
        <w:wordWrap w:val="0"/>
        <w:spacing w:beforeAutospacing="0" w:afterAutospacing="0"/>
        <w:ind w:firstLine="640" w:firstLineChars="200"/>
        <w:jc w:val="right"/>
        <w:rPr>
          <w:rFonts w:ascii="仿宋_GB2312" w:hAnsi="仿宋_GB2312" w:cs="仿宋_GB2312"/>
          <w:spacing w:val="0"/>
          <w:sz w:val="32"/>
          <w:szCs w:val="32"/>
          <w:shd w:val="clear" w:color="auto" w:fill="FFFFFF"/>
        </w:rPr>
      </w:pPr>
      <w:r>
        <w:rPr>
          <w:rFonts w:hint="eastAsia" w:ascii="仿宋_GB2312" w:hAnsi="仿宋_GB2312" w:cs="仿宋_GB2312"/>
          <w:spacing w:val="0"/>
          <w:sz w:val="32"/>
          <w:szCs w:val="32"/>
          <w:shd w:val="clear" w:color="auto" w:fill="FFFFFF"/>
        </w:rPr>
        <w:t xml:space="preserve">淄川区地方金融监督管理局    </w:t>
      </w:r>
    </w:p>
    <w:p>
      <w:pPr>
        <w:pStyle w:val="4"/>
        <w:shd w:val="clear" w:color="auto" w:fill="FFFFFF"/>
        <w:wordWrap w:val="0"/>
        <w:spacing w:beforeAutospacing="0" w:afterAutospacing="0"/>
        <w:ind w:firstLine="640" w:firstLineChars="200"/>
        <w:jc w:val="right"/>
        <w:rPr>
          <w:rFonts w:ascii="仿宋_GB2312" w:hAnsi="仿宋_GB2312" w:cs="仿宋_GB2312"/>
          <w:spacing w:val="0"/>
          <w:sz w:val="32"/>
          <w:szCs w:val="32"/>
          <w:shd w:val="clear" w:color="auto" w:fill="FFFFFF"/>
        </w:rPr>
      </w:pPr>
      <w:r>
        <w:rPr>
          <w:rFonts w:hint="eastAsia" w:ascii="仿宋_GB2312" w:hAnsi="仿宋_GB2312" w:cs="仿宋_GB2312"/>
          <w:spacing w:val="0"/>
          <w:sz w:val="32"/>
          <w:szCs w:val="32"/>
          <w:shd w:val="clear" w:color="auto" w:fill="FFFFFF"/>
        </w:rPr>
        <w:t>2024年1月</w:t>
      </w:r>
      <w:r>
        <w:rPr>
          <w:rFonts w:ascii="仿宋_GB2312" w:hAnsi="仿宋_GB2312" w:cs="仿宋_GB2312"/>
          <w:spacing w:val="0"/>
          <w:sz w:val="32"/>
          <w:szCs w:val="32"/>
          <w:shd w:val="clear" w:color="auto" w:fill="FFFFFF"/>
        </w:rPr>
        <w:t>26</w:t>
      </w:r>
      <w:r>
        <w:rPr>
          <w:rFonts w:hint="eastAsia" w:ascii="仿宋_GB2312" w:hAnsi="仿宋_GB2312" w:cs="仿宋_GB2312"/>
          <w:spacing w:val="0"/>
          <w:sz w:val="32"/>
          <w:szCs w:val="32"/>
          <w:shd w:val="clear" w:color="auto" w:fill="FFFFFF"/>
        </w:rPr>
        <w:t xml:space="preserve">日        </w:t>
      </w:r>
    </w:p>
    <w:p>
      <w:pPr>
        <w:pStyle w:val="4"/>
        <w:shd w:val="clear" w:color="auto" w:fill="FFFFFF"/>
        <w:spacing w:beforeAutospacing="0" w:afterAutospacing="0"/>
        <w:ind w:firstLine="640" w:firstLineChars="200"/>
        <w:jc w:val="both"/>
        <w:rPr>
          <w:rFonts w:ascii="仿宋_GB2312" w:hAnsi="仿宋_GB2312" w:cs="仿宋_GB2312"/>
          <w:spacing w:val="0"/>
          <w:sz w:val="32"/>
          <w:szCs w:val="32"/>
          <w:shd w:val="clear" w:color="auto" w:fill="FFFFFF"/>
        </w:rPr>
      </w:pPr>
    </w:p>
    <w:bookmarkEnd w:id="1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911C43"/>
    <w:multiLevelType w:val="singleLevel"/>
    <w:tmpl w:val="97911C4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1NDFjNTU0M2Y0ZTNlMDQxNDQ1YTBhOGUyMjBkZTQifQ=="/>
  </w:docVars>
  <w:rsids>
    <w:rsidRoot w:val="003722E1"/>
    <w:rsid w:val="003722E1"/>
    <w:rsid w:val="003E2D98"/>
    <w:rsid w:val="00632F69"/>
    <w:rsid w:val="00A24913"/>
    <w:rsid w:val="0E2E4858"/>
    <w:rsid w:val="0F867C5F"/>
    <w:rsid w:val="0FB07EA3"/>
    <w:rsid w:val="19AA5600"/>
    <w:rsid w:val="1AEC2B81"/>
    <w:rsid w:val="1D554B87"/>
    <w:rsid w:val="1EF94D63"/>
    <w:rsid w:val="1F4460BD"/>
    <w:rsid w:val="25780B6E"/>
    <w:rsid w:val="26B77B14"/>
    <w:rsid w:val="32EB3EF6"/>
    <w:rsid w:val="3F397A0D"/>
    <w:rsid w:val="419B0C5F"/>
    <w:rsid w:val="48206787"/>
    <w:rsid w:val="4FFE0E59"/>
    <w:rsid w:val="5C822A2B"/>
    <w:rsid w:val="60A52614"/>
    <w:rsid w:val="63093438"/>
    <w:rsid w:val="692D17AD"/>
    <w:rsid w:val="72DA6836"/>
    <w:rsid w:val="7AFB303D"/>
    <w:rsid w:val="7B690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spacing w:val="16"/>
      <w:kern w:val="10"/>
      <w:sz w:val="32"/>
      <w:szCs w:val="3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paragraph" w:styleId="5">
    <w:name w:val="Title"/>
    <w:basedOn w:val="1"/>
    <w:qFormat/>
    <w:uiPriority w:val="0"/>
    <w:pPr>
      <w:spacing w:before="240" w:after="60"/>
      <w:jc w:val="center"/>
      <w:outlineLvl w:val="0"/>
    </w:pPr>
    <w:rPr>
      <w:rFonts w:ascii="Arial" w:hAnsi="Arial"/>
      <w:b/>
    </w:rPr>
  </w:style>
  <w:style w:type="character" w:styleId="8">
    <w:name w:val="Strong"/>
    <w:basedOn w:val="7"/>
    <w:qFormat/>
    <w:uiPriority w:val="0"/>
    <w:rPr>
      <w:b/>
    </w:rPr>
  </w:style>
  <w:style w:type="character" w:customStyle="1" w:styleId="9">
    <w:name w:val="页眉 字符"/>
    <w:basedOn w:val="7"/>
    <w:link w:val="3"/>
    <w:qFormat/>
    <w:uiPriority w:val="0"/>
    <w:rPr>
      <w:rFonts w:ascii="Calibri" w:hAnsi="Calibri" w:eastAsia="仿宋_GB2312"/>
      <w:spacing w:val="16"/>
      <w:kern w:val="10"/>
      <w:sz w:val="18"/>
      <w:szCs w:val="18"/>
    </w:rPr>
  </w:style>
  <w:style w:type="character" w:customStyle="1" w:styleId="10">
    <w:name w:val="页脚 字符"/>
    <w:basedOn w:val="7"/>
    <w:link w:val="2"/>
    <w:qFormat/>
    <w:uiPriority w:val="0"/>
    <w:rPr>
      <w:rFonts w:ascii="Calibri" w:hAnsi="Calibri" w:eastAsia="仿宋_GB2312"/>
      <w:spacing w:val="16"/>
      <w:kern w:val="1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465</Words>
  <Characters>2654</Characters>
  <Lines>22</Lines>
  <Paragraphs>6</Paragraphs>
  <TotalTime>32</TotalTime>
  <ScaleCrop>false</ScaleCrop>
  <LinksUpToDate>false</LinksUpToDate>
  <CharactersWithSpaces>3113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2021-12-27T03:06:00Z</dcterms:created>
  <dc:creator>HP</dc:creator>
  <cp:lastModifiedBy>银杏果</cp:lastModifiedBy>
  <dcterms:modified xsi:type="dcterms:W3CDTF">2024-01-29T01:47:03Z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758E812E4854461C9609FE827935EB05_12</vt:lpwstr>
  </property>
</Properties>
</file>