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pageBreakBefore w:val="0"/>
        <w:widowControl w:val="0"/>
        <w:kinsoku/>
        <w:wordWrap/>
        <w:overflowPunct/>
        <w:topLinePunct w:val="0"/>
        <w:autoSpaceDE/>
        <w:autoSpaceDN/>
        <w:bidi w:val="0"/>
        <w:adjustRightInd/>
        <w:snapToGrid/>
        <w:spacing w:before="980" w:line="240" w:lineRule="auto"/>
        <w:jc w:val="center"/>
        <w:textAlignment w:val="auto"/>
        <w:rPr>
          <w:rFonts w:hint="eastAsia" w:ascii="方正小标宋简体" w:hAnsi="方正小标宋简体" w:eastAsia="方正小标宋简体" w:cs="方正小标宋简体"/>
          <w:color w:val="000000"/>
          <w:lang w:val="en-US"/>
        </w:rPr>
      </w:pPr>
      <w:bookmarkStart w:id="0" w:name="_Toc8524"/>
      <w:bookmarkStart w:id="1" w:name="_Toc91519921"/>
      <w:r>
        <w:rPr>
          <w:rFonts w:hint="eastAsia" w:ascii="方正小标宋简体" w:hAnsi="方正小标宋简体" w:eastAsia="方正小标宋简体" w:cs="方正小标宋简体"/>
          <w:color w:val="000000"/>
          <w:lang w:val="en-US" w:eastAsia="zh-CN"/>
        </w:rPr>
        <w:t>淄博市</w:t>
      </w:r>
      <w:r>
        <w:rPr>
          <w:rFonts w:hint="eastAsia" w:ascii="方正小标宋简体" w:hAnsi="方正小标宋简体" w:eastAsia="方正小标宋简体" w:cs="方正小标宋简体"/>
          <w:color w:val="000000"/>
          <w:lang w:val="en-US"/>
        </w:rPr>
        <w:t>发展和改革委员会</w:t>
      </w:r>
      <w:r>
        <w:rPr>
          <w:rFonts w:hint="default" w:ascii="方正小标宋简体" w:hAnsi="方正小标宋简体" w:eastAsia="方正小标宋简体" w:cs="方正小标宋简体"/>
          <w:color w:val="000000"/>
          <w:lang w:val="en"/>
        </w:rPr>
        <w:t>2023</w:t>
      </w:r>
      <w:r>
        <w:rPr>
          <w:rFonts w:hint="eastAsia" w:ascii="方正小标宋简体" w:hAnsi="方正小标宋简体" w:eastAsia="方正小标宋简体" w:cs="方正小标宋简体"/>
          <w:color w:val="000000"/>
          <w:lang w:val="en" w:eastAsia="zh-CN"/>
        </w:rPr>
        <w:t>年度</w:t>
      </w:r>
      <w:r>
        <w:rPr>
          <w:rFonts w:hint="eastAsia" w:ascii="方正小标宋简体" w:hAnsi="方正小标宋简体" w:eastAsia="方正小标宋简体" w:cs="方正小标宋简体"/>
          <w:color w:val="000000"/>
          <w:lang w:val="en-US"/>
        </w:rPr>
        <w:t>“双随机、一公开”抽查工作指引</w:t>
      </w:r>
      <w:bookmarkEnd w:id="0"/>
      <w:bookmarkEnd w:id="1"/>
    </w:p>
    <w:p>
      <w:pPr>
        <w:pStyle w:val="8"/>
        <w:keepNext/>
        <w:keepLines/>
        <w:spacing w:before="280" w:after="280" w:line="310" w:lineRule="exact"/>
        <w:rPr>
          <w:rFonts w:hint="eastAsia" w:ascii="黑体" w:hAnsi="黑体" w:eastAsia="黑体" w:cs="黑体"/>
          <w:color w:val="000000"/>
          <w:szCs w:val="22"/>
          <w:lang w:val="en-US"/>
        </w:rPr>
      </w:pPr>
      <w:r>
        <w:rPr>
          <w:rFonts w:hint="eastAsia" w:ascii="黑体" w:hAnsi="黑体" w:eastAsia="黑体" w:cs="黑体"/>
          <w:color w:val="000000"/>
          <w:szCs w:val="22"/>
          <w:lang w:val="en-US"/>
        </w:rPr>
        <w:t>总  述</w:t>
      </w:r>
    </w:p>
    <w:p>
      <w:pPr>
        <w:pStyle w:val="9"/>
        <w:spacing w:line="310" w:lineRule="exact"/>
        <w:ind w:firstLineChars="200"/>
        <w:jc w:val="both"/>
        <w:rPr>
          <w:rFonts w:hint="eastAsia"/>
          <w:color w:val="000000"/>
          <w:lang w:val="en-US"/>
        </w:rPr>
      </w:pPr>
      <w:r>
        <w:rPr>
          <w:rFonts w:hint="eastAsia"/>
          <w:color w:val="000000"/>
          <w:lang w:val="en-US"/>
        </w:rPr>
        <w:t>本工作指引适用于《</w:t>
      </w:r>
      <w:r>
        <w:rPr>
          <w:rFonts w:hint="eastAsia"/>
          <w:color w:val="000000"/>
          <w:lang w:val="en-US" w:eastAsia="zh-CN"/>
        </w:rPr>
        <w:t>淄博市</w:t>
      </w:r>
      <w:r>
        <w:rPr>
          <w:rFonts w:hint="eastAsia"/>
          <w:color w:val="000000"/>
          <w:lang w:val="en-US"/>
        </w:rPr>
        <w:t>发展和改革委员会随机抽查事项清单（202</w:t>
      </w:r>
      <w:r>
        <w:rPr>
          <w:rFonts w:hint="eastAsia"/>
          <w:color w:val="000000"/>
          <w:lang w:val="en-US" w:eastAsia="zh-CN"/>
        </w:rPr>
        <w:t>3</w:t>
      </w:r>
      <w:r>
        <w:rPr>
          <w:rFonts w:hint="eastAsia"/>
          <w:color w:val="000000"/>
          <w:lang w:val="en-US"/>
        </w:rPr>
        <w:t>年）》所列事项的随机抽查。除实地核查外，“双随机、一公开”监管还可以根据实际情况采取书面检查、聘请专业机构等方式进行。</w:t>
      </w:r>
      <w:bookmarkStart w:id="6" w:name="_GoBack"/>
      <w:bookmarkEnd w:id="6"/>
    </w:p>
    <w:p>
      <w:pPr>
        <w:pStyle w:val="9"/>
        <w:spacing w:line="310" w:lineRule="exact"/>
        <w:ind w:firstLineChars="200"/>
        <w:jc w:val="both"/>
        <w:rPr>
          <w:rFonts w:hint="eastAsia"/>
          <w:color w:val="000000"/>
          <w:lang w:val="en-US"/>
        </w:rPr>
      </w:pPr>
      <w:r>
        <w:rPr>
          <w:rFonts w:hint="eastAsia"/>
          <w:color w:val="000000"/>
          <w:lang w:val="en-US"/>
        </w:rPr>
        <w:t>本工作指引适用于202</w:t>
      </w:r>
      <w:r>
        <w:rPr>
          <w:rFonts w:hint="eastAsia"/>
          <w:color w:val="000000"/>
          <w:lang w:val="en-US" w:eastAsia="zh-CN"/>
        </w:rPr>
        <w:t>3</w:t>
      </w:r>
      <w:r>
        <w:rPr>
          <w:rFonts w:hint="eastAsia"/>
          <w:color w:val="000000"/>
          <w:lang w:val="en-US"/>
        </w:rPr>
        <w:t>年省发展改革委抽查计划涉及的市场主体和其他类检查对象。</w:t>
      </w:r>
    </w:p>
    <w:p>
      <w:pPr>
        <w:pStyle w:val="9"/>
        <w:spacing w:line="310" w:lineRule="exact"/>
        <w:ind w:firstLineChars="200"/>
        <w:jc w:val="both"/>
        <w:rPr>
          <w:rFonts w:hint="eastAsia"/>
          <w:color w:val="000000"/>
          <w:lang w:val="en-US"/>
        </w:rPr>
      </w:pPr>
      <w:r>
        <w:rPr>
          <w:rFonts w:hint="eastAsia" w:ascii="黑体" w:hAnsi="黑体" w:eastAsia="黑体" w:cs="黑体"/>
          <w:color w:val="000000"/>
          <w:lang w:val="en-US"/>
        </w:rPr>
        <w:t>一、前期准备</w:t>
      </w:r>
    </w:p>
    <w:p>
      <w:pPr>
        <w:pStyle w:val="9"/>
        <w:spacing w:line="310" w:lineRule="exact"/>
        <w:ind w:firstLineChars="200"/>
        <w:jc w:val="both"/>
        <w:rPr>
          <w:rFonts w:hint="eastAsia"/>
          <w:color w:val="000000"/>
          <w:lang w:val="en-US"/>
        </w:rPr>
      </w:pPr>
      <w:r>
        <w:rPr>
          <w:rFonts w:hint="eastAsia"/>
          <w:color w:val="000000"/>
          <w:lang w:val="en-US"/>
        </w:rPr>
        <w:t>抽查事项清单、各检查对象分类专项名录库组成、执法检查人员名录库动态管理以及现场检查对象抽取、执法检查人员匹配、结果公示等工作，均通过“山东省政府部门联合‘双随机、一公开’监管平台”完成。实地核查前，可根据需要查阅检查对象相关基本信息，提高检查效率。</w:t>
      </w:r>
    </w:p>
    <w:p>
      <w:pPr>
        <w:pStyle w:val="9"/>
        <w:spacing w:line="310" w:lineRule="exact"/>
        <w:ind w:firstLineChars="200"/>
        <w:jc w:val="both"/>
        <w:rPr>
          <w:rFonts w:hint="eastAsia"/>
          <w:color w:val="000000"/>
          <w:lang w:val="en-US"/>
        </w:rPr>
      </w:pPr>
      <w:r>
        <w:rPr>
          <w:rFonts w:hint="eastAsia" w:ascii="黑体" w:hAnsi="黑体" w:eastAsia="黑体" w:cs="黑体"/>
          <w:color w:val="000000"/>
          <w:lang w:val="en-US"/>
        </w:rPr>
        <w:t>二、实地核查</w:t>
      </w:r>
    </w:p>
    <w:p>
      <w:pPr>
        <w:pStyle w:val="9"/>
        <w:spacing w:line="310" w:lineRule="exact"/>
        <w:ind w:firstLineChars="200"/>
        <w:jc w:val="both"/>
        <w:rPr>
          <w:rFonts w:hint="eastAsia"/>
          <w:color w:val="000000"/>
          <w:lang w:val="en-US"/>
        </w:rPr>
      </w:pPr>
      <w:r>
        <w:rPr>
          <w:rFonts w:hint="eastAsia"/>
          <w:color w:val="000000"/>
          <w:lang w:val="en-US"/>
        </w:rPr>
        <w:t>实地核查人员不得少于两人，并应出示执法证件。在核查过程中，应注意通过文字、录音、录像等方式记录抽查过程，必要时可邀请有关人员作为见证人。</w:t>
      </w:r>
    </w:p>
    <w:p>
      <w:pPr>
        <w:pStyle w:val="9"/>
        <w:spacing w:line="310" w:lineRule="exact"/>
        <w:ind w:firstLineChars="200"/>
        <w:jc w:val="both"/>
        <w:rPr>
          <w:rFonts w:hint="eastAsia" w:ascii="黑体" w:hAnsi="黑体" w:eastAsia="黑体" w:cs="黑体"/>
          <w:color w:val="000000"/>
          <w:lang w:val="en-US"/>
        </w:rPr>
      </w:pPr>
      <w:r>
        <w:rPr>
          <w:rFonts w:hint="eastAsia" w:ascii="黑体" w:hAnsi="黑体" w:eastAsia="黑体" w:cs="黑体"/>
          <w:color w:val="000000"/>
          <w:lang w:val="en-US"/>
        </w:rPr>
        <w:t>三、结果公示</w:t>
      </w:r>
    </w:p>
    <w:p>
      <w:pPr>
        <w:pStyle w:val="9"/>
        <w:spacing w:line="310" w:lineRule="exact"/>
        <w:ind w:firstLineChars="200"/>
        <w:jc w:val="both"/>
        <w:rPr>
          <w:rFonts w:hint="eastAsia"/>
          <w:color w:val="000000"/>
          <w:lang w:val="en-US"/>
        </w:rPr>
      </w:pPr>
      <w:r>
        <w:rPr>
          <w:rFonts w:hint="eastAsia"/>
          <w:color w:val="000000"/>
          <w:lang w:val="en-US"/>
        </w:rPr>
        <w:t>检查结果应当在抽查检查完成之日起20个工作日内向社会公示，并通过社会信用信息系统记录于检查对象名下。</w:t>
      </w:r>
    </w:p>
    <w:p>
      <w:pPr>
        <w:pStyle w:val="9"/>
        <w:spacing w:before="280" w:after="280" w:line="310" w:lineRule="exact"/>
        <w:ind w:firstLine="0"/>
        <w:jc w:val="center"/>
        <w:outlineLvl w:val="1"/>
        <w:rPr>
          <w:rFonts w:hint="eastAsia" w:ascii="黑体" w:hAnsi="黑体" w:eastAsia="黑体" w:cs="黑体"/>
          <w:color w:val="000000"/>
          <w:sz w:val="22"/>
          <w:szCs w:val="28"/>
        </w:rPr>
      </w:pPr>
      <w:r>
        <w:rPr>
          <w:rFonts w:hint="eastAsia" w:ascii="黑体" w:hAnsi="黑体" w:eastAsia="黑体" w:cs="黑体"/>
          <w:color w:val="000000"/>
          <w:sz w:val="22"/>
          <w:szCs w:val="28"/>
        </w:rPr>
        <w:t>第</w:t>
      </w:r>
      <w:r>
        <w:rPr>
          <w:rFonts w:hint="eastAsia" w:ascii="黑体" w:hAnsi="黑体" w:eastAsia="黑体" w:cs="黑体"/>
          <w:color w:val="000000"/>
          <w:sz w:val="22"/>
          <w:szCs w:val="28"/>
          <w:lang w:val="en-US" w:eastAsia="zh-CN"/>
        </w:rPr>
        <w:t>一</w:t>
      </w:r>
      <w:r>
        <w:rPr>
          <w:rFonts w:hint="eastAsia" w:ascii="黑体" w:hAnsi="黑体" w:eastAsia="黑体" w:cs="黑体"/>
          <w:color w:val="000000"/>
          <w:sz w:val="22"/>
          <w:szCs w:val="28"/>
        </w:rPr>
        <w:t>章  对节能审查意见落实情况的行政检查工作指引</w:t>
      </w:r>
    </w:p>
    <w:p>
      <w:pPr>
        <w:pStyle w:val="9"/>
        <w:snapToGrid w:val="0"/>
        <w:spacing w:line="310" w:lineRule="exact"/>
        <w:ind w:firstLineChars="200"/>
        <w:textAlignment w:val="baseline"/>
        <w:rPr>
          <w:rFonts w:hint="eastAsia" w:ascii="黑体" w:hAnsi="黑体" w:eastAsia="黑体" w:cs="黑体"/>
          <w:color w:val="000000"/>
        </w:rPr>
      </w:pPr>
      <w:r>
        <w:rPr>
          <w:rFonts w:hint="eastAsia" w:ascii="黑体" w:hAnsi="黑体" w:eastAsia="黑体" w:cs="黑体"/>
          <w:color w:val="000000"/>
        </w:rPr>
        <w:t>一、抽查事项</w:t>
      </w:r>
    </w:p>
    <w:p>
      <w:pPr>
        <w:pStyle w:val="9"/>
        <w:snapToGrid w:val="0"/>
        <w:spacing w:line="310" w:lineRule="exact"/>
        <w:ind w:firstLineChars="200"/>
        <w:textAlignment w:val="baseline"/>
        <w:rPr>
          <w:rFonts w:hint="eastAsia"/>
          <w:color w:val="000000"/>
        </w:rPr>
      </w:pPr>
      <w:r>
        <w:rPr>
          <w:rFonts w:hint="eastAsia"/>
          <w:color w:val="000000"/>
        </w:rPr>
        <w:t>对节能审查意见落实情况的行政检查</w:t>
      </w:r>
    </w:p>
    <w:p>
      <w:pPr>
        <w:pStyle w:val="9"/>
        <w:snapToGrid w:val="0"/>
        <w:spacing w:line="310" w:lineRule="exact"/>
        <w:ind w:firstLineChars="200"/>
        <w:textAlignment w:val="baseline"/>
        <w:rPr>
          <w:rFonts w:hint="eastAsia" w:ascii="黑体" w:hAnsi="黑体" w:eastAsia="黑体" w:cs="黑体"/>
          <w:color w:val="000000"/>
        </w:rPr>
      </w:pPr>
      <w:r>
        <w:rPr>
          <w:rFonts w:hint="eastAsia" w:ascii="黑体" w:hAnsi="黑体" w:eastAsia="黑体" w:cs="黑体"/>
          <w:color w:val="000000"/>
        </w:rPr>
        <w:t>二、检查内容和方法</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（―）检查内容</w:t>
      </w:r>
    </w:p>
    <w:p>
      <w:pPr>
        <w:pStyle w:val="9"/>
        <w:snapToGrid w:val="0"/>
        <w:spacing w:line="310" w:lineRule="exact"/>
        <w:ind w:firstLineChars="200"/>
        <w:textAlignment w:val="baseline"/>
        <w:rPr>
          <w:rFonts w:hint="eastAsia"/>
          <w:color w:val="000000"/>
        </w:rPr>
      </w:pPr>
      <w:r>
        <w:rPr>
          <w:rFonts w:hint="eastAsia"/>
          <w:color w:val="000000"/>
        </w:rPr>
        <w:t>1.建设方案落实情况；</w:t>
      </w:r>
    </w:p>
    <w:p>
      <w:pPr>
        <w:pStyle w:val="9"/>
        <w:snapToGrid w:val="0"/>
        <w:spacing w:line="310" w:lineRule="exact"/>
        <w:ind w:firstLineChars="200"/>
        <w:textAlignment w:val="baseline"/>
        <w:rPr>
          <w:rFonts w:hint="eastAsia"/>
          <w:color w:val="000000"/>
        </w:rPr>
      </w:pPr>
      <w:r>
        <w:rPr>
          <w:rFonts w:hint="eastAsia"/>
          <w:color w:val="000000"/>
        </w:rPr>
        <w:t>2.节能技术措施落实情况；</w:t>
      </w:r>
    </w:p>
    <w:p>
      <w:pPr>
        <w:pStyle w:val="9"/>
        <w:snapToGrid w:val="0"/>
        <w:spacing w:line="310" w:lineRule="exact"/>
        <w:ind w:firstLineChars="200"/>
        <w:textAlignment w:val="baseline"/>
        <w:rPr>
          <w:rFonts w:hint="eastAsia"/>
          <w:color w:val="000000"/>
        </w:rPr>
      </w:pPr>
      <w:r>
        <w:rPr>
          <w:rFonts w:hint="eastAsia"/>
          <w:color w:val="000000"/>
        </w:rPr>
        <w:t>3.节能管理措施落实情况；</w:t>
      </w:r>
    </w:p>
    <w:p>
      <w:pPr>
        <w:pStyle w:val="9"/>
        <w:snapToGrid w:val="0"/>
        <w:spacing w:line="310" w:lineRule="exact"/>
        <w:ind w:firstLineChars="200"/>
        <w:textAlignment w:val="baseline"/>
        <w:rPr>
          <w:rFonts w:hint="eastAsia"/>
          <w:color w:val="000000"/>
        </w:rPr>
      </w:pPr>
      <w:r>
        <w:rPr>
          <w:rFonts w:hint="eastAsia"/>
          <w:color w:val="000000"/>
        </w:rPr>
        <w:t>4.能效水平落实情况；</w:t>
      </w:r>
    </w:p>
    <w:p>
      <w:pPr>
        <w:pStyle w:val="9"/>
        <w:snapToGrid w:val="0"/>
        <w:spacing w:line="310" w:lineRule="exact"/>
        <w:ind w:firstLineChars="200"/>
        <w:textAlignment w:val="baseline"/>
        <w:rPr>
          <w:rFonts w:hint="eastAsia"/>
          <w:color w:val="000000"/>
        </w:rPr>
      </w:pPr>
      <w:r>
        <w:rPr>
          <w:rFonts w:hint="eastAsia"/>
          <w:color w:val="000000"/>
        </w:rPr>
        <w:t>5.能源消费总量落实情况；</w:t>
      </w:r>
    </w:p>
    <w:p>
      <w:pPr>
        <w:pStyle w:val="9"/>
        <w:snapToGrid w:val="0"/>
        <w:spacing w:line="310" w:lineRule="exact"/>
        <w:ind w:firstLineChars="200"/>
        <w:textAlignment w:val="baseline"/>
        <w:rPr>
          <w:rFonts w:hint="eastAsia"/>
          <w:color w:val="000000"/>
        </w:rPr>
      </w:pPr>
      <w:r>
        <w:rPr>
          <w:rFonts w:hint="eastAsia"/>
          <w:color w:val="000000"/>
        </w:rPr>
        <w:t>6.其他相关内容。</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（二）检查方法</w:t>
      </w:r>
    </w:p>
    <w:p>
      <w:pPr>
        <w:pStyle w:val="9"/>
        <w:snapToGrid w:val="0"/>
        <w:spacing w:line="310" w:lineRule="exact"/>
        <w:ind w:firstLineChars="200"/>
        <w:textAlignment w:val="baseline"/>
        <w:rPr>
          <w:rFonts w:hint="eastAsia"/>
          <w:color w:val="000000"/>
        </w:rPr>
      </w:pPr>
      <w:r>
        <w:rPr>
          <w:rFonts w:hint="eastAsia"/>
          <w:color w:val="000000"/>
        </w:rPr>
        <w:t>现场检查，每年抽查1次，全年抽查比例为5%，检查对象从“节能审查意见落实情况省级行政检查对象专项名录库”随机抽取，现场检查人员从“省发展改革委执法检查人员名录库”根据业务专长随机匹配。鉴于专业性较强，必要时可委托第三方机构开展。</w:t>
      </w:r>
    </w:p>
    <w:p>
      <w:pPr>
        <w:pStyle w:val="9"/>
        <w:snapToGrid w:val="0"/>
        <w:spacing w:line="310" w:lineRule="exact"/>
        <w:ind w:firstLineChars="200"/>
        <w:textAlignment w:val="baseline"/>
        <w:rPr>
          <w:rFonts w:hint="eastAsia" w:ascii="黑体" w:hAnsi="黑体" w:eastAsia="黑体" w:cs="黑体"/>
          <w:color w:val="000000"/>
        </w:rPr>
      </w:pPr>
      <w:r>
        <w:rPr>
          <w:rFonts w:hint="eastAsia" w:ascii="黑体" w:hAnsi="黑体" w:eastAsia="黑体" w:cs="黑体"/>
          <w:color w:val="000000"/>
        </w:rPr>
        <w:t>三、检查依据</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《固定资产投资项目节能审查办法》（国家发展改革委令第44号，2016年11月）</w:t>
      </w:r>
    </w:p>
    <w:p>
      <w:pPr>
        <w:pStyle w:val="9"/>
        <w:snapToGrid w:val="0"/>
        <w:spacing w:line="310" w:lineRule="exact"/>
        <w:ind w:firstLineChars="200"/>
        <w:textAlignment w:val="baseline"/>
        <w:rPr>
          <w:rFonts w:hint="eastAsia"/>
          <w:color w:val="000000"/>
        </w:rPr>
      </w:pPr>
      <w:r>
        <w:rPr>
          <w:rFonts w:hint="eastAsia"/>
          <w:color w:val="000000"/>
        </w:rPr>
        <w:t>第十二条  节能审查机关应加强节能审查信息的统计分析，强化事中事后监管，对节能审查意见落实情况进行监督检查。省级节能审查机关应按季度向国家发展改革委报送本地区节能审查实施情况。国家发展改革委实施全国节能审查信息动态监管，对各地节能审查实施情况进行定期巡查，对重大项目节能审查意见落实情进行不定期抽查，对违法违规问题进行公开，并依法给予行政处罚。</w:t>
      </w:r>
    </w:p>
    <w:p>
      <w:pPr>
        <w:pStyle w:val="9"/>
        <w:spacing w:before="280" w:after="280" w:line="310" w:lineRule="exact"/>
        <w:ind w:firstLine="0"/>
        <w:jc w:val="center"/>
        <w:outlineLvl w:val="1"/>
        <w:rPr>
          <w:rFonts w:hint="eastAsia" w:ascii="黑体" w:hAnsi="黑体" w:eastAsia="黑体" w:cs="黑体"/>
          <w:color w:val="000000"/>
          <w:sz w:val="22"/>
          <w:szCs w:val="28"/>
        </w:rPr>
      </w:pPr>
      <w:r>
        <w:rPr>
          <w:rFonts w:hint="eastAsia" w:ascii="黑体" w:hAnsi="黑体" w:eastAsia="黑体" w:cs="黑体"/>
          <w:color w:val="000000"/>
          <w:sz w:val="22"/>
          <w:szCs w:val="28"/>
        </w:rPr>
        <w:t>第</w:t>
      </w:r>
      <w:r>
        <w:rPr>
          <w:rFonts w:hint="eastAsia" w:ascii="黑体" w:hAnsi="黑体" w:eastAsia="黑体" w:cs="黑体"/>
          <w:color w:val="000000"/>
          <w:sz w:val="22"/>
          <w:szCs w:val="28"/>
          <w:lang w:val="en-US" w:eastAsia="zh-CN"/>
        </w:rPr>
        <w:t>二</w:t>
      </w:r>
      <w:r>
        <w:rPr>
          <w:rFonts w:hint="eastAsia" w:ascii="黑体" w:hAnsi="黑体" w:eastAsia="黑体" w:cs="黑体"/>
          <w:color w:val="000000"/>
          <w:sz w:val="22"/>
          <w:szCs w:val="28"/>
        </w:rPr>
        <w:t>章  对已开工企业投资核准项目的行政检查工作指引</w:t>
      </w:r>
    </w:p>
    <w:p>
      <w:pPr>
        <w:pStyle w:val="9"/>
        <w:snapToGrid w:val="0"/>
        <w:spacing w:line="310" w:lineRule="exact"/>
        <w:ind w:firstLineChars="200"/>
        <w:textAlignment w:val="baseline"/>
        <w:rPr>
          <w:rFonts w:hint="eastAsia" w:ascii="黑体" w:hAnsi="黑体" w:eastAsia="黑体" w:cs="黑体"/>
          <w:color w:val="000000"/>
        </w:rPr>
      </w:pPr>
      <w:r>
        <w:rPr>
          <w:rFonts w:hint="eastAsia" w:ascii="黑体" w:hAnsi="黑体" w:eastAsia="黑体" w:cs="黑体"/>
          <w:color w:val="000000"/>
        </w:rPr>
        <w:t>一、抽查事项</w:t>
      </w:r>
    </w:p>
    <w:p>
      <w:pPr>
        <w:pStyle w:val="9"/>
        <w:snapToGrid w:val="0"/>
        <w:spacing w:line="310" w:lineRule="exact"/>
        <w:ind w:firstLineChars="200"/>
        <w:textAlignment w:val="baseline"/>
        <w:rPr>
          <w:rFonts w:hint="eastAsia"/>
          <w:color w:val="000000"/>
        </w:rPr>
      </w:pPr>
      <w:r>
        <w:rPr>
          <w:rFonts w:hint="eastAsia"/>
          <w:color w:val="000000"/>
        </w:rPr>
        <w:t>对已开工企业投资核准项目的行政检查</w:t>
      </w:r>
    </w:p>
    <w:p>
      <w:pPr>
        <w:pStyle w:val="9"/>
        <w:snapToGrid w:val="0"/>
        <w:spacing w:line="310" w:lineRule="exact"/>
        <w:ind w:firstLineChars="200"/>
        <w:textAlignment w:val="baseline"/>
        <w:rPr>
          <w:rFonts w:hint="eastAsia" w:ascii="黑体" w:hAnsi="黑体" w:eastAsia="黑体" w:cs="黑体"/>
          <w:color w:val="000000"/>
        </w:rPr>
      </w:pPr>
      <w:r>
        <w:rPr>
          <w:rFonts w:hint="eastAsia" w:ascii="黑体" w:hAnsi="黑体" w:eastAsia="黑体" w:cs="黑体"/>
          <w:color w:val="000000"/>
        </w:rPr>
        <w:t>二、检查内容和方法</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（―）检查内容</w:t>
      </w:r>
    </w:p>
    <w:p>
      <w:pPr>
        <w:pStyle w:val="9"/>
        <w:snapToGrid w:val="0"/>
        <w:spacing w:line="310" w:lineRule="exact"/>
        <w:ind w:firstLineChars="200"/>
        <w:textAlignment w:val="baseline"/>
        <w:rPr>
          <w:rFonts w:hint="eastAsia"/>
          <w:color w:val="000000"/>
        </w:rPr>
      </w:pPr>
      <w:r>
        <w:rPr>
          <w:rFonts w:hint="eastAsia"/>
          <w:color w:val="000000"/>
        </w:rPr>
        <w:t>1.是否通过全国投资项目在线审批监管平台（以下简称在线平台），如实、及时报送项目开工建设、建设进度、竣工等建设实施基本信息；</w:t>
      </w:r>
    </w:p>
    <w:p>
      <w:pPr>
        <w:pStyle w:val="9"/>
        <w:snapToGrid w:val="0"/>
        <w:spacing w:line="310" w:lineRule="exact"/>
        <w:ind w:firstLineChars="200"/>
        <w:textAlignment w:val="baseline"/>
        <w:rPr>
          <w:rFonts w:hint="eastAsia"/>
          <w:color w:val="000000"/>
        </w:rPr>
      </w:pPr>
      <w:r>
        <w:rPr>
          <w:rFonts w:hint="eastAsia"/>
          <w:color w:val="000000"/>
        </w:rPr>
        <w:t>2.需要变更已核准建设地点或者对已核准建设规模、建设内容等作较大变更的，是否按规定办理变更手续；</w:t>
      </w:r>
    </w:p>
    <w:p>
      <w:pPr>
        <w:pStyle w:val="9"/>
        <w:snapToGrid w:val="0"/>
        <w:spacing w:line="310" w:lineRule="exact"/>
        <w:ind w:firstLineChars="200"/>
        <w:textAlignment w:val="baseline"/>
        <w:rPr>
          <w:rFonts w:hint="eastAsia"/>
          <w:color w:val="000000"/>
        </w:rPr>
      </w:pPr>
      <w:r>
        <w:rPr>
          <w:rFonts w:hint="eastAsia"/>
          <w:color w:val="000000"/>
        </w:rPr>
        <w:t>3.需要延期开工建设的，是否按规定办理延期开工建设手续；</w:t>
      </w:r>
    </w:p>
    <w:p>
      <w:pPr>
        <w:pStyle w:val="9"/>
        <w:snapToGrid w:val="0"/>
        <w:spacing w:line="310" w:lineRule="exact"/>
        <w:ind w:firstLineChars="200"/>
        <w:textAlignment w:val="baseline"/>
        <w:rPr>
          <w:rFonts w:hint="eastAsia"/>
          <w:color w:val="000000"/>
        </w:rPr>
      </w:pPr>
      <w:r>
        <w:rPr>
          <w:rFonts w:hint="eastAsia"/>
          <w:color w:val="000000"/>
        </w:rPr>
        <w:t>4.是否按照核准的建设地点、建设规模、建设内容等进行建设。</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（二）检查方法</w:t>
      </w:r>
    </w:p>
    <w:p>
      <w:pPr>
        <w:pStyle w:val="9"/>
        <w:snapToGrid w:val="0"/>
        <w:spacing w:line="310" w:lineRule="exact"/>
        <w:ind w:firstLineChars="200"/>
        <w:textAlignment w:val="baseline"/>
        <w:rPr>
          <w:rFonts w:hint="eastAsia"/>
          <w:color w:val="000000"/>
        </w:rPr>
      </w:pPr>
      <w:r>
        <w:rPr>
          <w:rFonts w:hint="eastAsia"/>
          <w:color w:val="000000"/>
        </w:rPr>
        <w:t>1.在线监测，通过山东省投资项目在线审批监管平台，监测项目开工建设、建设进度、竣工等建设实施基本信息。</w:t>
      </w:r>
    </w:p>
    <w:p>
      <w:pPr>
        <w:pStyle w:val="9"/>
        <w:snapToGrid w:val="0"/>
        <w:spacing w:line="310" w:lineRule="exact"/>
        <w:ind w:firstLineChars="200"/>
        <w:textAlignment w:val="baseline"/>
        <w:rPr>
          <w:rFonts w:hint="eastAsia"/>
          <w:color w:val="000000"/>
        </w:rPr>
      </w:pPr>
      <w:r>
        <w:rPr>
          <w:rFonts w:hint="eastAsia"/>
          <w:color w:val="000000"/>
        </w:rPr>
        <w:t>2.现场检查，每年抽查1次，全年抽查比例为5%（已完成首次现场核查项目），检查对象从“已开工企业投资核准项目省级行政检查对象专项名录库”随机抽取，现场检查人员从“</w:t>
      </w:r>
      <w:r>
        <w:rPr>
          <w:rFonts w:hint="eastAsia"/>
          <w:color w:val="000000"/>
          <w:lang w:val="en-US" w:eastAsia="zh-CN"/>
        </w:rPr>
        <w:t>市</w:t>
      </w:r>
      <w:r>
        <w:rPr>
          <w:rFonts w:hint="eastAsia"/>
          <w:color w:val="000000"/>
        </w:rPr>
        <w:t>发展改革委执法检查人员名录库”根据业务专长随机匹配。必要时，也可委托第三方机构开展。</w:t>
      </w:r>
    </w:p>
    <w:p>
      <w:pPr>
        <w:pStyle w:val="9"/>
        <w:snapToGrid w:val="0"/>
        <w:spacing w:line="310" w:lineRule="exact"/>
        <w:ind w:firstLineChars="200"/>
        <w:textAlignment w:val="baseline"/>
        <w:rPr>
          <w:rFonts w:hint="eastAsia" w:ascii="黑体" w:hAnsi="黑体" w:eastAsia="黑体" w:cs="黑体"/>
          <w:color w:val="000000"/>
        </w:rPr>
      </w:pPr>
      <w:r>
        <w:rPr>
          <w:rFonts w:hint="eastAsia" w:ascii="黑体" w:hAnsi="黑体" w:eastAsia="黑体" w:cs="黑体"/>
          <w:color w:val="000000"/>
        </w:rPr>
        <w:t>三、检查依据</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《企业投资项目事中事后监管办法》（国家发展改革委令第14号，2018年1月）</w:t>
      </w:r>
    </w:p>
    <w:p>
      <w:pPr>
        <w:pStyle w:val="9"/>
        <w:snapToGrid w:val="0"/>
        <w:spacing w:line="310" w:lineRule="exact"/>
        <w:ind w:firstLineChars="200"/>
        <w:textAlignment w:val="baseline"/>
        <w:rPr>
          <w:rFonts w:hint="eastAsia"/>
          <w:color w:val="000000"/>
        </w:rPr>
      </w:pPr>
      <w:r>
        <w:rPr>
          <w:rFonts w:hint="eastAsia"/>
          <w:color w:val="000000"/>
        </w:rPr>
        <w:t>第四条  各级发展改革部门对项目实施分级分类监督管理。对已经取得核准批复文件的项目，由核准机关实施监督管理；对已经备案的项目，由备案机关实施监督管理。对项目是否依法取得核准批复文件或者办理备案手续，由项目所在地县级以上地方发展改革部门实施监督管理。</w:t>
      </w:r>
    </w:p>
    <w:p>
      <w:pPr>
        <w:pStyle w:val="9"/>
        <w:snapToGrid w:val="0"/>
        <w:spacing w:line="310" w:lineRule="exact"/>
        <w:ind w:firstLineChars="200"/>
        <w:textAlignment w:val="baseline"/>
        <w:rPr>
          <w:rFonts w:hint="eastAsia"/>
          <w:color w:val="000000"/>
        </w:rPr>
      </w:pPr>
      <w:r>
        <w:rPr>
          <w:rFonts w:hint="eastAsia"/>
          <w:color w:val="000000"/>
        </w:rPr>
        <w:t>第六条  核准机关对本机关已核准的项目，应当对以下方面进行监督管理：</w:t>
      </w:r>
    </w:p>
    <w:p>
      <w:pPr>
        <w:pStyle w:val="9"/>
        <w:snapToGrid w:val="0"/>
        <w:spacing w:line="310" w:lineRule="exact"/>
        <w:ind w:firstLineChars="200"/>
        <w:textAlignment w:val="baseline"/>
        <w:rPr>
          <w:rFonts w:hint="eastAsia"/>
          <w:color w:val="000000"/>
        </w:rPr>
      </w:pPr>
      <w:r>
        <w:rPr>
          <w:rFonts w:hint="eastAsia"/>
          <w:color w:val="000000"/>
        </w:rPr>
        <w:t>（一）是否通过全国投资项目在线审批监管平台（以下简称在线平台），如实、及时报送项目开工建设、建设进度、竣工等建设实施基本信息；</w:t>
      </w:r>
    </w:p>
    <w:p>
      <w:pPr>
        <w:pStyle w:val="9"/>
        <w:snapToGrid w:val="0"/>
        <w:spacing w:line="310" w:lineRule="exact"/>
        <w:ind w:firstLineChars="200"/>
        <w:textAlignment w:val="baseline"/>
        <w:rPr>
          <w:rFonts w:hint="eastAsia"/>
          <w:color w:val="000000"/>
        </w:rPr>
      </w:pPr>
      <w:r>
        <w:rPr>
          <w:rFonts w:hint="eastAsia"/>
          <w:color w:val="000000"/>
        </w:rPr>
        <w:t>（二）需要变更已核准建设地点或者对已核准建设规模、建设内容等作较大变更的，是否按规定办理变更手续；</w:t>
      </w:r>
    </w:p>
    <w:p>
      <w:pPr>
        <w:pStyle w:val="9"/>
        <w:snapToGrid w:val="0"/>
        <w:spacing w:line="310" w:lineRule="exact"/>
        <w:ind w:firstLineChars="200"/>
        <w:textAlignment w:val="baseline"/>
        <w:rPr>
          <w:rFonts w:hint="eastAsia"/>
          <w:color w:val="000000"/>
        </w:rPr>
      </w:pPr>
      <w:r>
        <w:rPr>
          <w:rFonts w:hint="eastAsia"/>
          <w:color w:val="000000"/>
        </w:rPr>
        <w:t>（三）需要延期开工建设的，是否按规定办理延期开工建设手续；</w:t>
      </w:r>
    </w:p>
    <w:p>
      <w:pPr>
        <w:pStyle w:val="9"/>
        <w:snapToGrid w:val="0"/>
        <w:spacing w:line="310" w:lineRule="exact"/>
        <w:ind w:firstLineChars="200"/>
        <w:textAlignment w:val="baseline"/>
        <w:rPr>
          <w:rFonts w:hint="eastAsia"/>
          <w:color w:val="000000"/>
        </w:rPr>
      </w:pPr>
      <w:r>
        <w:rPr>
          <w:rFonts w:hint="eastAsia"/>
          <w:color w:val="000000"/>
        </w:rPr>
        <w:t>（四）是否按照核准的建设地点、建设规模、建设内容等进行建设。</w:t>
      </w:r>
    </w:p>
    <w:p>
      <w:pPr>
        <w:pStyle w:val="9"/>
        <w:snapToGrid w:val="0"/>
        <w:spacing w:line="310" w:lineRule="exact"/>
        <w:ind w:firstLineChars="200"/>
        <w:textAlignment w:val="baseline"/>
        <w:rPr>
          <w:rFonts w:hint="eastAsia"/>
          <w:color w:val="000000"/>
        </w:rPr>
      </w:pPr>
      <w:r>
        <w:rPr>
          <w:rFonts w:hint="eastAsia"/>
          <w:color w:val="000000"/>
        </w:rPr>
        <w:t>第七条  核准机关应当根据行业特点、监管需要和简易、可操作的原则，制定、上线核准项目报送建设实施基本信息的格式文本，并对报送的建设实施基本信息进行在线监测。</w:t>
      </w:r>
    </w:p>
    <w:p>
      <w:pPr>
        <w:pStyle w:val="9"/>
        <w:snapToGrid w:val="0"/>
        <w:spacing w:line="310" w:lineRule="exact"/>
        <w:ind w:firstLineChars="200"/>
        <w:textAlignment w:val="baseline"/>
        <w:rPr>
          <w:rFonts w:hint="eastAsia"/>
          <w:color w:val="000000"/>
        </w:rPr>
      </w:pPr>
      <w:r>
        <w:rPr>
          <w:rFonts w:hint="eastAsia"/>
          <w:color w:val="000000"/>
        </w:rPr>
        <w:t>第八条  核准机关对其核准的项目，应当在项目开工后至少开展一次现场核查。</w:t>
      </w:r>
    </w:p>
    <w:p>
      <w:pPr>
        <w:pStyle w:val="9"/>
        <w:snapToGrid w:val="0"/>
        <w:spacing w:line="310" w:lineRule="exact"/>
        <w:ind w:firstLineChars="200"/>
        <w:textAlignment w:val="baseline"/>
        <w:rPr>
          <w:rFonts w:hint="eastAsia"/>
          <w:color w:val="000000"/>
        </w:rPr>
      </w:pPr>
      <w:r>
        <w:rPr>
          <w:rFonts w:hint="eastAsia"/>
          <w:color w:val="000000"/>
        </w:rPr>
        <w:t>第二十一条  各级发展改革部门对项目的现场核查，可以自行开展，也可以发挥工程咨询单位等机构的专业优势，以委托第三方机构的方式开展。委托第三方机构开展现场核查的，应当建立核查机构名录，制订核查工作规范，加强对核查工作的指导和监督。委托第三方机构开展现场核查的经费由委托方承担。</w:t>
      </w:r>
    </w:p>
    <w:p>
      <w:pPr>
        <w:pStyle w:val="9"/>
        <w:spacing w:before="280" w:after="280" w:line="310" w:lineRule="exact"/>
        <w:ind w:firstLine="0"/>
        <w:jc w:val="center"/>
        <w:outlineLvl w:val="1"/>
        <w:rPr>
          <w:rFonts w:hint="eastAsia" w:ascii="黑体" w:hAnsi="黑体" w:eastAsia="黑体" w:cs="黑体"/>
          <w:color w:val="000000"/>
          <w:sz w:val="22"/>
          <w:szCs w:val="28"/>
        </w:rPr>
      </w:pPr>
      <w:r>
        <w:rPr>
          <w:rFonts w:hint="eastAsia" w:ascii="黑体" w:hAnsi="黑体" w:eastAsia="黑体" w:cs="黑体"/>
          <w:color w:val="000000"/>
          <w:sz w:val="22"/>
          <w:szCs w:val="28"/>
        </w:rPr>
        <w:t>第</w:t>
      </w:r>
      <w:r>
        <w:rPr>
          <w:rFonts w:hint="eastAsia" w:ascii="黑体" w:hAnsi="黑体" w:eastAsia="黑体" w:cs="黑体"/>
          <w:color w:val="000000"/>
          <w:sz w:val="22"/>
          <w:szCs w:val="28"/>
          <w:lang w:val="en-US" w:eastAsia="zh-CN"/>
        </w:rPr>
        <w:t>三</w:t>
      </w:r>
      <w:r>
        <w:rPr>
          <w:rFonts w:hint="eastAsia" w:ascii="黑体" w:hAnsi="黑体" w:eastAsia="黑体" w:cs="黑体"/>
          <w:color w:val="000000"/>
          <w:sz w:val="22"/>
          <w:szCs w:val="28"/>
        </w:rPr>
        <w:t>章  对已开工企业投资备案项目的行政检查工作指引</w:t>
      </w:r>
    </w:p>
    <w:p>
      <w:pPr>
        <w:pStyle w:val="9"/>
        <w:snapToGrid w:val="0"/>
        <w:spacing w:line="310" w:lineRule="exact"/>
        <w:ind w:firstLineChars="200"/>
        <w:textAlignment w:val="baseline"/>
        <w:rPr>
          <w:rFonts w:hint="eastAsia" w:ascii="黑体" w:hAnsi="黑体" w:eastAsia="黑体" w:cs="黑体"/>
          <w:color w:val="000000"/>
        </w:rPr>
      </w:pPr>
      <w:r>
        <w:rPr>
          <w:rFonts w:hint="eastAsia" w:ascii="黑体" w:hAnsi="黑体" w:eastAsia="黑体" w:cs="黑体"/>
          <w:color w:val="000000"/>
        </w:rPr>
        <w:t>一、抽查事项</w:t>
      </w:r>
    </w:p>
    <w:p>
      <w:pPr>
        <w:pStyle w:val="9"/>
        <w:snapToGrid w:val="0"/>
        <w:spacing w:line="310" w:lineRule="exact"/>
        <w:ind w:firstLineChars="200"/>
        <w:textAlignment w:val="baseline"/>
        <w:rPr>
          <w:rFonts w:hint="eastAsia"/>
          <w:color w:val="000000"/>
        </w:rPr>
      </w:pPr>
      <w:r>
        <w:rPr>
          <w:rFonts w:hint="eastAsia"/>
          <w:color w:val="000000"/>
        </w:rPr>
        <w:t>对已开工企业投资备案项目的行政检查</w:t>
      </w:r>
    </w:p>
    <w:p>
      <w:pPr>
        <w:pStyle w:val="9"/>
        <w:snapToGrid w:val="0"/>
        <w:spacing w:line="310" w:lineRule="exact"/>
        <w:ind w:firstLineChars="200"/>
        <w:textAlignment w:val="baseline"/>
        <w:rPr>
          <w:rFonts w:hint="eastAsia" w:ascii="黑体" w:hAnsi="黑体" w:eastAsia="黑体" w:cs="黑体"/>
          <w:color w:val="000000"/>
        </w:rPr>
      </w:pPr>
      <w:r>
        <w:rPr>
          <w:rFonts w:hint="eastAsia" w:ascii="黑体" w:hAnsi="黑体" w:eastAsia="黑体" w:cs="黑体"/>
          <w:color w:val="000000"/>
        </w:rPr>
        <w:t>二、检查内容和方法</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（―）检查内容</w:t>
      </w:r>
    </w:p>
    <w:p>
      <w:pPr>
        <w:pStyle w:val="9"/>
        <w:snapToGrid w:val="0"/>
        <w:spacing w:line="310" w:lineRule="exact"/>
        <w:ind w:firstLineChars="200"/>
        <w:textAlignment w:val="baseline"/>
        <w:rPr>
          <w:rFonts w:hint="eastAsia"/>
          <w:color w:val="000000"/>
        </w:rPr>
      </w:pPr>
      <w:r>
        <w:rPr>
          <w:rFonts w:hint="eastAsia"/>
          <w:color w:val="000000"/>
        </w:rPr>
        <w:t>1.是否通过在线平台如实、及时报送项目开工建设、建设进度、竣工等建设实施基本信息；</w:t>
      </w:r>
    </w:p>
    <w:p>
      <w:pPr>
        <w:pStyle w:val="9"/>
        <w:snapToGrid w:val="0"/>
        <w:spacing w:line="310" w:lineRule="exact"/>
        <w:ind w:firstLineChars="200"/>
        <w:textAlignment w:val="baseline"/>
        <w:rPr>
          <w:rFonts w:hint="eastAsia"/>
          <w:color w:val="000000"/>
        </w:rPr>
      </w:pPr>
      <w:r>
        <w:rPr>
          <w:rFonts w:hint="eastAsia"/>
          <w:color w:val="000000"/>
        </w:rPr>
        <w:t>2.是否属于实行核准管理的项目；</w:t>
      </w:r>
    </w:p>
    <w:p>
      <w:pPr>
        <w:pStyle w:val="9"/>
        <w:snapToGrid w:val="0"/>
        <w:spacing w:line="310" w:lineRule="exact"/>
        <w:ind w:firstLineChars="200"/>
        <w:textAlignment w:val="baseline"/>
        <w:rPr>
          <w:rFonts w:hint="eastAsia"/>
          <w:color w:val="000000"/>
        </w:rPr>
      </w:pPr>
      <w:r>
        <w:rPr>
          <w:rFonts w:hint="eastAsia"/>
          <w:color w:val="000000"/>
        </w:rPr>
        <w:t>3.是否按照备案的建设地点、建设规模、建设内容进行建设；</w:t>
      </w:r>
    </w:p>
    <w:p>
      <w:pPr>
        <w:pStyle w:val="9"/>
        <w:snapToGrid w:val="0"/>
        <w:spacing w:line="310" w:lineRule="exact"/>
        <w:ind w:firstLineChars="200"/>
        <w:textAlignment w:val="baseline"/>
        <w:rPr>
          <w:rFonts w:hint="eastAsia"/>
          <w:color w:val="000000"/>
        </w:rPr>
      </w:pPr>
      <w:r>
        <w:rPr>
          <w:rFonts w:hint="eastAsia"/>
          <w:color w:val="000000"/>
        </w:rPr>
        <w:t>4.是否属于产业政策禁止投资建设的项目。</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（二）检查方法</w:t>
      </w:r>
    </w:p>
    <w:p>
      <w:pPr>
        <w:pStyle w:val="9"/>
        <w:snapToGrid w:val="0"/>
        <w:spacing w:line="310" w:lineRule="exact"/>
        <w:ind w:firstLineChars="200"/>
        <w:textAlignment w:val="baseline"/>
        <w:rPr>
          <w:rFonts w:hint="eastAsia"/>
          <w:color w:val="000000"/>
        </w:rPr>
      </w:pPr>
      <w:r>
        <w:rPr>
          <w:rFonts w:hint="eastAsia"/>
          <w:color w:val="000000"/>
        </w:rPr>
        <w:t>1.在线监测，通过山东省投资项目在线审批监管平台，监测项目开工建设、建设进度、竣工等建设实施基本信息。</w:t>
      </w:r>
    </w:p>
    <w:p>
      <w:pPr>
        <w:pStyle w:val="9"/>
        <w:snapToGrid w:val="0"/>
        <w:spacing w:line="310" w:lineRule="exact"/>
        <w:ind w:firstLineChars="200"/>
        <w:textAlignment w:val="baseline"/>
        <w:rPr>
          <w:rFonts w:hint="eastAsia"/>
          <w:color w:val="000000"/>
        </w:rPr>
      </w:pPr>
      <w:r>
        <w:rPr>
          <w:rFonts w:hint="eastAsia"/>
          <w:color w:val="000000"/>
        </w:rPr>
        <w:t>2.现场检查，每年抽查1次，全年抽查比例为5%（已开工项目），检查对象从“已开工企业投资备案项目省级行政检查对象专项名录库”随机抽取，现场检查人员从“</w:t>
      </w:r>
      <w:r>
        <w:rPr>
          <w:rFonts w:hint="eastAsia"/>
          <w:color w:val="000000"/>
          <w:lang w:val="en-US" w:eastAsia="zh-CN"/>
        </w:rPr>
        <w:t>市</w:t>
      </w:r>
      <w:r>
        <w:rPr>
          <w:rFonts w:hint="eastAsia"/>
          <w:color w:val="000000"/>
        </w:rPr>
        <w:t>发展改革委执法检查人员名录库”根据业务专长随机匹配。必要时，也可委托第三方机构开展。</w:t>
      </w:r>
    </w:p>
    <w:p>
      <w:pPr>
        <w:pStyle w:val="9"/>
        <w:snapToGrid w:val="0"/>
        <w:spacing w:line="310" w:lineRule="exact"/>
        <w:ind w:firstLineChars="200"/>
        <w:textAlignment w:val="baseline"/>
        <w:rPr>
          <w:rFonts w:hint="eastAsia" w:ascii="黑体" w:hAnsi="黑体" w:eastAsia="黑体" w:cs="黑体"/>
          <w:color w:val="000000"/>
        </w:rPr>
      </w:pPr>
      <w:r>
        <w:rPr>
          <w:rFonts w:hint="eastAsia" w:ascii="黑体" w:hAnsi="黑体" w:eastAsia="黑体" w:cs="黑体"/>
          <w:color w:val="000000"/>
        </w:rPr>
        <w:t>三、检查依据</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《企业投资项目事中事后监管办法》（国家发展改革委令第14号，2018年1月）</w:t>
      </w:r>
    </w:p>
    <w:p>
      <w:pPr>
        <w:pStyle w:val="9"/>
        <w:snapToGrid w:val="0"/>
        <w:spacing w:line="310" w:lineRule="exact"/>
        <w:ind w:firstLineChars="200"/>
        <w:textAlignment w:val="baseline"/>
        <w:rPr>
          <w:rFonts w:hint="eastAsia"/>
          <w:color w:val="000000"/>
        </w:rPr>
      </w:pPr>
      <w:r>
        <w:rPr>
          <w:rFonts w:hint="eastAsia"/>
          <w:color w:val="000000"/>
        </w:rPr>
        <w:t>第四条  各级发展改革部门对项目实施分级分类监督管理。对已经取得核准批复文件的项目，由核准机关实施监督管理；对已经备案的项目，由备案机关实施监督管理。对项目是否依法取得核准批复文件或者办理备案手续，由项目所在地县级以上地方发展改革部门实施监督管理。</w:t>
      </w:r>
    </w:p>
    <w:p>
      <w:pPr>
        <w:pStyle w:val="9"/>
        <w:snapToGrid w:val="0"/>
        <w:spacing w:line="310" w:lineRule="exact"/>
        <w:ind w:firstLineChars="200"/>
        <w:textAlignment w:val="baseline"/>
        <w:rPr>
          <w:rFonts w:hint="eastAsia"/>
          <w:color w:val="000000"/>
        </w:rPr>
      </w:pPr>
      <w:r>
        <w:rPr>
          <w:rFonts w:hint="eastAsia"/>
          <w:color w:val="000000"/>
        </w:rPr>
        <w:t>第十三条  备案机关对本机关已备案的项目，应当对以下方面进行监督管理：</w:t>
      </w:r>
    </w:p>
    <w:p>
      <w:pPr>
        <w:pStyle w:val="9"/>
        <w:snapToGrid w:val="0"/>
        <w:spacing w:line="310" w:lineRule="exact"/>
        <w:ind w:firstLineChars="200"/>
        <w:textAlignment w:val="baseline"/>
        <w:rPr>
          <w:rFonts w:hint="eastAsia"/>
          <w:color w:val="000000"/>
        </w:rPr>
      </w:pPr>
      <w:r>
        <w:rPr>
          <w:rFonts w:hint="eastAsia"/>
          <w:color w:val="000000"/>
        </w:rPr>
        <w:t>（一）是否通过在线平台如实、及时报送项目开工建设、建设进度、竣工等建设实施基本信息；</w:t>
      </w:r>
    </w:p>
    <w:p>
      <w:pPr>
        <w:pStyle w:val="9"/>
        <w:snapToGrid w:val="0"/>
        <w:spacing w:line="310" w:lineRule="exact"/>
        <w:ind w:firstLineChars="200"/>
        <w:textAlignment w:val="baseline"/>
        <w:rPr>
          <w:rFonts w:hint="eastAsia"/>
          <w:color w:val="000000"/>
        </w:rPr>
      </w:pPr>
      <w:r>
        <w:rPr>
          <w:rFonts w:hint="eastAsia"/>
          <w:color w:val="000000"/>
        </w:rPr>
        <w:t>（二）是否属于实行核准管理的项目；</w:t>
      </w:r>
    </w:p>
    <w:p>
      <w:pPr>
        <w:pStyle w:val="9"/>
        <w:snapToGrid w:val="0"/>
        <w:spacing w:line="310" w:lineRule="exact"/>
        <w:ind w:firstLineChars="200"/>
        <w:textAlignment w:val="baseline"/>
        <w:rPr>
          <w:rFonts w:hint="eastAsia"/>
          <w:color w:val="000000"/>
        </w:rPr>
      </w:pPr>
      <w:r>
        <w:rPr>
          <w:rFonts w:hint="eastAsia"/>
          <w:color w:val="000000"/>
        </w:rPr>
        <w:t>（三）是否按照备案的建设地点、建设规模、建设内容进行建设；</w:t>
      </w:r>
    </w:p>
    <w:p>
      <w:pPr>
        <w:pStyle w:val="9"/>
        <w:snapToGrid w:val="0"/>
        <w:spacing w:line="310" w:lineRule="exact"/>
        <w:ind w:firstLineChars="200"/>
        <w:textAlignment w:val="baseline"/>
        <w:rPr>
          <w:rFonts w:hint="eastAsia"/>
          <w:color w:val="000000"/>
        </w:rPr>
      </w:pPr>
      <w:r>
        <w:rPr>
          <w:rFonts w:hint="eastAsia"/>
          <w:color w:val="000000"/>
        </w:rPr>
        <w:t>（四）是否属于产业政策禁止投资建设的项目。</w:t>
      </w:r>
    </w:p>
    <w:p>
      <w:pPr>
        <w:pStyle w:val="9"/>
        <w:snapToGrid w:val="0"/>
        <w:spacing w:line="310" w:lineRule="exact"/>
        <w:ind w:firstLineChars="200"/>
        <w:textAlignment w:val="baseline"/>
        <w:rPr>
          <w:rFonts w:hint="eastAsia"/>
          <w:color w:val="000000"/>
        </w:rPr>
      </w:pPr>
      <w:r>
        <w:rPr>
          <w:rFonts w:hint="eastAsia"/>
          <w:color w:val="000000"/>
        </w:rPr>
        <w:t>第十四条  备案机关应当根据行业特点、监管需要和简易、可操作的原则，制定、上线备案项目报送建设实施基本信息的格式文本，并对报送的建设实施基本信息进行在线监测。</w:t>
      </w:r>
    </w:p>
    <w:p>
      <w:pPr>
        <w:pStyle w:val="9"/>
        <w:snapToGrid w:val="0"/>
        <w:spacing w:line="310" w:lineRule="exact"/>
        <w:ind w:firstLineChars="200"/>
        <w:textAlignment w:val="baseline"/>
        <w:rPr>
          <w:rFonts w:hint="eastAsia"/>
          <w:color w:val="000000"/>
        </w:rPr>
      </w:pPr>
      <w:r>
        <w:rPr>
          <w:rFonts w:hint="eastAsia"/>
          <w:color w:val="000000"/>
        </w:rPr>
        <w:t>第十六条  备案机关对其备案的项目，应当根据“双随机一公开”的原则，结合投资调控实际需要，定期制定现场核查计划。对列入现场核查计划的项目，应当在项目开工后至少开展一次现场核查。列入现场核查计划的项目数量比例，由备案机关根据实际确定。</w:t>
      </w:r>
    </w:p>
    <w:p>
      <w:pPr>
        <w:pStyle w:val="9"/>
        <w:snapToGrid w:val="0"/>
        <w:spacing w:line="310" w:lineRule="exact"/>
        <w:ind w:firstLineChars="200"/>
        <w:textAlignment w:val="baseline"/>
        <w:rPr>
          <w:rFonts w:hint="eastAsia"/>
          <w:color w:val="000000"/>
        </w:rPr>
      </w:pPr>
      <w:r>
        <w:rPr>
          <w:rFonts w:hint="eastAsia"/>
          <w:color w:val="000000"/>
        </w:rPr>
        <w:t>第二十一条  各级发展改革部门对项目的现场核查，可以自行开展，也可以发挥工程咨询单位等机构的专业优势，以委托第三方机构的方式开展。委托第三方机构开展现场核查的，应当建立核查机构名录，制订核查工作规范，加强对核查工作的指导和监督。委托第三方机构开展现场核查的经费由委托方承担。</w:t>
      </w:r>
    </w:p>
    <w:p>
      <w:pPr>
        <w:pStyle w:val="9"/>
        <w:spacing w:before="280" w:after="280" w:line="310" w:lineRule="exact"/>
        <w:ind w:firstLine="0"/>
        <w:jc w:val="center"/>
        <w:outlineLvl w:val="1"/>
        <w:rPr>
          <w:rFonts w:hint="eastAsia" w:ascii="黑体" w:hAnsi="黑体" w:eastAsia="黑体" w:cs="黑体"/>
          <w:color w:val="000000"/>
          <w:sz w:val="22"/>
          <w:szCs w:val="28"/>
        </w:rPr>
      </w:pPr>
      <w:r>
        <w:rPr>
          <w:rFonts w:hint="eastAsia" w:ascii="黑体" w:hAnsi="黑体" w:eastAsia="黑体" w:cs="黑体"/>
          <w:color w:val="000000"/>
          <w:sz w:val="22"/>
          <w:szCs w:val="28"/>
        </w:rPr>
        <w:t>第</w:t>
      </w:r>
      <w:r>
        <w:rPr>
          <w:rFonts w:hint="eastAsia" w:ascii="黑体" w:hAnsi="黑体" w:eastAsia="黑体" w:cs="黑体"/>
          <w:color w:val="000000"/>
          <w:sz w:val="22"/>
          <w:szCs w:val="28"/>
          <w:lang w:val="en-US" w:eastAsia="zh-CN"/>
        </w:rPr>
        <w:t>四</w:t>
      </w:r>
      <w:r>
        <w:rPr>
          <w:rFonts w:hint="eastAsia" w:ascii="黑体" w:hAnsi="黑体" w:eastAsia="黑体" w:cs="黑体"/>
          <w:color w:val="000000"/>
          <w:sz w:val="22"/>
          <w:szCs w:val="28"/>
        </w:rPr>
        <w:t>章  政府投资项目的监督管理工作指引</w:t>
      </w:r>
    </w:p>
    <w:p>
      <w:pPr>
        <w:pStyle w:val="9"/>
        <w:snapToGrid w:val="0"/>
        <w:spacing w:line="310" w:lineRule="exact"/>
        <w:ind w:firstLineChars="200"/>
        <w:textAlignment w:val="baseline"/>
        <w:rPr>
          <w:rFonts w:hint="eastAsia" w:ascii="黑体" w:hAnsi="黑体" w:eastAsia="黑体" w:cs="黑体"/>
          <w:color w:val="000000"/>
        </w:rPr>
      </w:pPr>
      <w:r>
        <w:rPr>
          <w:rFonts w:hint="eastAsia" w:ascii="黑体" w:hAnsi="黑体" w:eastAsia="黑体" w:cs="黑体"/>
          <w:color w:val="000000"/>
        </w:rPr>
        <w:t>一、抽查事项</w:t>
      </w:r>
    </w:p>
    <w:p>
      <w:pPr>
        <w:pStyle w:val="9"/>
        <w:snapToGrid w:val="0"/>
        <w:spacing w:line="310" w:lineRule="exact"/>
        <w:ind w:firstLineChars="200"/>
        <w:textAlignment w:val="baseline"/>
        <w:rPr>
          <w:rFonts w:hint="eastAsia"/>
          <w:color w:val="000000"/>
        </w:rPr>
      </w:pPr>
      <w:r>
        <w:rPr>
          <w:rFonts w:hint="eastAsia"/>
          <w:color w:val="000000"/>
        </w:rPr>
        <w:t>政府投资重大项目监督管理和招标投标监督检查</w:t>
      </w:r>
    </w:p>
    <w:p>
      <w:pPr>
        <w:pStyle w:val="9"/>
        <w:snapToGrid w:val="0"/>
        <w:spacing w:line="310" w:lineRule="exact"/>
        <w:ind w:firstLineChars="200"/>
        <w:textAlignment w:val="baseline"/>
        <w:rPr>
          <w:rFonts w:hint="eastAsia" w:ascii="黑体" w:hAnsi="黑体" w:eastAsia="黑体" w:cs="黑体"/>
          <w:color w:val="000000"/>
        </w:rPr>
      </w:pPr>
      <w:r>
        <w:rPr>
          <w:rFonts w:hint="eastAsia" w:ascii="黑体" w:hAnsi="黑体" w:eastAsia="黑体" w:cs="黑体"/>
          <w:color w:val="000000"/>
        </w:rPr>
        <w:t>二、检查内容和方法</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（―）检查内容</w:t>
      </w:r>
    </w:p>
    <w:p>
      <w:pPr>
        <w:pStyle w:val="9"/>
        <w:snapToGrid w:val="0"/>
        <w:spacing w:line="310" w:lineRule="exact"/>
        <w:ind w:firstLineChars="200"/>
        <w:textAlignment w:val="baseline"/>
        <w:rPr>
          <w:rFonts w:hint="eastAsia"/>
          <w:color w:val="000000"/>
        </w:rPr>
      </w:pPr>
      <w:r>
        <w:rPr>
          <w:rFonts w:hint="eastAsia"/>
          <w:color w:val="000000"/>
        </w:rPr>
        <w:t>1.是否按照批复的建设地点、建设规模、建设内容、概算总投资等内容进行建设；</w:t>
      </w:r>
    </w:p>
    <w:p>
      <w:pPr>
        <w:pStyle w:val="9"/>
        <w:snapToGrid w:val="0"/>
        <w:spacing w:line="310" w:lineRule="exact"/>
        <w:ind w:firstLineChars="200"/>
        <w:textAlignment w:val="baseline"/>
        <w:rPr>
          <w:rFonts w:hint="eastAsia"/>
          <w:color w:val="000000"/>
        </w:rPr>
      </w:pPr>
      <w:r>
        <w:rPr>
          <w:rFonts w:hint="eastAsia"/>
          <w:color w:val="000000"/>
        </w:rPr>
        <w:t>2.项目招标投标是否合法合规等。</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（二）检查方法</w:t>
      </w:r>
    </w:p>
    <w:p>
      <w:pPr>
        <w:pStyle w:val="9"/>
        <w:snapToGrid w:val="0"/>
        <w:spacing w:line="310" w:lineRule="exact"/>
        <w:ind w:firstLineChars="200"/>
        <w:textAlignment w:val="baseline"/>
        <w:rPr>
          <w:rFonts w:hint="eastAsia"/>
          <w:color w:val="000000"/>
        </w:rPr>
      </w:pPr>
      <w:r>
        <w:rPr>
          <w:rFonts w:hint="eastAsia"/>
          <w:color w:val="000000"/>
        </w:rPr>
        <w:t>1.在线监测，通过山东省投资项目在线审批监管平台，监测项目开工建设、建设进度、竣工等建设实施基本信息。</w:t>
      </w:r>
    </w:p>
    <w:p>
      <w:pPr>
        <w:pStyle w:val="9"/>
        <w:snapToGrid w:val="0"/>
        <w:spacing w:line="310" w:lineRule="exact"/>
        <w:ind w:firstLineChars="200"/>
        <w:textAlignment w:val="baseline"/>
        <w:rPr>
          <w:rFonts w:hint="eastAsia"/>
          <w:color w:val="000000"/>
        </w:rPr>
      </w:pPr>
      <w:r>
        <w:rPr>
          <w:rFonts w:hint="eastAsia"/>
          <w:color w:val="000000"/>
        </w:rPr>
        <w:t>2.现场检查，每年抽查1次，全年抽查比例为5%，检查对象从“政府投资重大项目省级监督管理和招标投标省级监督检查对象专项名录库”随机抽取，现场检查人员从“</w:t>
      </w:r>
      <w:r>
        <w:rPr>
          <w:rFonts w:hint="eastAsia"/>
          <w:color w:val="000000"/>
          <w:lang w:val="en-US" w:eastAsia="zh-CN"/>
        </w:rPr>
        <w:t>市</w:t>
      </w:r>
      <w:r>
        <w:rPr>
          <w:rFonts w:hint="eastAsia"/>
          <w:color w:val="000000"/>
        </w:rPr>
        <w:t>发展改革委执法检查人员名录库”根据业务专长随机匹配。</w:t>
      </w:r>
    </w:p>
    <w:p>
      <w:pPr>
        <w:pStyle w:val="9"/>
        <w:snapToGrid w:val="0"/>
        <w:spacing w:line="310" w:lineRule="exact"/>
        <w:ind w:firstLineChars="200"/>
        <w:textAlignment w:val="baseline"/>
        <w:rPr>
          <w:rFonts w:hint="eastAsia" w:ascii="黑体" w:hAnsi="黑体" w:eastAsia="黑体" w:cs="黑体"/>
          <w:color w:val="000000"/>
        </w:rPr>
      </w:pPr>
      <w:r>
        <w:rPr>
          <w:rFonts w:hint="eastAsia" w:ascii="黑体" w:hAnsi="黑体" w:eastAsia="黑体" w:cs="黑体"/>
          <w:color w:val="000000"/>
        </w:rPr>
        <w:t>三、检查依据</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（一）《政府投资条例》（国务院令第712号）</w:t>
      </w:r>
    </w:p>
    <w:p>
      <w:pPr>
        <w:pStyle w:val="9"/>
        <w:snapToGrid w:val="0"/>
        <w:spacing w:line="310" w:lineRule="exact"/>
        <w:ind w:firstLineChars="200"/>
        <w:textAlignment w:val="baseline"/>
        <w:rPr>
          <w:rFonts w:hint="eastAsia"/>
          <w:color w:val="000000"/>
        </w:rPr>
      </w:pPr>
      <w:r>
        <w:rPr>
          <w:rFonts w:hint="eastAsia"/>
          <w:color w:val="000000"/>
        </w:rPr>
        <w:t>第二十七条　投资主管部门和依法对政府投资项目负有监督管理职责的其他部门应当采取在线监测、现场核查等方式，加强对政府投资项目实施情况的监督检查。</w:t>
      </w:r>
    </w:p>
    <w:p>
      <w:pPr>
        <w:pStyle w:val="9"/>
        <w:snapToGrid w:val="0"/>
        <w:spacing w:line="310" w:lineRule="exact"/>
        <w:ind w:firstLineChars="200"/>
        <w:textAlignment w:val="baseline"/>
        <w:rPr>
          <w:rFonts w:hint="eastAsia"/>
          <w:color w:val="000000"/>
        </w:rPr>
      </w:pPr>
      <w:r>
        <w:rPr>
          <w:rFonts w:hint="eastAsia"/>
          <w:color w:val="000000"/>
        </w:rPr>
        <w:t>项目单位应当通过在线平台如实报送政府投资项目开工建设、建设进度、竣工的基本信息。</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（二）《山东省人民政府关于印发山东省政府投资管理办法的通知》（鲁政字〔2020〕232号）</w:t>
      </w:r>
    </w:p>
    <w:p>
      <w:pPr>
        <w:pStyle w:val="9"/>
        <w:snapToGrid w:val="0"/>
        <w:spacing w:line="310" w:lineRule="exact"/>
        <w:ind w:firstLineChars="200"/>
        <w:textAlignment w:val="baseline"/>
        <w:rPr>
          <w:rFonts w:hint="eastAsia"/>
          <w:color w:val="000000"/>
        </w:rPr>
      </w:pPr>
      <w:r>
        <w:rPr>
          <w:rFonts w:hint="eastAsia"/>
          <w:color w:val="000000"/>
        </w:rPr>
        <w:t>第三十条  发展改革部门和依法对政府投资项目负有监督管理职责的其他部门，应当按照谁审批谁监管、谁主管谁监管的原则，采取在线监测、现场核查等方式，加强对政府投资项目实施情况的监督检查。</w:t>
      </w:r>
    </w:p>
    <w:p>
      <w:pPr>
        <w:pStyle w:val="9"/>
        <w:snapToGrid w:val="0"/>
        <w:spacing w:line="310" w:lineRule="exact"/>
        <w:ind w:firstLineChars="200"/>
        <w:textAlignment w:val="baseline"/>
        <w:rPr>
          <w:rFonts w:hint="eastAsia"/>
          <w:color w:val="000000"/>
        </w:rPr>
      </w:pPr>
      <w:r>
        <w:rPr>
          <w:rFonts w:hint="eastAsia"/>
          <w:color w:val="000000"/>
        </w:rPr>
        <w:t>第三十一条  项目单位应当严格落实政府投资计划执行和项目建设管理的主体责任，通过在线平台或政务服务平台如实报送政府投资项目开工建设、建设进度、竣工的基本信息，依法配合监管部门的监督检查。</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（三）《山东省实施&lt;中华人民共和国招标投标法&gt;办法》（2005年5月通过）</w:t>
      </w:r>
    </w:p>
    <w:p>
      <w:pPr>
        <w:pStyle w:val="9"/>
        <w:snapToGrid w:val="0"/>
        <w:spacing w:line="310" w:lineRule="exact"/>
        <w:ind w:firstLineChars="200"/>
        <w:textAlignment w:val="baseline"/>
        <w:rPr>
          <w:rFonts w:hint="eastAsia"/>
          <w:color w:val="000000"/>
        </w:rPr>
      </w:pPr>
      <w:r>
        <w:rPr>
          <w:rFonts w:hint="eastAsia"/>
          <w:color w:val="000000"/>
        </w:rPr>
        <w:t>第四条  县级以上人民政府发展改革部门负责对本行政区域内的招标投标工作进行指导和协调，并对本级人民政府确定的重大建设项目建设过程中的工程招标投标进行监督检查。</w:t>
      </w:r>
    </w:p>
    <w:p>
      <w:pPr>
        <w:pStyle w:val="9"/>
        <w:spacing w:before="280" w:after="280" w:line="310" w:lineRule="exact"/>
        <w:ind w:firstLine="0"/>
        <w:jc w:val="center"/>
        <w:outlineLvl w:val="1"/>
        <w:rPr>
          <w:rFonts w:hint="eastAsia" w:ascii="黑体" w:hAnsi="黑体" w:eastAsia="黑体" w:cs="黑体"/>
          <w:color w:val="000000"/>
          <w:sz w:val="22"/>
          <w:szCs w:val="28"/>
        </w:rPr>
      </w:pPr>
      <w:bookmarkStart w:id="2" w:name="bookmark49"/>
      <w:bookmarkStart w:id="3" w:name="bookmark48"/>
      <w:bookmarkStart w:id="4" w:name="_Toc88686531"/>
      <w:bookmarkStart w:id="5" w:name="bookmark50"/>
      <w:r>
        <w:rPr>
          <w:rFonts w:hint="eastAsia" w:ascii="黑体" w:hAnsi="黑体" w:eastAsia="黑体" w:cs="黑体"/>
          <w:color w:val="000000"/>
          <w:sz w:val="22"/>
          <w:szCs w:val="28"/>
        </w:rPr>
        <w:t>第</w:t>
      </w:r>
      <w:r>
        <w:rPr>
          <w:rFonts w:hint="eastAsia" w:ascii="黑体" w:hAnsi="黑体" w:eastAsia="黑体" w:cs="黑体"/>
          <w:color w:val="000000"/>
          <w:sz w:val="22"/>
          <w:szCs w:val="28"/>
          <w:lang w:val="en-US" w:eastAsia="zh-CN"/>
        </w:rPr>
        <w:t>五</w:t>
      </w:r>
      <w:r>
        <w:rPr>
          <w:rFonts w:hint="eastAsia" w:ascii="黑体" w:hAnsi="黑体" w:eastAsia="黑体" w:cs="黑体"/>
          <w:color w:val="000000"/>
          <w:sz w:val="22"/>
          <w:szCs w:val="28"/>
        </w:rPr>
        <w:t>章  能源行业节能监督检查工作指引</w:t>
      </w:r>
    </w:p>
    <w:p>
      <w:pPr>
        <w:pStyle w:val="9"/>
        <w:snapToGrid w:val="0"/>
        <w:spacing w:line="310" w:lineRule="exact"/>
        <w:ind w:firstLineChars="200"/>
        <w:textAlignment w:val="baseline"/>
        <w:rPr>
          <w:rFonts w:hint="eastAsia"/>
          <w:color w:val="000000"/>
        </w:rPr>
      </w:pPr>
      <w:r>
        <w:rPr>
          <w:rFonts w:hint="eastAsia" w:eastAsia="黑体" w:cs="黑体"/>
          <w:color w:val="000000"/>
        </w:rPr>
        <w:t>一、抽查事项</w:t>
      </w:r>
    </w:p>
    <w:p>
      <w:pPr>
        <w:pStyle w:val="9"/>
        <w:snapToGrid w:val="0"/>
        <w:spacing w:line="310" w:lineRule="exact"/>
        <w:ind w:firstLineChars="200"/>
        <w:textAlignment w:val="baseline"/>
        <w:rPr>
          <w:rFonts w:hint="eastAsia"/>
          <w:color w:val="000000"/>
        </w:rPr>
      </w:pPr>
      <w:r>
        <w:rPr>
          <w:rFonts w:hint="eastAsia"/>
          <w:color w:val="000000"/>
        </w:rPr>
        <w:t>能源行业节能监督检查</w:t>
      </w:r>
    </w:p>
    <w:p>
      <w:pPr>
        <w:pStyle w:val="9"/>
        <w:snapToGrid w:val="0"/>
        <w:spacing w:line="310" w:lineRule="exact"/>
        <w:ind w:firstLineChars="200"/>
        <w:textAlignment w:val="baseline"/>
        <w:rPr>
          <w:rFonts w:hint="eastAsia"/>
          <w:color w:val="000000"/>
        </w:rPr>
      </w:pPr>
      <w:r>
        <w:rPr>
          <w:rFonts w:hint="eastAsia" w:eastAsia="黑体" w:cs="黑体"/>
          <w:color w:val="000000"/>
        </w:rPr>
        <w:t>二、检查内容和方法</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（一）能源行业用能产品、设备和生产工艺淘汰制度执行情况</w:t>
      </w:r>
    </w:p>
    <w:p>
      <w:pPr>
        <w:pStyle w:val="9"/>
        <w:snapToGrid w:val="0"/>
        <w:spacing w:line="310" w:lineRule="exact"/>
        <w:ind w:firstLineChars="200"/>
        <w:textAlignment w:val="baseline"/>
        <w:rPr>
          <w:rFonts w:hint="eastAsia"/>
          <w:color w:val="000000"/>
        </w:rPr>
      </w:pPr>
      <w:r>
        <w:rPr>
          <w:rFonts w:hint="eastAsia"/>
          <w:color w:val="000000"/>
        </w:rPr>
        <w:t>检查内容：能源行业用能产品、设备和生产工艺执行淘汰制度符合要求情况。</w:t>
      </w:r>
    </w:p>
    <w:p>
      <w:pPr>
        <w:pStyle w:val="9"/>
        <w:snapToGrid w:val="0"/>
        <w:spacing w:line="310" w:lineRule="exact"/>
        <w:ind w:firstLineChars="200"/>
        <w:textAlignment w:val="baseline"/>
        <w:rPr>
          <w:rFonts w:hint="eastAsia"/>
          <w:color w:val="000000"/>
        </w:rPr>
      </w:pPr>
      <w:r>
        <w:rPr>
          <w:rFonts w:hint="eastAsia"/>
          <w:color w:val="000000"/>
        </w:rPr>
        <w:t>检查方法：对列入国家、省淘汰目录的设备、生产工艺装备实施现场查验。</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（二）能源行业生产单位执行单位产品能耗限额标准情况</w:t>
      </w:r>
    </w:p>
    <w:p>
      <w:pPr>
        <w:pStyle w:val="9"/>
        <w:snapToGrid w:val="0"/>
        <w:spacing w:line="310" w:lineRule="exact"/>
        <w:ind w:firstLineChars="200"/>
        <w:textAlignment w:val="baseline"/>
        <w:rPr>
          <w:rFonts w:hint="eastAsia"/>
          <w:color w:val="000000"/>
        </w:rPr>
      </w:pPr>
      <w:r>
        <w:rPr>
          <w:rFonts w:hint="eastAsia"/>
          <w:color w:val="000000"/>
        </w:rPr>
        <w:t>检查内容：①用能单位执行能耗限额标准的情况；②超能耗限额的用能单位落实整改计划的情况。</w:t>
      </w:r>
    </w:p>
    <w:p>
      <w:pPr>
        <w:pStyle w:val="9"/>
        <w:snapToGrid w:val="0"/>
        <w:spacing w:line="310" w:lineRule="exact"/>
        <w:ind w:firstLineChars="200"/>
        <w:textAlignment w:val="baseline"/>
        <w:rPr>
          <w:rFonts w:hint="eastAsia"/>
          <w:color w:val="000000"/>
        </w:rPr>
      </w:pPr>
      <w:r>
        <w:rPr>
          <w:rFonts w:hint="eastAsia"/>
          <w:color w:val="000000"/>
        </w:rPr>
        <w:t>检查方法：对用能单位执行单位产品能耗限额情况进行现场检查，核查能源消耗量及合格产品产量，依据标准对相关数据进行现场检测或计算，测算出单位产品能耗值，判断是否超出能耗限额标准。</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（三）能源行业用能单位建立节能目标责任制，定期开展节能教育培训等情况。</w:t>
      </w:r>
    </w:p>
    <w:p>
      <w:pPr>
        <w:pStyle w:val="9"/>
        <w:snapToGrid w:val="0"/>
        <w:spacing w:line="310" w:lineRule="exact"/>
        <w:ind w:firstLineChars="200"/>
        <w:textAlignment w:val="baseline"/>
        <w:rPr>
          <w:rFonts w:hint="eastAsia"/>
          <w:color w:val="000000"/>
        </w:rPr>
      </w:pPr>
      <w:r>
        <w:rPr>
          <w:rFonts w:hint="eastAsia"/>
          <w:color w:val="000000"/>
        </w:rPr>
        <w:t xml:space="preserve"> 检查内容：①用能单位建立节能目标责任制，并制订实施节能计划和节能技术措施的情况；②落实节能奖励制度的情况；③开展节能教育和岗位节能培训的情况。</w:t>
      </w:r>
    </w:p>
    <w:p>
      <w:pPr>
        <w:pStyle w:val="9"/>
        <w:snapToGrid w:val="0"/>
        <w:spacing w:line="310" w:lineRule="exact"/>
        <w:ind w:firstLineChars="200"/>
        <w:textAlignment w:val="baseline"/>
        <w:rPr>
          <w:rFonts w:hint="eastAsia"/>
          <w:color w:val="000000"/>
        </w:rPr>
      </w:pPr>
      <w:r>
        <w:rPr>
          <w:rFonts w:hint="eastAsia"/>
          <w:color w:val="000000"/>
        </w:rPr>
        <w:t>检查方法：采用书面检查方式，检查能源行业用能单位上述内容的相关管理文件、工作记录（包括会议纪要）和实施情况。</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（四）能源行业重点用能单位设立能源管理岗位，聘任能源管理负责人情况</w:t>
      </w:r>
    </w:p>
    <w:p>
      <w:pPr>
        <w:pStyle w:val="9"/>
        <w:snapToGrid w:val="0"/>
        <w:spacing w:line="310" w:lineRule="exact"/>
        <w:ind w:firstLineChars="200"/>
        <w:textAlignment w:val="baseline"/>
        <w:rPr>
          <w:rFonts w:hint="eastAsia"/>
          <w:color w:val="000000"/>
        </w:rPr>
      </w:pPr>
      <w:r>
        <w:rPr>
          <w:rFonts w:hint="eastAsia"/>
          <w:color w:val="000000"/>
        </w:rPr>
        <w:t>检查内容：①设立能源管理岗位、聘任能源管理负责人，并报节能主管部门和有关部门备案的情况；②能源管理负责人接受节能培训的情况。</w:t>
      </w:r>
    </w:p>
    <w:p>
      <w:pPr>
        <w:pStyle w:val="9"/>
        <w:snapToGrid w:val="0"/>
        <w:spacing w:line="310" w:lineRule="exact"/>
        <w:ind w:firstLineChars="200"/>
        <w:textAlignment w:val="baseline"/>
        <w:rPr>
          <w:rFonts w:hint="eastAsia"/>
          <w:color w:val="000000"/>
        </w:rPr>
      </w:pPr>
      <w:r>
        <w:rPr>
          <w:rFonts w:hint="eastAsia"/>
          <w:color w:val="000000"/>
        </w:rPr>
        <w:t>检查方法：书面检查重点用能单位报送的能源管理岗位及能源管理负责人聘用文件、备案登记表及能源管理负责人相关资格和接受节能培训的证明材料等。</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（五）能源行业重点用能单位报送能源利用状况报告情况</w:t>
      </w:r>
    </w:p>
    <w:p>
      <w:pPr>
        <w:pStyle w:val="9"/>
        <w:snapToGrid w:val="0"/>
        <w:spacing w:line="310" w:lineRule="exact"/>
        <w:ind w:firstLineChars="200"/>
        <w:textAlignment w:val="baseline"/>
        <w:rPr>
          <w:rFonts w:hint="eastAsia"/>
          <w:color w:val="000000"/>
        </w:rPr>
      </w:pPr>
      <w:r>
        <w:rPr>
          <w:rFonts w:hint="eastAsia"/>
          <w:color w:val="000000"/>
        </w:rPr>
        <w:t>检查内容：①按时报送能源利用状况报告的情况；②按规定内容填报能源利用状况报告的情况。</w:t>
      </w:r>
    </w:p>
    <w:p>
      <w:pPr>
        <w:pStyle w:val="9"/>
        <w:snapToGrid w:val="0"/>
        <w:spacing w:line="310" w:lineRule="exact"/>
        <w:ind w:firstLineChars="200"/>
        <w:textAlignment w:val="baseline"/>
        <w:rPr>
          <w:rFonts w:hint="eastAsia"/>
          <w:color w:val="000000"/>
        </w:rPr>
      </w:pPr>
      <w:r>
        <w:rPr>
          <w:rFonts w:hint="eastAsia"/>
          <w:color w:val="000000"/>
        </w:rPr>
        <w:t>检查方法：对辖区内重点用能单位是否按规定时间报送能源利用状况报告及报告内容的完整性和数据信息的真实性等进行现场检查。</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（六）能源生产经营单位无偿或者低于市场价格向本单位职工提供能源情况，或对本单位职工按能源消费量给予补贴情况，能源行业用能单位实行能源消费包费制情况</w:t>
      </w:r>
    </w:p>
    <w:p>
      <w:pPr>
        <w:pStyle w:val="9"/>
        <w:snapToGrid w:val="0"/>
        <w:spacing w:line="310" w:lineRule="exact"/>
        <w:ind w:firstLineChars="200"/>
        <w:textAlignment w:val="baseline"/>
        <w:rPr>
          <w:rFonts w:hint="eastAsia"/>
          <w:color w:val="000000"/>
        </w:rPr>
      </w:pPr>
      <w:r>
        <w:rPr>
          <w:rFonts w:hint="eastAsia"/>
          <w:color w:val="000000"/>
        </w:rPr>
        <w:t>检查内容：①能源生产经营单位是否无偿或者低于市场价格向本单位职工提供能源；②能源生产经营单位是否对本单位职工按能源消费量给予补贴；③能源行业用能单位是否对能源消费实行包费制。</w:t>
      </w:r>
    </w:p>
    <w:p>
      <w:pPr>
        <w:pStyle w:val="9"/>
        <w:snapToGrid w:val="0"/>
        <w:spacing w:line="310" w:lineRule="exact"/>
        <w:ind w:firstLineChars="200"/>
        <w:textAlignment w:val="baseline"/>
        <w:rPr>
          <w:rFonts w:hint="eastAsia"/>
          <w:color w:val="000000"/>
        </w:rPr>
      </w:pPr>
      <w:r>
        <w:rPr>
          <w:rFonts w:hint="eastAsia"/>
          <w:color w:val="000000"/>
        </w:rPr>
        <w:t>检查方法：通过查验电、煤气、天然气、煤等相关能源计量仪表，查阅抄表记录、收费清单等资料，确认其实施能源消费计量收费情况，确认能源生产经营单位是否存在向本单位职工无偿提供能源的情况及用能单位是否存在包费制。</w:t>
      </w:r>
    </w:p>
    <w:p>
      <w:pPr>
        <w:pStyle w:val="9"/>
        <w:snapToGrid w:val="0"/>
        <w:spacing w:line="310" w:lineRule="exact"/>
        <w:ind w:firstLineChars="200"/>
        <w:textAlignment w:val="baseline"/>
        <w:rPr>
          <w:rFonts w:hint="eastAsia"/>
          <w:color w:val="000000"/>
        </w:rPr>
      </w:pPr>
      <w:r>
        <w:rPr>
          <w:rFonts w:hint="eastAsia" w:eastAsia="黑体" w:cs="黑体"/>
          <w:color w:val="000000"/>
        </w:rPr>
        <w:t>三、检查依据</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1.《节约能源法》(1997年11月通过，2018年10月修正）</w:t>
      </w:r>
    </w:p>
    <w:p>
      <w:pPr>
        <w:pStyle w:val="9"/>
        <w:snapToGrid w:val="0"/>
        <w:spacing w:line="310" w:lineRule="exact"/>
        <w:ind w:firstLineChars="200"/>
        <w:textAlignment w:val="baseline"/>
        <w:rPr>
          <w:rFonts w:hint="eastAsia"/>
          <w:color w:val="000000"/>
        </w:rPr>
      </w:pPr>
      <w:r>
        <w:rPr>
          <w:rFonts w:hint="eastAsia"/>
          <w:color w:val="000000"/>
        </w:rPr>
        <w:t>第十二条：“县级以上人民政府管理节能工作的部门和有关部门应当在各自的职责范围内，加强对节能法律、法规和节能标准执行情况的监督检查，依法查处违法用能行为。”</w:t>
      </w:r>
    </w:p>
    <w:p>
      <w:pPr>
        <w:pStyle w:val="9"/>
        <w:snapToGrid w:val="0"/>
        <w:spacing w:line="310" w:lineRule="exact"/>
        <w:ind w:firstLineChars="200"/>
        <w:textAlignment w:val="baseline"/>
        <w:rPr>
          <w:rFonts w:hint="eastAsia"/>
          <w:color w:val="000000"/>
        </w:rPr>
      </w:pPr>
      <w:r>
        <w:rPr>
          <w:rFonts w:hint="eastAsia"/>
          <w:color w:val="000000"/>
        </w:rPr>
        <w:t>第十六条：“……生产过程中耗能高的产品的生产单位，应当执行单位产品能耗限额标准。”</w:t>
      </w:r>
    </w:p>
    <w:p>
      <w:pPr>
        <w:pStyle w:val="9"/>
        <w:snapToGrid w:val="0"/>
        <w:spacing w:line="310" w:lineRule="exact"/>
        <w:ind w:firstLineChars="200"/>
        <w:textAlignment w:val="baseline"/>
        <w:rPr>
          <w:rFonts w:hint="eastAsia"/>
          <w:color w:val="000000"/>
        </w:rPr>
      </w:pPr>
      <w:r>
        <w:rPr>
          <w:rFonts w:hint="eastAsia"/>
          <w:color w:val="000000"/>
        </w:rPr>
        <w:t>第十七条：“……禁止使用国家明令淘汰的用能设备、生产工艺。”</w:t>
      </w:r>
    </w:p>
    <w:p>
      <w:pPr>
        <w:pStyle w:val="9"/>
        <w:snapToGrid w:val="0"/>
        <w:spacing w:line="310" w:lineRule="exact"/>
        <w:ind w:firstLineChars="200"/>
        <w:textAlignment w:val="baseline"/>
        <w:rPr>
          <w:rFonts w:hint="eastAsia"/>
          <w:color w:val="000000"/>
        </w:rPr>
      </w:pPr>
      <w:r>
        <w:rPr>
          <w:rFonts w:hint="eastAsia"/>
          <w:color w:val="000000"/>
        </w:rPr>
        <w:t>第二十五条：“用能单位应当建立节能目标责任制，对节能工作取得成绩的集体、个人给予奖励。”</w:t>
      </w:r>
    </w:p>
    <w:p>
      <w:pPr>
        <w:pStyle w:val="9"/>
        <w:snapToGrid w:val="0"/>
        <w:spacing w:line="310" w:lineRule="exact"/>
        <w:ind w:firstLineChars="200"/>
        <w:textAlignment w:val="baseline"/>
        <w:rPr>
          <w:rFonts w:hint="eastAsia"/>
          <w:color w:val="000000"/>
        </w:rPr>
      </w:pPr>
      <w:r>
        <w:rPr>
          <w:rFonts w:hint="eastAsia"/>
          <w:color w:val="000000"/>
        </w:rPr>
        <w:t>第二十六条：“用能单位应当定期开展节能教育和岗位节能培训。”</w:t>
      </w:r>
    </w:p>
    <w:p>
      <w:pPr>
        <w:pStyle w:val="9"/>
        <w:snapToGrid w:val="0"/>
        <w:spacing w:line="310" w:lineRule="exact"/>
        <w:ind w:firstLineChars="200"/>
        <w:textAlignment w:val="baseline"/>
        <w:rPr>
          <w:rFonts w:hint="eastAsia"/>
          <w:color w:val="000000"/>
        </w:rPr>
      </w:pPr>
      <w:r>
        <w:rPr>
          <w:rFonts w:hint="eastAsia"/>
          <w:color w:val="000000"/>
        </w:rPr>
        <w:t>第二十八条：“能源生产经营单位不得向本单位职工无偿提供能源。任何单位不得对能源消费实行包费制。”</w:t>
      </w:r>
    </w:p>
    <w:p>
      <w:pPr>
        <w:pStyle w:val="9"/>
        <w:snapToGrid w:val="0"/>
        <w:spacing w:line="310" w:lineRule="exact"/>
        <w:ind w:firstLineChars="200"/>
        <w:textAlignment w:val="baseline"/>
        <w:rPr>
          <w:rFonts w:hint="eastAsia"/>
          <w:color w:val="000000"/>
        </w:rPr>
      </w:pPr>
      <w:r>
        <w:rPr>
          <w:rFonts w:hint="eastAsia"/>
          <w:color w:val="000000"/>
        </w:rPr>
        <w:t>第五十三条：“重点用能单位应当每年向管理节能工作的部门报送上年度的能源利用状况报告。能源利用状况包括能源消费情况、能源利用效率、节能目标完成情况和节能效益分析、节能措施等内容”</w:t>
      </w:r>
    </w:p>
    <w:p>
      <w:pPr>
        <w:pStyle w:val="9"/>
        <w:snapToGrid w:val="0"/>
        <w:spacing w:line="310" w:lineRule="exact"/>
        <w:ind w:firstLineChars="200"/>
        <w:textAlignment w:val="baseline"/>
        <w:rPr>
          <w:rFonts w:hint="eastAsia"/>
          <w:color w:val="000000"/>
        </w:rPr>
      </w:pPr>
      <w:r>
        <w:rPr>
          <w:rFonts w:hint="eastAsia"/>
          <w:color w:val="000000"/>
        </w:rPr>
        <w:t>第五十五条：“重点用能单位应当设立能源管理岗位，在具有节能专业知识、实际经验以及中级以上技术职称的人员中聘任能源管理负责人，并报管理节能工作的部门和有关部门备案。能源管理负责人负责组织对本单位用能状况进行分析、评价，组织编写本单位能源利用状况报告，提出本单位节能工作的改进措施并组织实施。能源管理负责人应当接受节能培训。”</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2.《山东省节约能源条例》（1997年6月通过，2017年9月修正）</w:t>
      </w:r>
    </w:p>
    <w:p>
      <w:pPr>
        <w:pStyle w:val="9"/>
        <w:snapToGrid w:val="0"/>
        <w:spacing w:line="310" w:lineRule="exact"/>
        <w:ind w:firstLineChars="200"/>
        <w:textAlignment w:val="baseline"/>
        <w:rPr>
          <w:rFonts w:hint="eastAsia"/>
          <w:color w:val="000000"/>
        </w:rPr>
      </w:pPr>
      <w:r>
        <w:rPr>
          <w:rFonts w:hint="eastAsia"/>
          <w:color w:val="000000"/>
        </w:rPr>
        <w:t>第七条第三款：“……县级以上人民政府有关部门在各自职责范围内负责节能监督管理工作，并接受同级节能行政主管部门的指导。”</w:t>
      </w:r>
    </w:p>
    <w:p>
      <w:pPr>
        <w:pStyle w:val="9"/>
        <w:snapToGrid w:val="0"/>
        <w:spacing w:line="310" w:lineRule="exact"/>
        <w:ind w:firstLineChars="200"/>
        <w:textAlignment w:val="baseline"/>
        <w:rPr>
          <w:rFonts w:hint="eastAsia"/>
          <w:color w:val="000000"/>
        </w:rPr>
      </w:pPr>
      <w:r>
        <w:rPr>
          <w:rFonts w:hint="eastAsia"/>
          <w:color w:val="000000"/>
        </w:rPr>
        <w:t>第十六条：“禁止使用国家和省明令淘汰的用能设备、生产工艺。”</w:t>
      </w:r>
    </w:p>
    <w:p>
      <w:pPr>
        <w:pStyle w:val="9"/>
        <w:snapToGrid w:val="0"/>
        <w:spacing w:line="310" w:lineRule="exact"/>
        <w:ind w:firstLineChars="200"/>
        <w:textAlignment w:val="baseline"/>
        <w:rPr>
          <w:rFonts w:hint="eastAsia"/>
          <w:color w:val="000000"/>
        </w:rPr>
      </w:pPr>
      <w:r>
        <w:rPr>
          <w:rFonts w:hint="eastAsia"/>
          <w:color w:val="000000"/>
        </w:rPr>
        <w:t>第十七条：“生产单位应当执行单位产品能耗限额标准……”</w:t>
      </w:r>
    </w:p>
    <w:p>
      <w:pPr>
        <w:pStyle w:val="9"/>
        <w:snapToGrid w:val="0"/>
        <w:spacing w:line="310" w:lineRule="exact"/>
        <w:ind w:firstLineChars="200"/>
        <w:textAlignment w:val="baseline"/>
        <w:rPr>
          <w:rFonts w:hint="eastAsia"/>
          <w:color w:val="000000"/>
        </w:rPr>
      </w:pPr>
      <w:r>
        <w:rPr>
          <w:rFonts w:hint="eastAsia"/>
          <w:color w:val="000000"/>
        </w:rPr>
        <w:t>第二十四条：“用能单位应当建立节能目标责任制，定期开展节能教育和培训……”</w:t>
      </w:r>
    </w:p>
    <w:p>
      <w:pPr>
        <w:pStyle w:val="9"/>
        <w:snapToGrid w:val="0"/>
        <w:spacing w:line="310" w:lineRule="exact"/>
        <w:ind w:firstLineChars="200"/>
        <w:textAlignment w:val="baseline"/>
        <w:rPr>
          <w:rFonts w:hint="eastAsia"/>
          <w:color w:val="000000"/>
        </w:rPr>
      </w:pPr>
      <w:r>
        <w:rPr>
          <w:rFonts w:hint="eastAsia"/>
          <w:color w:val="000000"/>
        </w:rPr>
        <w:t>第三十二条：“重点用能单位应当依法设立能源管理岗位，聘任能源管理负责人，并报节能行政主管部门和其他有关部门备案。能源管理人员和重大用能设备操作人员应当具备相应的节能专业知识和技能。”</w:t>
      </w:r>
    </w:p>
    <w:p>
      <w:pPr>
        <w:pStyle w:val="9"/>
        <w:snapToGrid w:val="0"/>
        <w:spacing w:line="310" w:lineRule="exact"/>
        <w:ind w:firstLineChars="200"/>
        <w:textAlignment w:val="baseline"/>
        <w:rPr>
          <w:rFonts w:hint="eastAsia"/>
          <w:color w:val="000000"/>
        </w:rPr>
      </w:pPr>
      <w:r>
        <w:rPr>
          <w:rFonts w:hint="eastAsia"/>
          <w:color w:val="000000"/>
        </w:rPr>
        <w:t>第三十三条：“重点用能单位应当每年向下达节能指标的节能行政主管部门报送上年度的能源利用状况报告。能源利用状况包括能源消费情况、能源利用效率、节能目标完成情况和节能效益分析、节能措施等内容。”</w:t>
      </w:r>
    </w:p>
    <w:p>
      <w:pPr>
        <w:pStyle w:val="9"/>
        <w:snapToGrid w:val="0"/>
        <w:spacing w:line="310" w:lineRule="exact"/>
        <w:ind w:firstLineChars="200"/>
        <w:textAlignment w:val="baseline"/>
        <w:rPr>
          <w:rFonts w:hint="eastAsia"/>
          <w:color w:val="000000"/>
        </w:rPr>
      </w:pPr>
      <w:r>
        <w:rPr>
          <w:rFonts w:hint="eastAsia"/>
          <w:color w:val="000000"/>
        </w:rPr>
        <w:t>第三十四条：“能源生产经营单位不得无偿或者低于市场价格向本单位职工提供能源，不得对本单位职工按能源消费量给予补贴。任何单位不得对能源消费实行包费制。”</w:t>
      </w:r>
    </w:p>
    <w:p>
      <w:pPr>
        <w:pStyle w:val="9"/>
        <w:spacing w:before="280" w:after="280" w:line="310" w:lineRule="exact"/>
        <w:ind w:firstLine="0"/>
        <w:jc w:val="center"/>
        <w:outlineLvl w:val="1"/>
        <w:rPr>
          <w:rFonts w:hint="eastAsia" w:ascii="黑体" w:hAnsi="黑体" w:eastAsia="黑体" w:cs="黑体"/>
          <w:color w:val="000000"/>
          <w:sz w:val="22"/>
          <w:szCs w:val="28"/>
        </w:rPr>
      </w:pPr>
    </w:p>
    <w:p>
      <w:pPr>
        <w:pStyle w:val="9"/>
        <w:spacing w:before="280" w:after="280" w:line="310" w:lineRule="exact"/>
        <w:ind w:firstLine="0"/>
        <w:jc w:val="center"/>
        <w:outlineLvl w:val="1"/>
        <w:rPr>
          <w:rFonts w:hint="eastAsia" w:ascii="黑体" w:hAnsi="黑体" w:eastAsia="黑体" w:cs="黑体"/>
          <w:color w:val="000000"/>
          <w:sz w:val="22"/>
          <w:szCs w:val="28"/>
        </w:rPr>
      </w:pPr>
      <w:r>
        <w:rPr>
          <w:rFonts w:hint="eastAsia" w:ascii="黑体" w:hAnsi="黑体" w:eastAsia="黑体" w:cs="黑体"/>
          <w:color w:val="000000"/>
          <w:sz w:val="22"/>
          <w:szCs w:val="28"/>
        </w:rPr>
        <w:t>第</w:t>
      </w:r>
      <w:r>
        <w:rPr>
          <w:rFonts w:hint="eastAsia" w:ascii="黑体" w:hAnsi="黑体" w:eastAsia="黑体" w:cs="黑体"/>
          <w:color w:val="000000"/>
          <w:sz w:val="22"/>
          <w:szCs w:val="28"/>
          <w:lang w:val="en-US" w:eastAsia="zh-CN"/>
        </w:rPr>
        <w:t>六</w:t>
      </w:r>
      <w:r>
        <w:rPr>
          <w:rFonts w:hint="eastAsia" w:ascii="黑体" w:hAnsi="黑体" w:eastAsia="黑体" w:cs="黑体"/>
          <w:color w:val="000000"/>
          <w:sz w:val="22"/>
          <w:szCs w:val="28"/>
        </w:rPr>
        <w:t xml:space="preserve">章 </w:t>
      </w:r>
      <w:bookmarkEnd w:id="2"/>
      <w:bookmarkEnd w:id="3"/>
      <w:bookmarkEnd w:id="4"/>
      <w:bookmarkEnd w:id="5"/>
      <w:r>
        <w:rPr>
          <w:rFonts w:hint="eastAsia" w:ascii="黑体" w:hAnsi="黑体" w:eastAsia="黑体" w:cs="黑体"/>
          <w:color w:val="000000"/>
          <w:sz w:val="22"/>
          <w:szCs w:val="28"/>
        </w:rPr>
        <w:t xml:space="preserve">  电力设施和电能保护工作检查工作指引</w:t>
      </w:r>
    </w:p>
    <w:p>
      <w:pPr>
        <w:pStyle w:val="9"/>
        <w:snapToGrid w:val="0"/>
        <w:spacing w:line="310" w:lineRule="exact"/>
        <w:ind w:firstLineChars="200"/>
        <w:textAlignment w:val="baseline"/>
        <w:rPr>
          <w:rFonts w:hint="eastAsia"/>
          <w:color w:val="000000"/>
        </w:rPr>
      </w:pPr>
      <w:r>
        <w:rPr>
          <w:rFonts w:hint="eastAsia" w:eastAsia="黑体" w:cs="黑体"/>
          <w:color w:val="000000"/>
        </w:rPr>
        <w:t>一、抽查事项</w:t>
      </w:r>
    </w:p>
    <w:p>
      <w:pPr>
        <w:pStyle w:val="9"/>
        <w:snapToGrid w:val="0"/>
        <w:spacing w:line="310" w:lineRule="exact"/>
        <w:ind w:firstLineChars="200"/>
        <w:textAlignment w:val="baseline"/>
        <w:rPr>
          <w:rFonts w:hint="eastAsia"/>
          <w:color w:val="000000"/>
        </w:rPr>
      </w:pPr>
      <w:r>
        <w:rPr>
          <w:rFonts w:hint="eastAsia"/>
          <w:color w:val="000000"/>
        </w:rPr>
        <w:t>电力设施和电能保护工作检查</w:t>
      </w:r>
    </w:p>
    <w:p>
      <w:pPr>
        <w:pStyle w:val="9"/>
        <w:snapToGrid w:val="0"/>
        <w:spacing w:line="310" w:lineRule="exact"/>
        <w:ind w:firstLineChars="200"/>
        <w:textAlignment w:val="baseline"/>
        <w:rPr>
          <w:rFonts w:hint="eastAsia"/>
          <w:color w:val="000000"/>
        </w:rPr>
      </w:pPr>
      <w:r>
        <w:rPr>
          <w:rFonts w:hint="eastAsia" w:eastAsia="黑体" w:cs="黑体"/>
          <w:color w:val="000000"/>
        </w:rPr>
        <w:t>二、检查内容和方法</w:t>
      </w:r>
    </w:p>
    <w:p>
      <w:pPr>
        <w:pStyle w:val="9"/>
        <w:snapToGrid w:val="0"/>
        <w:spacing w:line="310" w:lineRule="exact"/>
        <w:ind w:firstLineChars="200"/>
        <w:textAlignment w:val="baseline"/>
        <w:rPr>
          <w:rFonts w:hint="eastAsia"/>
          <w:color w:val="000000"/>
        </w:rPr>
      </w:pPr>
      <w:r>
        <w:rPr>
          <w:rFonts w:hint="eastAsia"/>
          <w:color w:val="000000"/>
        </w:rPr>
        <w:t>（一）各市县电力设施和电能保护工作开展情况。</w:t>
      </w:r>
    </w:p>
    <w:p>
      <w:pPr>
        <w:pStyle w:val="9"/>
        <w:snapToGrid w:val="0"/>
        <w:spacing w:line="310" w:lineRule="exact"/>
        <w:ind w:firstLineChars="200"/>
        <w:textAlignment w:val="baseline"/>
        <w:rPr>
          <w:rFonts w:hint="eastAsia"/>
          <w:color w:val="000000"/>
        </w:rPr>
      </w:pPr>
      <w:r>
        <w:rPr>
          <w:rFonts w:hint="eastAsia"/>
          <w:color w:val="000000"/>
        </w:rPr>
        <w:t>检查内容包括：①电力主管部门及相关企业电力设施和电能保护年度工作计划；②辖区内电力设施摸底排查情况，排查出的风险隐患是否实施分类施策、挂牌督办等措施，实行动态销号管控；③电力设施安全标志设置、巡视维护制度执行、“人防、物防、技防”措施落实到位等情况；④是否建立电力设施保护联合执法机制，电力公安联合办公室运转相关材料；⑤盗窃、破坏电力设施和外力破坏案件或者发生窃电案件处置情况；⑥特高压交直流线路、跨区线路等重要通道线路防护措施及相关记录；⑦开展打击窃电专项行动，依法维护正常的供用电秩序，以及落实电力系统反恐怖防范要求情况；⑧电力设施和电能保护宣传教育和普法活动开展情况。</w:t>
      </w:r>
    </w:p>
    <w:p>
      <w:pPr>
        <w:pStyle w:val="9"/>
        <w:snapToGrid w:val="0"/>
        <w:spacing w:line="310" w:lineRule="exact"/>
        <w:ind w:firstLineChars="200"/>
        <w:textAlignment w:val="baseline"/>
        <w:rPr>
          <w:rFonts w:hint="eastAsia"/>
          <w:color w:val="000000"/>
        </w:rPr>
      </w:pPr>
      <w:r>
        <w:rPr>
          <w:rFonts w:hint="eastAsia" w:eastAsia="黑体" w:cs="黑体"/>
          <w:color w:val="000000"/>
        </w:rPr>
        <w:t>三、检查依据</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《山东省电力设施和电能保护条例》(2010年11月25日山东省第十一届人民代表大会常务委员会第二十次会议通过，2011年3月1日起施行)</w:t>
      </w:r>
    </w:p>
    <w:p>
      <w:pPr>
        <w:pStyle w:val="9"/>
        <w:snapToGrid w:val="0"/>
        <w:spacing w:line="310" w:lineRule="exact"/>
        <w:ind w:firstLineChars="200"/>
        <w:textAlignment w:val="baseline"/>
        <w:rPr>
          <w:rFonts w:hint="eastAsia"/>
          <w:color w:val="000000"/>
        </w:rPr>
      </w:pPr>
      <w:r>
        <w:rPr>
          <w:rFonts w:hint="eastAsia"/>
          <w:color w:val="000000"/>
        </w:rPr>
        <w:t>第四十二条：“电力行政管理部门应当加强电力设施和电能保护执法工作的监督管理，规范电力设施和电能保护执法行为。”第四十三条  电力行政管理部门依法履行职责时，可以行使下列职权:</w:t>
      </w:r>
    </w:p>
    <w:p>
      <w:pPr>
        <w:pStyle w:val="9"/>
        <w:snapToGrid w:val="0"/>
        <w:spacing w:line="310" w:lineRule="exact"/>
        <w:ind w:firstLineChars="200"/>
        <w:textAlignment w:val="baseline"/>
        <w:rPr>
          <w:rFonts w:hint="eastAsia"/>
          <w:color w:val="000000"/>
        </w:rPr>
      </w:pPr>
      <w:r>
        <w:rPr>
          <w:rFonts w:hint="eastAsia"/>
          <w:color w:val="000000"/>
        </w:rPr>
        <w:t>（一）进入电力设施遭受破坏现场进行调查；</w:t>
      </w:r>
    </w:p>
    <w:p>
      <w:pPr>
        <w:pStyle w:val="9"/>
        <w:snapToGrid w:val="0"/>
        <w:spacing w:line="310" w:lineRule="exact"/>
        <w:ind w:firstLineChars="200"/>
        <w:textAlignment w:val="baseline"/>
        <w:rPr>
          <w:rFonts w:hint="eastAsia"/>
          <w:color w:val="000000"/>
        </w:rPr>
      </w:pPr>
      <w:r>
        <w:rPr>
          <w:rFonts w:hint="eastAsia"/>
          <w:color w:val="000000"/>
        </w:rPr>
        <w:t>（二）进入供电企业或者用户的供用电现场进行检查；</w:t>
      </w:r>
    </w:p>
    <w:p>
      <w:pPr>
        <w:pStyle w:val="9"/>
        <w:snapToGrid w:val="0"/>
        <w:spacing w:line="310" w:lineRule="exact"/>
        <w:ind w:firstLineChars="200"/>
        <w:textAlignment w:val="baseline"/>
        <w:rPr>
          <w:rFonts w:hint="eastAsia"/>
          <w:color w:val="000000"/>
        </w:rPr>
      </w:pPr>
      <w:r>
        <w:rPr>
          <w:rFonts w:hint="eastAsia"/>
          <w:color w:val="000000"/>
        </w:rPr>
        <w:t>（三）查阅、调取和复制有关资料；</w:t>
      </w:r>
    </w:p>
    <w:p>
      <w:pPr>
        <w:pStyle w:val="9"/>
        <w:snapToGrid w:val="0"/>
        <w:spacing w:line="310" w:lineRule="exact"/>
        <w:ind w:firstLineChars="200"/>
        <w:textAlignment w:val="baseline"/>
        <w:rPr>
          <w:rFonts w:hint="eastAsia"/>
          <w:color w:val="000000"/>
        </w:rPr>
      </w:pPr>
      <w:r>
        <w:rPr>
          <w:rFonts w:hint="eastAsia"/>
          <w:color w:val="000000"/>
        </w:rPr>
        <w:t>（四）调查、询问当事人或者证人；</w:t>
      </w:r>
    </w:p>
    <w:p>
      <w:pPr>
        <w:pStyle w:val="9"/>
        <w:snapToGrid w:val="0"/>
        <w:spacing w:line="310" w:lineRule="exact"/>
        <w:ind w:firstLineChars="200"/>
        <w:textAlignment w:val="baseline"/>
        <w:rPr>
          <w:rFonts w:hint="eastAsia"/>
          <w:color w:val="000000"/>
        </w:rPr>
      </w:pPr>
      <w:r>
        <w:rPr>
          <w:rFonts w:hint="eastAsia"/>
          <w:color w:val="000000"/>
        </w:rPr>
        <w:t>（五）采用录音、录相、拍照、笔录、检测等手段收集证据；</w:t>
      </w:r>
    </w:p>
    <w:p>
      <w:pPr>
        <w:pStyle w:val="9"/>
        <w:snapToGrid w:val="0"/>
        <w:spacing w:line="310" w:lineRule="exact"/>
        <w:ind w:firstLineChars="200"/>
        <w:textAlignment w:val="baseline"/>
        <w:rPr>
          <w:rFonts w:hint="eastAsia"/>
          <w:color w:val="000000"/>
        </w:rPr>
      </w:pPr>
      <w:r>
        <w:rPr>
          <w:rFonts w:hint="eastAsia"/>
          <w:color w:val="000000"/>
        </w:rPr>
        <w:t>（六）对涉嫌窃电人使用的工具、装置和有关资料先行登记保存。</w:t>
      </w:r>
    </w:p>
    <w:p>
      <w:pPr>
        <w:pStyle w:val="9"/>
        <w:spacing w:before="280" w:after="280" w:line="310" w:lineRule="exact"/>
        <w:ind w:firstLine="0"/>
        <w:jc w:val="center"/>
        <w:outlineLvl w:val="1"/>
        <w:rPr>
          <w:rFonts w:hint="eastAsia" w:ascii="黑体" w:hAnsi="黑体" w:eastAsia="黑体" w:cs="黑体"/>
          <w:color w:val="000000"/>
          <w:sz w:val="22"/>
          <w:szCs w:val="28"/>
        </w:rPr>
      </w:pPr>
      <w:r>
        <w:rPr>
          <w:rFonts w:hint="eastAsia" w:ascii="黑体" w:hAnsi="黑体" w:eastAsia="黑体" w:cs="黑体"/>
          <w:color w:val="000000"/>
          <w:sz w:val="22"/>
          <w:szCs w:val="28"/>
        </w:rPr>
        <w:t>第</w:t>
      </w:r>
      <w:r>
        <w:rPr>
          <w:rFonts w:hint="eastAsia" w:ascii="黑体" w:hAnsi="黑体" w:eastAsia="黑体" w:cs="黑体"/>
          <w:color w:val="000000"/>
          <w:sz w:val="22"/>
          <w:szCs w:val="28"/>
          <w:lang w:val="en-US" w:eastAsia="zh-CN"/>
        </w:rPr>
        <w:t>七</w:t>
      </w:r>
      <w:r>
        <w:rPr>
          <w:rFonts w:hint="eastAsia" w:ascii="黑体" w:hAnsi="黑体" w:eastAsia="黑体" w:cs="黑体"/>
          <w:color w:val="000000"/>
          <w:sz w:val="22"/>
          <w:szCs w:val="28"/>
        </w:rPr>
        <w:t>章  油气管道保护行政检查工作指引</w:t>
      </w:r>
    </w:p>
    <w:p>
      <w:pPr>
        <w:pStyle w:val="9"/>
        <w:snapToGrid w:val="0"/>
        <w:spacing w:line="310" w:lineRule="exact"/>
        <w:ind w:firstLineChars="200"/>
        <w:textAlignment w:val="baseline"/>
        <w:rPr>
          <w:rFonts w:hint="eastAsia"/>
          <w:color w:val="000000"/>
        </w:rPr>
      </w:pPr>
      <w:r>
        <w:rPr>
          <w:rFonts w:hint="eastAsia" w:eastAsia="黑体" w:cs="黑体"/>
          <w:color w:val="000000"/>
        </w:rPr>
        <w:t>一、抽查事项</w:t>
      </w:r>
    </w:p>
    <w:p>
      <w:pPr>
        <w:pStyle w:val="9"/>
        <w:snapToGrid w:val="0"/>
        <w:spacing w:line="310" w:lineRule="exact"/>
        <w:ind w:firstLineChars="200"/>
        <w:textAlignment w:val="baseline"/>
        <w:rPr>
          <w:rFonts w:hint="eastAsia"/>
          <w:color w:val="000000"/>
        </w:rPr>
      </w:pPr>
      <w:r>
        <w:rPr>
          <w:rFonts w:hint="eastAsia"/>
          <w:color w:val="000000"/>
        </w:rPr>
        <w:t>油气管道保护检查</w:t>
      </w:r>
    </w:p>
    <w:p>
      <w:pPr>
        <w:pStyle w:val="9"/>
        <w:snapToGrid w:val="0"/>
        <w:spacing w:line="310" w:lineRule="exact"/>
        <w:ind w:firstLineChars="200"/>
        <w:textAlignment w:val="baseline"/>
        <w:rPr>
          <w:rFonts w:hint="eastAsia"/>
          <w:color w:val="000000"/>
        </w:rPr>
      </w:pPr>
      <w:r>
        <w:rPr>
          <w:rFonts w:hint="eastAsia" w:eastAsia="黑体" w:cs="黑体"/>
          <w:color w:val="000000"/>
        </w:rPr>
        <w:t>二、检查内容和方法</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管道企业依法履行管道保护义务情况。</w:t>
      </w:r>
    </w:p>
    <w:p>
      <w:pPr>
        <w:pStyle w:val="9"/>
        <w:snapToGrid w:val="0"/>
        <w:spacing w:line="310" w:lineRule="exact"/>
        <w:ind w:firstLineChars="200"/>
        <w:textAlignment w:val="baseline"/>
        <w:rPr>
          <w:rFonts w:hint="eastAsia"/>
          <w:color w:val="000000"/>
        </w:rPr>
      </w:pPr>
      <w:r>
        <w:rPr>
          <w:rFonts w:hint="eastAsia"/>
          <w:color w:val="000000"/>
        </w:rPr>
        <w:t>检查内容包括：①管道巡护、检测和维修；②设置、修复或者更新有关管道标志；③管道竣工测量图备案情况；④本企业管道事故应急预案报人民政府主管管道保护工作的部门备案情况；⑤是否对停止运行、封存、报废的管道采取必要的安全防护措施情况。</w:t>
      </w:r>
    </w:p>
    <w:p>
      <w:pPr>
        <w:pStyle w:val="9"/>
        <w:snapToGrid w:val="0"/>
        <w:spacing w:line="310" w:lineRule="exact"/>
        <w:ind w:firstLineChars="200"/>
        <w:textAlignment w:val="baseline"/>
        <w:rPr>
          <w:rFonts w:hint="eastAsia"/>
          <w:color w:val="000000"/>
        </w:rPr>
      </w:pPr>
      <w:r>
        <w:rPr>
          <w:rFonts w:hint="eastAsia" w:eastAsia="黑体" w:cs="黑体"/>
          <w:color w:val="000000"/>
        </w:rPr>
        <w:t>三、检查依据</w:t>
      </w:r>
    </w:p>
    <w:p>
      <w:pPr>
        <w:pStyle w:val="9"/>
        <w:snapToGrid w:val="0"/>
        <w:spacing w:line="310" w:lineRule="exact"/>
        <w:ind w:firstLineChars="200"/>
        <w:textAlignment w:val="baseline"/>
        <w:rPr>
          <w:rFonts w:hint="eastAsia"/>
          <w:color w:val="000000"/>
        </w:rPr>
      </w:pPr>
      <w:r>
        <w:rPr>
          <w:rFonts w:hint="eastAsia"/>
          <w:color w:val="000000"/>
        </w:rPr>
        <w:t>《中华人民共和国石油天然气管道保护法》(2010年6月中华人民共和国主席令第三十号)第三章第二十二条“管道企业应当建立、健全管道巡护制度，配备专门人员对管道线路进行日常巡护”、第三十九条“管道企业应当制定本企业管道事故应急预案，并报管道所在地县级人民政府主管管道保护工作的部门备案”、第四十二条“管道停止运行、封存、报废的，管道企业应当采取必要的安全防护措施，并报县级以上地方人民政府主管管道保护工作的部门备案”。</w:t>
      </w:r>
    </w:p>
    <w:p>
      <w:pPr>
        <w:pStyle w:val="9"/>
        <w:spacing w:line="310" w:lineRule="exact"/>
        <w:ind w:firstLineChars="200"/>
        <w:jc w:val="both"/>
        <w:rPr>
          <w:color w:val="000000"/>
          <w:lang w:val="en-US"/>
        </w:rPr>
      </w:pPr>
      <w:r>
        <w:rPr>
          <w:rFonts w:hint="eastAsia"/>
          <w:color w:val="000000"/>
          <w:sz w:val="20"/>
          <w:szCs w:val="20"/>
        </w:rPr>
        <w:br w:type="page"/>
      </w:r>
    </w:p>
    <w:p>
      <w:pPr>
        <w:pStyle w:val="9"/>
        <w:spacing w:before="280" w:after="280" w:line="310" w:lineRule="exact"/>
        <w:ind w:firstLine="0"/>
        <w:jc w:val="center"/>
        <w:outlineLvl w:val="1"/>
        <w:rPr>
          <w:rFonts w:hint="eastAsia" w:ascii="黑体" w:hAnsi="黑体" w:eastAsia="黑体" w:cs="黑体"/>
          <w:color w:val="000000"/>
          <w:sz w:val="22"/>
          <w:szCs w:val="28"/>
        </w:rPr>
      </w:pPr>
      <w:r>
        <w:rPr>
          <w:rFonts w:hint="eastAsia" w:ascii="黑体" w:hAnsi="黑体" w:eastAsia="黑体" w:cs="黑体"/>
          <w:color w:val="000000"/>
          <w:sz w:val="22"/>
          <w:szCs w:val="28"/>
        </w:rPr>
        <w:t>第</w:t>
      </w:r>
      <w:r>
        <w:rPr>
          <w:rFonts w:hint="eastAsia" w:ascii="黑体" w:hAnsi="黑体" w:eastAsia="黑体" w:cs="黑体"/>
          <w:color w:val="000000"/>
          <w:sz w:val="22"/>
          <w:szCs w:val="28"/>
          <w:lang w:val="en-US" w:eastAsia="zh-CN"/>
        </w:rPr>
        <w:t>八</w:t>
      </w:r>
      <w:r>
        <w:rPr>
          <w:rFonts w:hint="eastAsia" w:ascii="黑体" w:hAnsi="黑体" w:eastAsia="黑体" w:cs="黑体"/>
          <w:color w:val="000000"/>
          <w:sz w:val="22"/>
          <w:szCs w:val="28"/>
        </w:rPr>
        <w:t>章 对政策性粮食购销活动监督检查的工作指引</w:t>
      </w:r>
    </w:p>
    <w:p>
      <w:pPr>
        <w:pStyle w:val="9"/>
        <w:snapToGrid w:val="0"/>
        <w:spacing w:line="310" w:lineRule="exact"/>
        <w:ind w:firstLineChars="200"/>
        <w:textAlignment w:val="baseline"/>
        <w:rPr>
          <w:rFonts w:hint="eastAsia"/>
          <w:color w:val="000000"/>
        </w:rPr>
      </w:pPr>
      <w:r>
        <w:rPr>
          <w:rFonts w:hint="eastAsia" w:eastAsia="黑体" w:cs="黑体"/>
          <w:color w:val="000000"/>
        </w:rPr>
        <w:t>一、抽查事项</w:t>
      </w:r>
    </w:p>
    <w:p>
      <w:pPr>
        <w:pStyle w:val="9"/>
        <w:snapToGrid w:val="0"/>
        <w:spacing w:line="310" w:lineRule="exact"/>
        <w:ind w:firstLineChars="200"/>
        <w:textAlignment w:val="baseline"/>
        <w:rPr>
          <w:color w:val="000000"/>
        </w:rPr>
      </w:pPr>
      <w:r>
        <w:rPr>
          <w:color w:val="000000"/>
        </w:rPr>
        <w:t>对政策性粮食购销活动的监督检查</w:t>
      </w:r>
    </w:p>
    <w:p>
      <w:pPr>
        <w:pStyle w:val="9"/>
        <w:snapToGrid w:val="0"/>
        <w:spacing w:line="310" w:lineRule="exact"/>
        <w:ind w:firstLineChars="200"/>
        <w:textAlignment w:val="baseline"/>
        <w:rPr>
          <w:rFonts w:hint="eastAsia"/>
          <w:color w:val="000000"/>
        </w:rPr>
      </w:pPr>
      <w:r>
        <w:rPr>
          <w:rFonts w:hint="eastAsia" w:eastAsia="黑体" w:cs="黑体"/>
          <w:color w:val="000000"/>
        </w:rPr>
        <w:t>二、检查内容</w:t>
      </w:r>
    </w:p>
    <w:p>
      <w:pPr>
        <w:pStyle w:val="9"/>
        <w:snapToGrid w:val="0"/>
        <w:spacing w:line="310" w:lineRule="exact"/>
        <w:ind w:firstLineChars="200"/>
        <w:textAlignment w:val="baseline"/>
        <w:rPr>
          <w:color w:val="000000"/>
        </w:rPr>
      </w:pPr>
      <w:r>
        <w:rPr>
          <w:color w:val="000000"/>
          <w:lang w:val="en-US"/>
        </w:rPr>
        <w:t>1.</w:t>
      </w:r>
      <w:r>
        <w:rPr>
          <w:color w:val="000000"/>
        </w:rPr>
        <w:t>粮食收购企业遵守《粮食流通管理条例》等粮食法律法规情况；</w:t>
      </w:r>
      <w:r>
        <w:rPr>
          <w:color w:val="000000"/>
          <w:lang w:val="en-US"/>
        </w:rPr>
        <w:t>2.</w:t>
      </w:r>
      <w:r>
        <w:rPr>
          <w:color w:val="000000"/>
        </w:rPr>
        <w:t>粮食收购企业备案情况情况；</w:t>
      </w:r>
      <w:r>
        <w:rPr>
          <w:color w:val="000000"/>
          <w:lang w:val="en-US"/>
        </w:rPr>
        <w:t>3.</w:t>
      </w:r>
      <w:r>
        <w:rPr>
          <w:color w:val="000000"/>
        </w:rPr>
        <w:t>粮食收购企业执行“五要五不准”粮食收购守则情况；</w:t>
      </w:r>
      <w:r>
        <w:rPr>
          <w:color w:val="000000"/>
          <w:lang w:val="en-US"/>
        </w:rPr>
        <w:t>4.</w:t>
      </w:r>
      <w:r>
        <w:rPr>
          <w:color w:val="000000"/>
        </w:rPr>
        <w:t>粮食收购企业开展粮食收购政策宣传、验质检斤、粮款支付、报送收购进度等工作情况；</w:t>
      </w:r>
      <w:r>
        <w:rPr>
          <w:color w:val="000000"/>
          <w:lang w:val="en-US"/>
        </w:rPr>
        <w:t>5.</w:t>
      </w:r>
      <w:r>
        <w:rPr>
          <w:color w:val="000000"/>
        </w:rPr>
        <w:t>政策性粮食收购主体执行国家最低收购价等粮食收购政策情况</w:t>
      </w:r>
      <w:r>
        <w:rPr>
          <w:rFonts w:hint="eastAsia"/>
          <w:color w:val="000000"/>
        </w:rPr>
        <w:t>；</w:t>
      </w:r>
      <w:r>
        <w:rPr>
          <w:color w:val="000000"/>
          <w:lang w:val="en-US"/>
        </w:rPr>
        <w:t>6.</w:t>
      </w:r>
      <w:r>
        <w:rPr>
          <w:color w:val="000000"/>
        </w:rPr>
        <w:t>承储企业在粮食销售出库过程中是否掺杂使假；</w:t>
      </w:r>
      <w:r>
        <w:rPr>
          <w:color w:val="000000"/>
          <w:lang w:val="en-US"/>
        </w:rPr>
        <w:t>7.</w:t>
      </w:r>
      <w:r>
        <w:rPr>
          <w:color w:val="000000"/>
        </w:rPr>
        <w:t>承储企业是否向买方额外索要收取其他费用问题；</w:t>
      </w:r>
      <w:r>
        <w:rPr>
          <w:color w:val="000000"/>
          <w:lang w:val="en-US"/>
        </w:rPr>
        <w:t>8.</w:t>
      </w:r>
      <w:r>
        <w:rPr>
          <w:color w:val="000000"/>
        </w:rPr>
        <w:t>承储企业是否不按照交易细则和合同规定的品种、数量、质量及时交割；</w:t>
      </w:r>
      <w:r>
        <w:rPr>
          <w:color w:val="000000"/>
          <w:lang w:val="en-US"/>
        </w:rPr>
        <w:t>9.</w:t>
      </w:r>
      <w:r>
        <w:rPr>
          <w:color w:val="000000"/>
        </w:rPr>
        <w:t>承储企业是否设置障碍或以各种借口拖延阻挠出库等；</w:t>
      </w:r>
      <w:r>
        <w:rPr>
          <w:color w:val="000000"/>
          <w:lang w:val="en-US"/>
        </w:rPr>
        <w:t>10.</w:t>
      </w:r>
      <w:r>
        <w:rPr>
          <w:color w:val="000000"/>
        </w:rPr>
        <w:t>买方企业是否执行政策规定、交易规则，是否违背诚信、歪曲事实导致出库纠纷及违约、毁约等</w:t>
      </w:r>
      <w:r>
        <w:rPr>
          <w:rFonts w:hint="eastAsia"/>
          <w:color w:val="000000"/>
        </w:rPr>
        <w:t>；</w:t>
      </w:r>
      <w:r>
        <w:rPr>
          <w:color w:val="000000"/>
          <w:lang w:val="en-US"/>
        </w:rPr>
        <w:t>11.</w:t>
      </w:r>
      <w:r>
        <w:rPr>
          <w:color w:val="000000"/>
        </w:rPr>
        <w:t>其他依法抽查内容。</w:t>
      </w:r>
    </w:p>
    <w:p>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三、检查方法</w:t>
      </w:r>
    </w:p>
    <w:p>
      <w:pPr>
        <w:pStyle w:val="9"/>
        <w:snapToGrid w:val="0"/>
        <w:spacing w:line="310" w:lineRule="exact"/>
        <w:ind w:firstLineChars="200"/>
        <w:textAlignment w:val="baseline"/>
        <w:rPr>
          <w:color w:val="000000"/>
          <w:lang w:val="en-US"/>
        </w:rPr>
      </w:pPr>
      <w:r>
        <w:rPr>
          <w:color w:val="000000"/>
          <w:lang w:val="en-US"/>
        </w:rPr>
        <w:t>采取听取汇报、座谈交流、查看现场、查阅资料等方式进行检查，形成《现场检查记录》，并将检查结果进行公开。</w:t>
      </w:r>
    </w:p>
    <w:p>
      <w:pPr>
        <w:pStyle w:val="9"/>
        <w:snapToGrid w:val="0"/>
        <w:spacing w:line="310" w:lineRule="exact"/>
        <w:ind w:firstLineChars="200"/>
        <w:textAlignment w:val="baseline"/>
        <w:rPr>
          <w:rFonts w:hint="eastAsia"/>
          <w:color w:val="000000"/>
        </w:rPr>
      </w:pPr>
      <w:r>
        <w:rPr>
          <w:rFonts w:hint="eastAsia" w:eastAsia="黑体" w:cs="黑体"/>
          <w:color w:val="000000"/>
        </w:rPr>
        <w:t>四、检查依据</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（一）《粮食流通管理条例》（2021年2月国务院令第740号）</w:t>
      </w:r>
    </w:p>
    <w:p>
      <w:pPr>
        <w:pStyle w:val="9"/>
        <w:snapToGrid w:val="0"/>
        <w:spacing w:line="310" w:lineRule="exact"/>
        <w:ind w:firstLineChars="200"/>
        <w:textAlignment w:val="baseline"/>
        <w:rPr>
          <w:rFonts w:hint="eastAsia"/>
          <w:color w:val="000000"/>
        </w:rPr>
      </w:pPr>
      <w:r>
        <w:rPr>
          <w:color w:val="000000"/>
        </w:rPr>
        <w:t>第三十八条：“粮食和储备行政管理部门依照本条例对粮食经营者从事粮食收购、储存、运输活动和政策性粮食的购销活动，以及执行国家粮食流通统计制度的情况进行监督检查。”</w:t>
      </w:r>
    </w:p>
    <w:p>
      <w:pPr>
        <w:pStyle w:val="9"/>
        <w:snapToGrid w:val="0"/>
        <w:spacing w:line="310" w:lineRule="exact"/>
        <w:ind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（二）《粮食质量安全监管办法》（2016年9月国家发展和改革委员会令第42号）</w:t>
      </w:r>
    </w:p>
    <w:p>
      <w:pPr>
        <w:pStyle w:val="9"/>
        <w:snapToGrid w:val="0"/>
        <w:spacing w:line="310" w:lineRule="exact"/>
        <w:ind w:firstLineChars="200"/>
        <w:textAlignment w:val="baseline"/>
        <w:rPr>
          <w:color w:val="000000"/>
        </w:rPr>
      </w:pPr>
      <w:r>
        <w:rPr>
          <w:color w:val="000000"/>
        </w:rPr>
        <w:t>第三条：“县级以上粮食行政管理部门在本级人民政府的统一组织协调下，负责本行政区域粮食收购、储存、运输、加工和销售等经营活动中粮食质量安全的监督管理工作。”</w:t>
      </w:r>
    </w:p>
    <w:p>
      <w:pPr>
        <w:pStyle w:val="9"/>
        <w:spacing w:before="280" w:after="280" w:line="310" w:lineRule="exact"/>
        <w:ind w:firstLine="0"/>
        <w:jc w:val="center"/>
        <w:outlineLvl w:val="1"/>
        <w:rPr>
          <w:rFonts w:hint="eastAsia" w:ascii="黑体" w:hAnsi="黑体" w:eastAsia="黑体" w:cs="黑体"/>
          <w:color w:val="000000"/>
          <w:sz w:val="22"/>
          <w:szCs w:val="28"/>
        </w:rPr>
      </w:pPr>
      <w:r>
        <w:rPr>
          <w:rFonts w:hint="eastAsia" w:ascii="黑体" w:hAnsi="黑体" w:eastAsia="黑体" w:cs="黑体"/>
          <w:color w:val="000000"/>
          <w:sz w:val="22"/>
          <w:szCs w:val="28"/>
        </w:rPr>
        <w:t>第</w:t>
      </w:r>
      <w:r>
        <w:rPr>
          <w:rFonts w:hint="eastAsia" w:ascii="黑体" w:hAnsi="黑体" w:eastAsia="黑体" w:cs="黑体"/>
          <w:color w:val="000000"/>
          <w:sz w:val="22"/>
          <w:szCs w:val="28"/>
          <w:lang w:val="en-US" w:eastAsia="zh-CN"/>
        </w:rPr>
        <w:t>九</w:t>
      </w:r>
      <w:r>
        <w:rPr>
          <w:rFonts w:hint="eastAsia" w:ascii="黑体" w:hAnsi="黑体" w:eastAsia="黑体" w:cs="黑体"/>
          <w:color w:val="000000"/>
          <w:sz w:val="22"/>
          <w:szCs w:val="28"/>
        </w:rPr>
        <w:t>章 对地方储备粮监督检查的工作指引</w:t>
      </w:r>
    </w:p>
    <w:p>
      <w:pPr>
        <w:pStyle w:val="9"/>
        <w:snapToGrid w:val="0"/>
        <w:spacing w:line="310" w:lineRule="exact"/>
        <w:ind w:firstLineChars="200"/>
        <w:textAlignment w:val="baseline"/>
        <w:rPr>
          <w:rFonts w:hint="eastAsia"/>
          <w:color w:val="000000"/>
        </w:rPr>
      </w:pPr>
      <w:r>
        <w:rPr>
          <w:rFonts w:hint="eastAsia" w:eastAsia="黑体" w:cs="黑体"/>
          <w:color w:val="000000"/>
        </w:rPr>
        <w:t>一、抽查事项</w:t>
      </w:r>
    </w:p>
    <w:p>
      <w:pPr>
        <w:pStyle w:val="9"/>
        <w:snapToGrid w:val="0"/>
        <w:spacing w:line="310" w:lineRule="exact"/>
        <w:ind w:firstLineChars="200"/>
        <w:textAlignment w:val="baseline"/>
        <w:rPr>
          <w:color w:val="000000"/>
        </w:rPr>
      </w:pPr>
      <w:r>
        <w:rPr>
          <w:color w:val="000000"/>
        </w:rPr>
        <w:t>地方储备粮监督检查</w:t>
      </w:r>
    </w:p>
    <w:p>
      <w:pPr>
        <w:pStyle w:val="9"/>
        <w:snapToGrid w:val="0"/>
        <w:spacing w:line="310" w:lineRule="exact"/>
        <w:ind w:firstLineChars="200"/>
        <w:textAlignment w:val="baseline"/>
        <w:rPr>
          <w:rFonts w:hint="eastAsia"/>
          <w:color w:val="000000"/>
        </w:rPr>
      </w:pPr>
      <w:r>
        <w:rPr>
          <w:rFonts w:hint="eastAsia" w:eastAsia="黑体" w:cs="黑体"/>
          <w:color w:val="000000"/>
        </w:rPr>
        <w:t>二、检查内容</w:t>
      </w:r>
    </w:p>
    <w:p>
      <w:pPr>
        <w:pStyle w:val="9"/>
        <w:snapToGrid w:val="0"/>
        <w:spacing w:line="310" w:lineRule="exact"/>
        <w:ind w:firstLineChars="200"/>
        <w:textAlignment w:val="baseline"/>
        <w:rPr>
          <w:color w:val="000000"/>
          <w:lang w:val="en-US"/>
        </w:rPr>
      </w:pPr>
      <w:r>
        <w:rPr>
          <w:color w:val="000000"/>
          <w:lang w:val="en-US"/>
        </w:rPr>
        <w:t>1.执行地方储备粮收购、轮换、销售、动用计划情况；2.地方储备粮库存账实相符、账账相符情况；3.地方储备粮库存质量安全；4.地方储备粮储存安全情况；5.地方储备粮承储企业仓库条件情况</w:t>
      </w:r>
      <w:r>
        <w:rPr>
          <w:rFonts w:hint="eastAsia"/>
          <w:color w:val="000000"/>
          <w:lang w:val="en-US"/>
        </w:rPr>
        <w:t>；</w:t>
      </w:r>
      <w:r>
        <w:rPr>
          <w:color w:val="000000"/>
          <w:lang w:val="en-US"/>
        </w:rPr>
        <w:t>6.其他依法抽查内容。</w:t>
      </w:r>
    </w:p>
    <w:p>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三、检查方法</w:t>
      </w:r>
    </w:p>
    <w:p>
      <w:pPr>
        <w:pStyle w:val="9"/>
        <w:snapToGrid w:val="0"/>
        <w:spacing w:line="310" w:lineRule="exact"/>
        <w:ind w:firstLineChars="200"/>
        <w:textAlignment w:val="baseline"/>
        <w:rPr>
          <w:color w:val="000000"/>
          <w:lang w:val="en-US"/>
        </w:rPr>
      </w:pPr>
      <w:r>
        <w:rPr>
          <w:color w:val="000000"/>
          <w:lang w:val="en-US"/>
        </w:rPr>
        <w:t>采取听取汇报、座谈交流、查看现场、查阅资料等方式进行检查，形成《现场检查记录》，并将检查结果进行公开。</w:t>
      </w:r>
    </w:p>
    <w:p>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四、检查依据</w:t>
      </w:r>
    </w:p>
    <w:p>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《山东省地方储备粮管理办法》（2006年6月山东省人民政府令第186号）</w:t>
      </w:r>
    </w:p>
    <w:p>
      <w:pPr>
        <w:pStyle w:val="9"/>
        <w:snapToGrid w:val="0"/>
        <w:spacing w:line="310" w:lineRule="exact"/>
        <w:ind w:firstLineChars="200"/>
        <w:textAlignment w:val="baseline"/>
        <w:rPr>
          <w:color w:val="000000"/>
          <w:lang w:val="en-US"/>
        </w:rPr>
      </w:pPr>
      <w:r>
        <w:rPr>
          <w:color w:val="000000"/>
          <w:lang w:val="en-US"/>
        </w:rPr>
        <w:t>第五条：“各级粮食行政管理部门负责本级储备粮的管理工作。省粮食行政管理部门负责对设区的市及以下地方储备粮进行监管。”</w:t>
      </w:r>
    </w:p>
    <w:p>
      <w:pPr>
        <w:pStyle w:val="9"/>
        <w:snapToGrid w:val="0"/>
        <w:spacing w:line="310" w:lineRule="exact"/>
        <w:ind w:firstLineChars="200"/>
        <w:textAlignment w:val="baseline"/>
        <w:rPr>
          <w:rFonts w:ascii="Times New Roman" w:hAnsi="Times New Roman" w:eastAsia="仿宋_GB2312" w:cs="Times New Roman"/>
          <w:sz w:val="32"/>
          <w:szCs w:val="32"/>
          <w:lang w:val="en-US"/>
        </w:rPr>
      </w:pPr>
      <w:r>
        <w:rPr>
          <w:color w:val="000000"/>
          <w:lang w:val="en-US"/>
        </w:rPr>
        <w:t>第三十条：“粮食行政管理部门应当依法对承储企业执行本办法及有关粮食法律、法规、规章情况进行监督检查，并可以在监督检查过程中行使下列职权：（一）进入承储企业检查地方储备粮的数量、质量和储存安全状况；（二）向有关单位和人员了解地方储备粮收购、年度轮换计划及动用命令的执行情况；（三）调阅地方储备粮经营管理的有关资料、凭证；（四）依法查处违法行为。”</w:t>
      </w:r>
    </w:p>
    <w:p>
      <w:pPr>
        <w:pStyle w:val="9"/>
        <w:spacing w:before="280" w:after="280" w:line="310" w:lineRule="exact"/>
        <w:ind w:firstLine="0"/>
        <w:jc w:val="center"/>
        <w:outlineLvl w:val="1"/>
        <w:rPr>
          <w:rFonts w:hint="eastAsia" w:ascii="黑体" w:hAnsi="黑体" w:eastAsia="黑体" w:cs="黑体"/>
          <w:color w:val="000000"/>
          <w:sz w:val="22"/>
          <w:szCs w:val="28"/>
        </w:rPr>
      </w:pPr>
      <w:r>
        <w:rPr>
          <w:rFonts w:hint="eastAsia" w:ascii="黑体" w:hAnsi="黑体" w:eastAsia="黑体" w:cs="黑体"/>
          <w:color w:val="000000"/>
          <w:sz w:val="22"/>
          <w:szCs w:val="28"/>
        </w:rPr>
        <w:t>第</w:t>
      </w:r>
      <w:r>
        <w:rPr>
          <w:rFonts w:hint="eastAsia" w:ascii="黑体" w:hAnsi="黑体" w:eastAsia="黑体" w:cs="黑体"/>
          <w:color w:val="000000"/>
          <w:sz w:val="22"/>
          <w:szCs w:val="28"/>
          <w:lang w:val="en-US" w:eastAsia="zh-CN"/>
        </w:rPr>
        <w:t>十</w:t>
      </w:r>
      <w:r>
        <w:rPr>
          <w:rFonts w:hint="eastAsia" w:ascii="黑体" w:hAnsi="黑体" w:eastAsia="黑体" w:cs="黑体"/>
          <w:color w:val="000000"/>
          <w:sz w:val="22"/>
          <w:szCs w:val="28"/>
        </w:rPr>
        <w:t>章 对粮食库存检查的工作指引</w:t>
      </w:r>
    </w:p>
    <w:p>
      <w:pPr>
        <w:pStyle w:val="9"/>
        <w:snapToGrid w:val="0"/>
        <w:spacing w:line="310" w:lineRule="exact"/>
        <w:ind w:firstLineChars="200"/>
        <w:textAlignment w:val="baseline"/>
        <w:rPr>
          <w:rFonts w:hint="eastAsia"/>
          <w:color w:val="000000"/>
        </w:rPr>
      </w:pPr>
      <w:r>
        <w:rPr>
          <w:rFonts w:hint="eastAsia" w:eastAsia="黑体" w:cs="黑体"/>
          <w:color w:val="000000"/>
        </w:rPr>
        <w:t>一、抽查事项</w:t>
      </w:r>
    </w:p>
    <w:p>
      <w:pPr>
        <w:pStyle w:val="9"/>
        <w:snapToGrid w:val="0"/>
        <w:spacing w:line="310" w:lineRule="exact"/>
        <w:ind w:firstLineChars="200"/>
        <w:textAlignment w:val="baseline"/>
        <w:rPr>
          <w:color w:val="000000"/>
        </w:rPr>
      </w:pPr>
      <w:r>
        <w:rPr>
          <w:color w:val="000000"/>
        </w:rPr>
        <w:t>粮食库存检查</w:t>
      </w:r>
    </w:p>
    <w:p>
      <w:pPr>
        <w:pStyle w:val="9"/>
        <w:snapToGrid w:val="0"/>
        <w:spacing w:line="310" w:lineRule="exact"/>
        <w:ind w:firstLineChars="200"/>
        <w:textAlignment w:val="baseline"/>
        <w:rPr>
          <w:rFonts w:hint="eastAsia"/>
          <w:color w:val="000000"/>
        </w:rPr>
      </w:pPr>
      <w:r>
        <w:rPr>
          <w:rFonts w:hint="eastAsia" w:eastAsia="黑体" w:cs="黑体"/>
          <w:color w:val="000000"/>
        </w:rPr>
        <w:t>二、检查内容</w:t>
      </w:r>
    </w:p>
    <w:p>
      <w:pPr>
        <w:pStyle w:val="9"/>
        <w:snapToGrid w:val="0"/>
        <w:spacing w:line="310" w:lineRule="exact"/>
        <w:ind w:firstLineChars="200"/>
        <w:textAlignment w:val="baseline"/>
        <w:rPr>
          <w:color w:val="000000"/>
          <w:lang w:val="en-US"/>
        </w:rPr>
      </w:pPr>
      <w:r>
        <w:rPr>
          <w:color w:val="000000"/>
          <w:lang w:val="en-US"/>
        </w:rPr>
        <w:t>1.粮食库存账实相符、账账相符情况；2.库存粮食质量安全情况。结合落实粮食质量安全属地管理责任，重点检查地方储备粮质量指标、储存品质指标和食品安全指标；3.地方储备粮轮换情况；4.企业安全储粮等情况</w:t>
      </w:r>
      <w:r>
        <w:rPr>
          <w:rFonts w:hint="eastAsia"/>
          <w:color w:val="000000"/>
          <w:lang w:val="en-US"/>
        </w:rPr>
        <w:t>；</w:t>
      </w:r>
      <w:r>
        <w:rPr>
          <w:color w:val="000000"/>
          <w:lang w:val="en-US"/>
        </w:rPr>
        <w:t>5.企业仓储管理等情况；6.其他依法抽查内容。</w:t>
      </w:r>
    </w:p>
    <w:p>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三、检查方法</w:t>
      </w:r>
    </w:p>
    <w:p>
      <w:pPr>
        <w:pStyle w:val="9"/>
        <w:snapToGrid w:val="0"/>
        <w:spacing w:line="310" w:lineRule="exact"/>
        <w:ind w:firstLineChars="200"/>
        <w:textAlignment w:val="baseline"/>
        <w:rPr>
          <w:color w:val="000000"/>
          <w:lang w:val="en-US"/>
        </w:rPr>
      </w:pPr>
      <w:r>
        <w:rPr>
          <w:color w:val="000000"/>
          <w:lang w:val="en-US"/>
        </w:rPr>
        <w:t>采取听取汇报、座谈交流、查看现场、查阅资料等方式进行检查，形成《现场检查记录》，并将检查结果进行公开。</w:t>
      </w:r>
    </w:p>
    <w:p>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四、检查依据</w:t>
      </w:r>
    </w:p>
    <w:p>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1.《粮食流通管理条例》（2021年2月国务院令第740号）</w:t>
      </w:r>
    </w:p>
    <w:p>
      <w:pPr>
        <w:pStyle w:val="9"/>
        <w:snapToGrid w:val="0"/>
        <w:spacing w:line="310" w:lineRule="exact"/>
        <w:ind w:firstLineChars="200"/>
        <w:textAlignment w:val="baseline"/>
        <w:rPr>
          <w:color w:val="000000"/>
          <w:lang w:val="en-US"/>
        </w:rPr>
      </w:pPr>
      <w:r>
        <w:rPr>
          <w:color w:val="000000"/>
          <w:lang w:val="en-US"/>
        </w:rPr>
        <w:t>第三十八条：“粮食和储备行政管理部门依照本条例对粮食经营者从事粮食收购、储存、运输活动和政策性粮食的购销活动，以及执行国家粮食流通统计制度的情况进行监督检查。”</w:t>
      </w:r>
    </w:p>
    <w:p>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2.《粮油仓储管理办法》（2009年12月国家发展和改革委员会令第5号）</w:t>
      </w:r>
    </w:p>
    <w:p>
      <w:pPr>
        <w:pStyle w:val="9"/>
        <w:snapToGrid w:val="0"/>
        <w:spacing w:line="310" w:lineRule="exact"/>
        <w:ind w:firstLineChars="200"/>
        <w:textAlignment w:val="baseline"/>
        <w:rPr>
          <w:color w:val="000000"/>
          <w:lang w:val="en-US"/>
        </w:rPr>
      </w:pPr>
      <w:r>
        <w:rPr>
          <w:color w:val="000000"/>
          <w:lang w:val="en-US"/>
        </w:rPr>
        <w:t>第五条：“县级以上地方人民政府粮食行政管理部门负责本行政区域的粮油仓储监督管理工作。”</w:t>
      </w:r>
    </w:p>
    <w:p>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3.《国有粮油仓储物流设施保护办法》（2016年6月国家发展和改革委员会令第40号）</w:t>
      </w:r>
    </w:p>
    <w:p>
      <w:pPr>
        <w:pStyle w:val="9"/>
        <w:snapToGrid w:val="0"/>
        <w:spacing w:line="310" w:lineRule="exact"/>
        <w:ind w:firstLineChars="200"/>
        <w:textAlignment w:val="baseline"/>
        <w:rPr>
          <w:color w:val="000000"/>
          <w:lang w:val="en-US"/>
        </w:rPr>
      </w:pPr>
      <w:r>
        <w:rPr>
          <w:color w:val="000000"/>
          <w:lang w:val="en-US"/>
        </w:rPr>
        <w:t>第四条：“县级以上地方人民政府粮食行政管理部门负责本行政区域内粮油仓储物流设施保护的行业指导和监督管理，在上级粮食行政管理部门指导和本级人民政府领导下，根据本地区粮食收储供应安全保障需要，细化落实粮油仓储物流设施淘汰、更新及保护措施，会同有关部门组织开展粮油仓储物流设施保护的考核工作。”</w:t>
      </w:r>
    </w:p>
    <w:p>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4.《粮食质量安全监管办法》（2016年9月国家发展和改革委员会令第42号）</w:t>
      </w:r>
    </w:p>
    <w:p>
      <w:pPr>
        <w:pStyle w:val="9"/>
        <w:snapToGrid w:val="0"/>
        <w:spacing w:line="310" w:lineRule="exact"/>
        <w:ind w:firstLineChars="200"/>
        <w:textAlignment w:val="baseline"/>
        <w:rPr>
          <w:color w:val="000000"/>
          <w:lang w:val="en-US"/>
        </w:rPr>
      </w:pPr>
      <w:r>
        <w:rPr>
          <w:color w:val="000000"/>
          <w:lang w:val="en-US"/>
        </w:rPr>
        <w:t>第三条：“县级以上粮食行政管理部门在本级人民政府的统一组织协调下，负责本行政区域粮食收购、储存、运输、加工和销售等经营活动中粮食质量安全的监督管理工作。”</w:t>
      </w:r>
    </w:p>
    <w:p>
      <w:pPr>
        <w:pStyle w:val="9"/>
        <w:spacing w:before="280" w:after="280" w:line="310" w:lineRule="exact"/>
        <w:ind w:firstLine="0"/>
        <w:jc w:val="center"/>
        <w:outlineLvl w:val="1"/>
        <w:rPr>
          <w:rFonts w:hint="eastAsia" w:ascii="黑体" w:hAnsi="黑体" w:eastAsia="黑体" w:cs="黑体"/>
          <w:color w:val="000000"/>
          <w:sz w:val="22"/>
          <w:szCs w:val="28"/>
        </w:rPr>
      </w:pPr>
      <w:r>
        <w:rPr>
          <w:rFonts w:hint="eastAsia" w:ascii="黑体" w:hAnsi="黑体" w:eastAsia="黑体" w:cs="黑体"/>
          <w:color w:val="000000"/>
          <w:sz w:val="22"/>
          <w:szCs w:val="28"/>
        </w:rPr>
        <w:t>第</w:t>
      </w:r>
      <w:r>
        <w:rPr>
          <w:rFonts w:hint="eastAsia" w:ascii="黑体" w:hAnsi="黑体" w:eastAsia="黑体" w:cs="黑体"/>
          <w:color w:val="000000"/>
          <w:sz w:val="22"/>
          <w:szCs w:val="28"/>
          <w:lang w:val="en-US" w:eastAsia="zh-CN"/>
        </w:rPr>
        <w:t>十一</w:t>
      </w:r>
      <w:r>
        <w:rPr>
          <w:rFonts w:hint="eastAsia" w:ascii="黑体" w:hAnsi="黑体" w:eastAsia="黑体" w:cs="黑体"/>
          <w:color w:val="000000"/>
          <w:sz w:val="22"/>
          <w:szCs w:val="28"/>
        </w:rPr>
        <w:t>章 对粮食流通市场监督检查的工作指引</w:t>
      </w:r>
    </w:p>
    <w:p>
      <w:pPr>
        <w:pStyle w:val="9"/>
        <w:snapToGrid w:val="0"/>
        <w:spacing w:line="310" w:lineRule="exact"/>
        <w:ind w:firstLineChars="200"/>
        <w:textAlignment w:val="baseline"/>
        <w:rPr>
          <w:rFonts w:hint="eastAsia"/>
          <w:color w:val="000000"/>
        </w:rPr>
      </w:pPr>
      <w:r>
        <w:rPr>
          <w:rFonts w:hint="eastAsia" w:eastAsia="黑体" w:cs="黑体"/>
          <w:color w:val="000000"/>
        </w:rPr>
        <w:t>一、抽查事项</w:t>
      </w:r>
    </w:p>
    <w:p>
      <w:pPr>
        <w:pStyle w:val="9"/>
        <w:snapToGrid w:val="0"/>
        <w:spacing w:line="310" w:lineRule="exact"/>
        <w:ind w:firstLineChars="200"/>
        <w:textAlignment w:val="baseline"/>
        <w:rPr>
          <w:color w:val="000000"/>
        </w:rPr>
      </w:pPr>
      <w:r>
        <w:rPr>
          <w:color w:val="000000"/>
        </w:rPr>
        <w:t>粮食流通市场监督检查</w:t>
      </w:r>
    </w:p>
    <w:p>
      <w:pPr>
        <w:pStyle w:val="9"/>
        <w:snapToGrid w:val="0"/>
        <w:spacing w:line="310" w:lineRule="exact"/>
        <w:ind w:firstLineChars="200"/>
        <w:textAlignment w:val="baseline"/>
        <w:rPr>
          <w:rFonts w:hint="eastAsia"/>
          <w:color w:val="000000"/>
        </w:rPr>
      </w:pPr>
      <w:r>
        <w:rPr>
          <w:rFonts w:hint="eastAsia" w:eastAsia="黑体" w:cs="黑体"/>
          <w:color w:val="000000"/>
        </w:rPr>
        <w:t>二、检查内容</w:t>
      </w:r>
    </w:p>
    <w:p>
      <w:pPr>
        <w:pStyle w:val="9"/>
        <w:snapToGrid w:val="0"/>
        <w:spacing w:line="310" w:lineRule="exact"/>
        <w:ind w:firstLineChars="200"/>
        <w:textAlignment w:val="baseline"/>
        <w:rPr>
          <w:color w:val="000000"/>
          <w:lang w:val="en-US"/>
        </w:rPr>
      </w:pPr>
      <w:r>
        <w:rPr>
          <w:color w:val="000000"/>
          <w:lang w:val="en-US"/>
        </w:rPr>
        <w:t>1.粮食收购者备案情况；2.粮食收购者执行质量标准情况；3.粮食收购者支付售粮款情况；4.粮食经营者建立台账和报送统计数据情况；5.</w:t>
      </w:r>
      <w:r>
        <w:rPr>
          <w:rFonts w:hint="eastAsia"/>
          <w:color w:val="000000"/>
          <w:lang w:val="en-US"/>
        </w:rPr>
        <w:t>粮食</w:t>
      </w:r>
      <w:r>
        <w:rPr>
          <w:color w:val="000000"/>
          <w:lang w:val="en-US"/>
        </w:rPr>
        <w:t>出库进行质量鉴定情况；6.粮食经营者执行最低最高库存量情况；7.粮食经营者使用仓储设施、运输工具情况；8.其他有关粮食流通的法律、法规、政策及各项规章制度的执行情况。</w:t>
      </w:r>
    </w:p>
    <w:p>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三、检查方法</w:t>
      </w:r>
    </w:p>
    <w:p>
      <w:pPr>
        <w:pStyle w:val="9"/>
        <w:snapToGrid w:val="0"/>
        <w:spacing w:line="310" w:lineRule="exact"/>
        <w:ind w:firstLineChars="200"/>
        <w:textAlignment w:val="baseline"/>
        <w:rPr>
          <w:color w:val="000000"/>
          <w:lang w:val="en-US"/>
        </w:rPr>
      </w:pPr>
      <w:r>
        <w:rPr>
          <w:color w:val="000000"/>
          <w:lang w:val="en-US"/>
        </w:rPr>
        <w:t>采取听取汇报、座谈交流、查看现场、查阅资料等方式进行检查，形成《现场检查记录》，并将检查结果进行公开。</w:t>
      </w:r>
    </w:p>
    <w:p>
      <w:pPr>
        <w:pStyle w:val="9"/>
        <w:snapToGrid w:val="0"/>
        <w:spacing w:line="310" w:lineRule="exact"/>
        <w:ind w:firstLineChars="200"/>
        <w:textAlignment w:val="baseline"/>
        <w:rPr>
          <w:rFonts w:hint="eastAsia"/>
          <w:color w:val="000000"/>
          <w:lang w:val="en-US"/>
        </w:rPr>
      </w:pPr>
      <w:r>
        <w:rPr>
          <w:rFonts w:hint="eastAsia" w:eastAsia="黑体" w:cs="黑体"/>
          <w:color w:val="000000"/>
          <w:lang w:val="en-US"/>
        </w:rPr>
        <w:t>四、检查依据</w:t>
      </w:r>
    </w:p>
    <w:p>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1.《粮食流通管理条例》（2021年2月国务院令第740号）</w:t>
      </w:r>
    </w:p>
    <w:p>
      <w:pPr>
        <w:pStyle w:val="9"/>
        <w:snapToGrid w:val="0"/>
        <w:spacing w:line="310" w:lineRule="exact"/>
        <w:ind w:firstLineChars="200"/>
        <w:textAlignment w:val="baseline"/>
        <w:rPr>
          <w:color w:val="000000"/>
          <w:lang w:val="en-US"/>
        </w:rPr>
      </w:pPr>
      <w:r>
        <w:rPr>
          <w:color w:val="000000"/>
          <w:lang w:val="en-US"/>
        </w:rPr>
        <w:t xml:space="preserve">第三十八条：“粮食和储备行政管理部门依照本条例对粮食经营者从事粮食收购、储存、运输活动和政策性粮食的购销活动，以及执行国家粮食流通统计制度的情况进行监督检查。”  </w:t>
      </w:r>
    </w:p>
    <w:p>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2.《粮油仓储管理办法》（2009年12月国家发展和改革委员会令第5号）</w:t>
      </w:r>
    </w:p>
    <w:p>
      <w:pPr>
        <w:pStyle w:val="9"/>
        <w:snapToGrid w:val="0"/>
        <w:spacing w:line="310" w:lineRule="exact"/>
        <w:ind w:firstLineChars="200"/>
        <w:textAlignment w:val="baseline"/>
        <w:rPr>
          <w:color w:val="000000"/>
          <w:lang w:val="en-US"/>
        </w:rPr>
      </w:pPr>
      <w:r>
        <w:rPr>
          <w:color w:val="000000"/>
          <w:lang w:val="en-US"/>
        </w:rPr>
        <w:t>第五条：“县级以上地方人民政府粮食行政管理部门负责本行政区域的粮油仓储监督管理工作。”</w:t>
      </w:r>
    </w:p>
    <w:p>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3.《国有粮油仓储物流设施保护办法》（2016年6月国家发展和改革委员会令第40号）</w:t>
      </w:r>
    </w:p>
    <w:p>
      <w:pPr>
        <w:pStyle w:val="9"/>
        <w:snapToGrid w:val="0"/>
        <w:spacing w:line="310" w:lineRule="exact"/>
        <w:ind w:firstLineChars="200"/>
        <w:textAlignment w:val="baseline"/>
        <w:rPr>
          <w:color w:val="000000"/>
          <w:lang w:val="en-US"/>
        </w:rPr>
      </w:pPr>
      <w:r>
        <w:rPr>
          <w:color w:val="000000"/>
          <w:lang w:val="en-US"/>
        </w:rPr>
        <w:t xml:space="preserve">第四条：“县级以上地方人民政府粮食行政管理部门负责本行政区域内粮油仓储物流设施保护的行业指导和监督管理，在上级粮食行政管理部门指导和本级人民政府领导下，根据本地区粮食收储供应安全保障需要，细化落实粮油仓储物流设施淘汰、更新及保护措施，会同有关部门组织开展粮油仓储物流设施保护的考核工作。” </w:t>
      </w:r>
    </w:p>
    <w:p>
      <w:pPr>
        <w:pStyle w:val="9"/>
        <w:snapToGrid w:val="0"/>
        <w:spacing w:line="310" w:lineRule="exact"/>
        <w:ind w:firstLineChars="200"/>
        <w:textAlignment w:val="baseline"/>
        <w:rPr>
          <w:rFonts w:hint="eastAsia" w:ascii="楷体_GB2312" w:hAnsi="楷体_GB2312" w:eastAsia="楷体_GB2312" w:cs="楷体_GB2312"/>
          <w:color w:val="000000"/>
          <w:lang w:val="en-US"/>
        </w:rPr>
      </w:pPr>
      <w:r>
        <w:rPr>
          <w:rFonts w:hint="eastAsia" w:ascii="楷体_GB2312" w:hAnsi="楷体_GB2312" w:eastAsia="楷体_GB2312" w:cs="楷体_GB2312"/>
          <w:color w:val="000000"/>
          <w:lang w:val="en-US"/>
        </w:rPr>
        <w:t>4.《粮食质量安全监管办法》（2016年9月国家发展和改革委员会令第42号）</w:t>
      </w:r>
    </w:p>
    <w:p>
      <w:pPr>
        <w:pStyle w:val="9"/>
        <w:snapToGrid w:val="0"/>
        <w:spacing w:line="310" w:lineRule="exact"/>
        <w:ind w:firstLineChars="200"/>
        <w:textAlignment w:val="baseline"/>
        <w:rPr>
          <w:rFonts w:hint="eastAsia"/>
          <w:color w:val="000000"/>
          <w:lang w:val="en-US"/>
        </w:rPr>
      </w:pPr>
      <w:r>
        <w:rPr>
          <w:color w:val="000000"/>
          <w:lang w:val="en-US"/>
        </w:rPr>
        <w:t>第三条：“县级以上粮食行政管理部门在本级人民政府的统一组织协调下，负责本行政区域粮食收购、储存、运输、加工和销售等经营活动中粮食质量安全的监督管理工作</w:t>
      </w:r>
      <w:r>
        <w:rPr>
          <w:rFonts w:hint="eastAsia"/>
          <w:color w:val="000000"/>
          <w:lang w:val="en-US"/>
        </w:rPr>
        <w:t>。”</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仿宋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NTQzMTEwZWQ3OGViMmQ4MzllYzIxZWE5ODc5ZTIifQ=="/>
  </w:docVars>
  <w:rsids>
    <w:rsidRoot w:val="15C51641"/>
    <w:rsid w:val="0027349C"/>
    <w:rsid w:val="15C51641"/>
    <w:rsid w:val="1AF16A50"/>
    <w:rsid w:val="2D323BD0"/>
    <w:rsid w:val="31F60B92"/>
    <w:rsid w:val="55B037E9"/>
    <w:rsid w:val="798175E5"/>
    <w:rsid w:val="F6FB7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Heading #1|1"/>
    <w:basedOn w:val="1"/>
    <w:qFormat/>
    <w:uiPriority w:val="0"/>
    <w:pPr>
      <w:spacing w:before="950" w:after="500"/>
      <w:jc w:val="center"/>
      <w:outlineLvl w:val="0"/>
    </w:pPr>
    <w:rPr>
      <w:rFonts w:ascii="宋体" w:hAnsi="宋体" w:cs="宋体"/>
      <w:kern w:val="0"/>
      <w:sz w:val="34"/>
      <w:szCs w:val="34"/>
      <w:lang w:val="zh-CN" w:bidi="zh-CN"/>
    </w:rPr>
  </w:style>
  <w:style w:type="paragraph" w:customStyle="1" w:styleId="8">
    <w:name w:val="Heading #2|1"/>
    <w:basedOn w:val="1"/>
    <w:qFormat/>
    <w:uiPriority w:val="0"/>
    <w:pPr>
      <w:spacing w:after="290"/>
      <w:jc w:val="center"/>
      <w:outlineLvl w:val="1"/>
    </w:pPr>
    <w:rPr>
      <w:rFonts w:ascii="宋体" w:hAnsi="宋体" w:cs="宋体"/>
      <w:kern w:val="0"/>
      <w:sz w:val="22"/>
      <w:szCs w:val="20"/>
      <w:lang w:val="zh-CN" w:bidi="zh-CN"/>
    </w:rPr>
  </w:style>
  <w:style w:type="paragraph" w:customStyle="1" w:styleId="9">
    <w:name w:val="Body text|1"/>
    <w:basedOn w:val="1"/>
    <w:qFormat/>
    <w:uiPriority w:val="0"/>
    <w:pPr>
      <w:spacing w:line="319" w:lineRule="auto"/>
      <w:ind w:firstLine="400"/>
      <w:jc w:val="left"/>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9076</Words>
  <Characters>9251</Characters>
  <Lines>0</Lines>
  <Paragraphs>0</Paragraphs>
  <TotalTime>2</TotalTime>
  <ScaleCrop>false</ScaleCrop>
  <LinksUpToDate>false</LinksUpToDate>
  <CharactersWithSpaces>9309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2022-01-14T15:55:00Z</dcterms:created>
  <dc:creator>msswz</dc:creator>
  <cp:lastModifiedBy>user</cp:lastModifiedBy>
  <dcterms:modified xsi:type="dcterms:W3CDTF">2023-04-04T09:44:56Z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69DAEF1E36844C6491BEDEC9B133CAAA</vt:lpwstr>
  </property>
</Properties>
</file>