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eastAsia="方正小标宋_GBK" w:cs="Times New Roman"/>
          <w:color w:val="auto"/>
          <w:sz w:val="44"/>
          <w:szCs w:val="44"/>
          <w:lang w:eastAsia="zh-CN"/>
        </w:rPr>
      </w:pPr>
      <w:bookmarkStart w:id="0" w:name="bookmark8"/>
      <w:bookmarkStart w:id="1" w:name="bookmark7"/>
      <w:bookmarkStart w:id="2" w:name="bookmark9"/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淄博市公安局淄川分局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2025年度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“双随机、一公开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”</w:t>
      </w:r>
      <w:bookmarkEnd w:id="0"/>
      <w:bookmarkEnd w:id="1"/>
      <w:bookmarkEnd w:id="2"/>
      <w:r>
        <w:rPr>
          <w:rFonts w:hint="eastAsia" w:eastAsia="方正小标宋_GBK" w:cs="Times New Roman"/>
          <w:color w:val="auto"/>
          <w:sz w:val="44"/>
          <w:szCs w:val="44"/>
          <w:lang w:eastAsia="zh-CN"/>
        </w:rPr>
        <w:t>监管工作指引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textAlignment w:val="auto"/>
        <w:outlineLvl w:val="9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            </w:t>
      </w:r>
      <w:bookmarkStart w:id="5" w:name="_GoBack"/>
      <w:bookmarkEnd w:id="5"/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2880" w:firstLineChars="90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第一章总则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为深入贯彻落实党中央、国务院关于“放管服”改革部署，按照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省市区和省厅、市局关于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深化“一次办好”改革要求，以问题和需求为导向，以公平公正公开监管为遵循，以监管效能最大化、监管成本最优化、对守法市场主体干扰最小化为目标，转变监管理念，创新监管方式，规范事中事后监管，在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全区公安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系统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推行“双随机、一公开”监管，结合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分局作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实际，制定本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工作指引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  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本指引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所称“双随机、一公开”监管是指在依法实施监督检查时，随机抽取被检查对象、随机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匹配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执法检查人员、检查情况及查处结果及时向社会公开的工作方式。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本指引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适用于对列入抽查事项清单监管事项的监管工作。上述事项原则上不再部署专项检查和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“全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覆盖”式巡查。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下列情形不适用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“双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随机、一公开”抽查：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涉及重点领域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、重大公共安全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等未列入当前执行的随机抽查事项清单的；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（二）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各级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人民政府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和上级公安机关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对监督检查有专门要求或重点工作部署的；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受理投诉举报、大数据监测、依法履职过程中发现涉嫌违法违规行为，依法应当进行监督检查的；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转办、交办、督办案件的；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突发性事件的；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其它不适用随机抽查的检查事项。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“双随机、一公开”工作应当依法实施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统筹安排、协同推进，按照“谁检查、谁反馈，谁抽查、谁公示”的原则，公平公正、公开透明、简约高效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的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开展监督检查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分局治安大队牵头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负责组织、开展、落实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分局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“双随机、一公开”工作。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“双随机、一公开”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监管实行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全流程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电子化管理，依托省政府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“双随机、一公开”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监管平台实施，确保高效便捷、责任可溯。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第二章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统一“一单两库”建设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bookmarkStart w:id="3" w:name="bookmark24"/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根据法律、法规、规章规定，结合监管工作实际，建立完善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分局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“双随机、一公开”监管随机抽查事项清单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。清单明确抽查事项、检查对象、事项类别、检查方式、检查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主体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和检查依据等要素。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并根据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实际情况，对抽查事项清单适时动态调整，并及时公布调整情况。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清单中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随机抽查事项分重点检查事项和一般检查事项。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重点检查事项针对涉及安全、公共利益等领域，抽查比例不设上限。一般检查事项针对一般监管领域，抽查比例应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严格进行限制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分局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各有关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警种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部门双随机抽查覆盖检查对象比例不低于 5%，跨部门联合抽查次数不低于总抽查次数的10%,抽查频次根据监管需要由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分局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确定。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根据法律、法规、规章，按照“谁主管、谁监管”“谁管辖、谁维护”的原则，分别建立健全覆盖本层级、与抽查事项相对应的“检查对象名录库和执法检查人员名录库”（以下简称“两库”），并导入省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“双随机、一公开”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监管平台，同时要根据检查对象和执法检查人员变动情况，及时进行动态管理。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bookmarkEnd w:id="3"/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第三章 制定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抽查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计划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第十条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科学制定“双随机、一公开”年度抽查计划，将其纳入年度监督检查计划内容一并实施，通过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互联网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门户网站、向社会公开，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根据工作实际进行动态调整。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第十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全区公安机关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建立联合执法检查工作机制，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对检查对象一致或相近的事项，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积极开展联合行政执法检查。除重点领域或者特殊情况外，在同一年度内不得对已检查合格的事项重复进行行政执法检查。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分局各警种部门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每年应至少发起或参与一次部门联合抽查。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第十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年度抽查工作计划应当明确各项抽查的范围、时间安排和预估数量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抽查比例等要求。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第四章 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抽查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任务设置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抽取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第十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分局各警种部门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执行抽查计划时，应当在“双随机、一公开”监管平台中预先设置任务，按照“双随机、一公开”监管工作要求随机抽取检查对象、随机抽取检查人员。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联合抽查由年度计划中明确的发起部门具体组织实施，发起部门按照抽查计划，在“双随机、一公开”监管平台中设置联合抽查任务，明确任务名称、执行时间、参与检查的具体部门等事宜。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第十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随机抽取检查对象，经确认锁定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并选择下发名单后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即通过“双随机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、一公开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”监管平台派发至各对应的任务执行单位执行，同时自动在“双随机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、一公开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”监管平台发布抽查任务公告。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第十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各任务执行单位结合本辖区实际情况，在“双随机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、一公开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”监管平台中查看任务要求及具体检查对象名单，并进行检查人员的匹配操作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科学选择随机抽取检查人员。每个检查对象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应安排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不少于2名检查人员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检查人员组成检查组，选定1人为组长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，制定具体检查工作方案，明确责任分工、程序规范、时间节点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行政执法检查涉及专业领域的，可依法委托第三方开展工作，或依法采用相关机构作出的鉴定结论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部门联合抽查，由任务发起部门的执法检查人员任组长，负责该次检查任务实施期间的组织协调管理，统一安排检查日程、检查方式，组织实施联合检查。其他组员应当配合、服从组长安排，分工协作完成检查任务。</w:t>
      </w:r>
    </w:p>
    <w:p>
      <w:pPr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eastAsia="zh-CN"/>
        </w:rPr>
        <w:t>十六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抽取的检查人员原则上不得更换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确因工作岗位调整、工作冲突、身体健康状况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、执行回避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等特殊情况无法继续履行检查任务的，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经本部门分管负责人同意后，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可以调整更换。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调整更换人员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在具备执法资格的其他人员中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随机抽取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。人员与检查对象有利害关系的，应当申请回避。</w:t>
      </w:r>
    </w:p>
    <w:p>
      <w:pPr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第五章 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抽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查任务执行</w:t>
      </w:r>
    </w:p>
    <w:p>
      <w:pPr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十七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 xml:space="preserve">条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“双随机、一公开”检查可以根据实际情况，依法采取查阅资料、实地核查、网络监测等方式实施。</w:t>
      </w:r>
    </w:p>
    <w:p>
      <w:pPr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十八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 xml:space="preserve">条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检查活动按照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 w:eastAsia="zh-CN"/>
        </w:rPr>
        <w:t>“进一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次门、查多项事”的要求开展，执法检查人员应当严格对照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法律法规和上级业务主管部门制定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的业务标准开展检查活动，依法履行本部门监督检查职责，对被检查对象要一次性完成本次联合抽查事项清单中所有检查工作。</w:t>
      </w:r>
    </w:p>
    <w:p>
      <w:pPr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十九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检查中发现违法违规等异常情况的，视情采取制作现场笔录、初步提取证据、责令当事人停止违法违规活动、督促当事人整改等相应监管措施。</w:t>
      </w:r>
    </w:p>
    <w:p>
      <w:pPr>
        <w:widowControl w:val="0"/>
        <w:shd w:val="clear" w:color="auto" w:fill="auto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二十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 xml:space="preserve">条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落实行政执法全过程记录制度，对现场检查、陈述申辩、权利告知等行政执法检查过程要制作完整的行政执法检查文书，重要的行政执法检查环节要利用音频、视频等电子技术手段进行记录。</w:t>
      </w:r>
      <w:bookmarkStart w:id="4" w:name="bookmark30"/>
    </w:p>
    <w:p>
      <w:pPr>
        <w:widowControl w:val="0"/>
        <w:wordWrap/>
        <w:adjustRightInd/>
        <w:snapToGrid/>
        <w:spacing w:before="0" w:after="0" w:line="60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第六章 </w:t>
      </w:r>
      <w:r>
        <w:rPr>
          <w:rFonts w:hint="eastAsia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抽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查结果公示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val="en-US" w:eastAsia="zh-CN"/>
        </w:rPr>
        <w:t>二十一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按照“谁检查、谁录入、谁公开”的原则，除依法依规不予公开的情形外，在抽查检查任务结束后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个工作日内，将检查结果录入“双随机、一公开”监管平台，通过公示系统公示。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检查结果一经公示，不得擅自更改。但事后发现检查结果确有错误的，经任务执行单位主要负责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签字确认后及时更改。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被检查对象对检查结果有异议的，任务执行单位在接到申请材料之日起20个工作日内进行复核，经复核确有错误的予以更正。复核情况自作出复查结果后15个工作日内反馈被检查对象。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第二十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 xml:space="preserve"> 抽查事项清单公告、年度抽查计划公示、抽查任务发起、检查对象名单抽取和派发、检查人员匹配、具体检查任务下达、检查结果录入审核和公示及后续处置与管理等各个环节，原则上均在“双随机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、一公开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”监管平台操作，确保全过程留痕，责任可溯。</w:t>
      </w:r>
      <w:bookmarkEnd w:id="4"/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643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第</w:t>
      </w:r>
      <w:r>
        <w:rPr>
          <w:rFonts w:hint="eastAsia" w:eastAsia="楷体" w:cs="Times New Roman"/>
          <w:b/>
          <w:bCs/>
          <w:color w:val="auto"/>
          <w:sz w:val="32"/>
          <w:szCs w:val="32"/>
          <w:lang w:val="en-US" w:eastAsia="zh-CN"/>
        </w:rPr>
        <w:t>二十三</w:t>
      </w:r>
      <w:r>
        <w:rPr>
          <w:rFonts w:hint="default" w:ascii="Times New Roman" w:hAnsi="Times New Roman" w:eastAsia="楷体" w:cs="Times New Roman"/>
          <w:b/>
          <w:bCs/>
          <w:color w:val="auto"/>
          <w:sz w:val="32"/>
          <w:szCs w:val="32"/>
          <w:lang w:val="en-US" w:eastAsia="zh-CN"/>
        </w:rPr>
        <w:t>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本工作指引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由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分局治安大队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负责解释。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spacing w:line="1" w:lineRule="exact"/>
    </w:pPr>
    <w:r>
      <w:rPr>
        <w:rFonts w:ascii="Times New Roman" w:hAnsi="Times New Roman" w:eastAsia="Times New Roman" w:cs="Times New Roman"/>
        <w:color w:val="000000"/>
        <w:spacing w:val="0"/>
        <w:w w:val="100"/>
        <w:position w:val="0"/>
        <w:sz w:val="24"/>
        <w:szCs w:val="24"/>
        <w:shd w:val="clear" w:color="auto" w:fill="auto"/>
        <w:lang w:val="en-US" w:eastAsia="en-US" w:bidi="en-US"/>
      </w:rPr>
      <w:pict>
        <v:rect id="文本框 3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 w:eastAsia="宋体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separate"/>
                </w:r>
                <w:r>
                  <w:rPr>
                    <w:rFonts w:hint="eastAsia" w:eastAsia="宋体"/>
                    <w:sz w:val="18"/>
                    <w:lang w:eastAsia="zh-CN"/>
                  </w:rPr>
                  <w:t>1</w:t>
                </w:r>
                <w:r>
                  <w:rPr>
                    <w:rFonts w:hint="eastAsia" w:eastAsia="宋体"/>
                    <w:sz w:val="18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9E62CE9"/>
    <w:rsid w:val="0982362A"/>
    <w:rsid w:val="13293D3F"/>
    <w:rsid w:val="30BB5C59"/>
    <w:rsid w:val="360F05B6"/>
    <w:rsid w:val="3E1B1A6D"/>
    <w:rsid w:val="4738054C"/>
    <w:rsid w:val="48962FCF"/>
    <w:rsid w:val="49280E9E"/>
    <w:rsid w:val="49C40EFA"/>
    <w:rsid w:val="49E62CE9"/>
    <w:rsid w:val="4BD353F5"/>
    <w:rsid w:val="514744F1"/>
    <w:rsid w:val="606862E1"/>
    <w:rsid w:val="631F19E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500" w:line="55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before="50" w:after="690" w:line="317" w:lineRule="auto"/>
    </w:pPr>
    <w:rPr>
      <w:b/>
      <w:bCs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山东省公安厅</Company>
  <Pages>1</Pages>
  <Words>0</Words>
  <Characters>0</Characters>
  <Lines>0</Lines>
  <Paragraphs>0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2021-09-03T03:04:00Z</dcterms:created>
  <dc:creator>田淼</dc:creator>
  <cp:lastModifiedBy>Administrator</cp:lastModifiedBy>
  <cp:lastPrinted>2021-11-02T22:04:00Z</cp:lastPrinted>
  <dcterms:modified xsi:type="dcterms:W3CDTF">2025-06-12T01:48:56Z</dcterms:modified>
  <dc:title>淄博市公安局淄川分局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