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组织申报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度智能化技术改造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优秀案例和技术改造示范项目的通知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镇、街道、开发区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淄川区人民政府《关于印发淄川厚植本土企业优势十条政策的通知》要求，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现组织开展2023年度智能化技术改造优秀案例和技术改造示范项目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，拟评选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10个智能化技术改造优秀案例和10个技术改造示范项目，有关事项通知如下：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符合《关于印发淄川厚植本土企业优势十条政策的通知》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要求的申报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范围。淄川区202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年在建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或已完工的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技术改造项目，项目已纳入统计部门固定资产投资技改项目库，并取得了相应的技改效果。优先支持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装备、新医药、新材料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、新基建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产业和建材建陶建筑、纺织服装产业两大优势产业技术改造项目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资源型企业实施的技术改造项目除外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往年成功申报该政策的项目不再支持申报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单个项目不能重复申报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智能化技改案例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技术改造示范项目，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每家企业申报项目数量原则上不超过2个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二、支持方式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入选10个智能化技术改造优秀案例和10个技术改造示范项目，分别奖励30万元和15万元。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申报区智能化技术改造优秀案例和技术改造示范项目的企业须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淄川区行政区域内注册、具有独立法人资格的工业企业。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项目已纳入统计部门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2023年度技改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投资项目库。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取得了备案或核准文件。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项目符合财政涉企资金“绿色门槛”相关要求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年12月31日期间，项目承担企业无不良信用记录，信用中国（山东）查询为准。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（一）智能化技术改造优秀案例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智能化技术改造项目。企业通过智能化技术改造取得了显著效益，具有行业推广价值，重点包括对设备、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产线、车间、工厂进行智能化、数字化、信息化、自动化改造等智能化技术改造优秀案例。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1000万元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（以统计口径认定为准），并产生明显经济效益。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（二）技术改造示范项目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 技术改造项目具有示范作用。企业通过技术改造在优化提升技术工艺、优化拓展产品体系、优化提高产品质量、优化完善产业链条、优化提升经济效益“五个优化”方面效果显著，具有较强的示范推广价值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投资原则上不低于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500万元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（以统计口径认定为准），产生明显经济效益。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申报材料及申报程序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凡符合申报条件的项目，项目实施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按照通知要求编制提报申报材料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，所在镇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街道、开发区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进行初审，并对初审结果负责，初审合格后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镇（街道、开发区）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连同企业申报材料纸质版一并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区工信局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含附件1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同时报送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PDF电子版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根据有关标准对上报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进行评审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截止日期202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马佐 叶思思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5181209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xmb5181209@zb.shandong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cn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年度淄川区智能化技术改造优秀案例和技术改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造示范项目汇总表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年度淄川区智能化技术改造优秀案例和技术改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造示范项目申报材料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年度淄川区智能化技术改造优秀案例和技术改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造示范项目申报材料清单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年度淄川区智能化技术改造优秀案例和技术改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造示范项目申报企业承诺书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0" w:rightChars="0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川区工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业和信息化局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right" w:leader="underscore" w:pos="756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AAF59"/>
    <w:multiLevelType w:val="singleLevel"/>
    <w:tmpl w:val="9EEAAF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GUwOGZmODE1MDIwMGRlZjk2YmJmYmFjODdiYWQifQ==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26D86"/>
    <w:rsid w:val="00255EF3"/>
    <w:rsid w:val="002A21C8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E90DBA"/>
    <w:rsid w:val="00FA7A76"/>
    <w:rsid w:val="00FD178A"/>
    <w:rsid w:val="00FE0AE6"/>
    <w:rsid w:val="01C04E4F"/>
    <w:rsid w:val="01E20928"/>
    <w:rsid w:val="01EB6C9C"/>
    <w:rsid w:val="02D05D23"/>
    <w:rsid w:val="02DA6C7E"/>
    <w:rsid w:val="049176FF"/>
    <w:rsid w:val="04BA01FF"/>
    <w:rsid w:val="04FB47DB"/>
    <w:rsid w:val="05E33D69"/>
    <w:rsid w:val="06FE4050"/>
    <w:rsid w:val="072A7934"/>
    <w:rsid w:val="072D70BA"/>
    <w:rsid w:val="0764585D"/>
    <w:rsid w:val="07CA335B"/>
    <w:rsid w:val="07FC7B78"/>
    <w:rsid w:val="081D6A11"/>
    <w:rsid w:val="091302AF"/>
    <w:rsid w:val="099217C1"/>
    <w:rsid w:val="0A0561CE"/>
    <w:rsid w:val="0A2E1547"/>
    <w:rsid w:val="0A4E26E4"/>
    <w:rsid w:val="0CDD5F13"/>
    <w:rsid w:val="0E946176"/>
    <w:rsid w:val="0F11456A"/>
    <w:rsid w:val="109B5DBD"/>
    <w:rsid w:val="1136197B"/>
    <w:rsid w:val="11840457"/>
    <w:rsid w:val="12AE54A5"/>
    <w:rsid w:val="13217E12"/>
    <w:rsid w:val="13B11191"/>
    <w:rsid w:val="147470FC"/>
    <w:rsid w:val="14860174"/>
    <w:rsid w:val="14C0109F"/>
    <w:rsid w:val="152105EC"/>
    <w:rsid w:val="16104223"/>
    <w:rsid w:val="16D72CE1"/>
    <w:rsid w:val="186A0605"/>
    <w:rsid w:val="192D693B"/>
    <w:rsid w:val="1A39348B"/>
    <w:rsid w:val="1BFC56B5"/>
    <w:rsid w:val="1CB515F6"/>
    <w:rsid w:val="1CEA2ACF"/>
    <w:rsid w:val="1D2C197F"/>
    <w:rsid w:val="1E4A3C59"/>
    <w:rsid w:val="1ED00A6F"/>
    <w:rsid w:val="1FE79AAA"/>
    <w:rsid w:val="1FF94356"/>
    <w:rsid w:val="20422703"/>
    <w:rsid w:val="211D0BDF"/>
    <w:rsid w:val="21287EA6"/>
    <w:rsid w:val="22CA2375"/>
    <w:rsid w:val="22F83162"/>
    <w:rsid w:val="23F721D0"/>
    <w:rsid w:val="27AD71A7"/>
    <w:rsid w:val="2811796B"/>
    <w:rsid w:val="28D10C1C"/>
    <w:rsid w:val="28E052C6"/>
    <w:rsid w:val="29404A2E"/>
    <w:rsid w:val="2B3A08A4"/>
    <w:rsid w:val="2B805B65"/>
    <w:rsid w:val="2CB966E5"/>
    <w:rsid w:val="2DFE3CE9"/>
    <w:rsid w:val="2E8D5E2B"/>
    <w:rsid w:val="3046077B"/>
    <w:rsid w:val="31983D3C"/>
    <w:rsid w:val="31DA6994"/>
    <w:rsid w:val="340675FC"/>
    <w:rsid w:val="35677909"/>
    <w:rsid w:val="35A04BBF"/>
    <w:rsid w:val="36BC3F36"/>
    <w:rsid w:val="396D5617"/>
    <w:rsid w:val="39871A3C"/>
    <w:rsid w:val="39EF869E"/>
    <w:rsid w:val="3A7D619A"/>
    <w:rsid w:val="3C2765AA"/>
    <w:rsid w:val="3C335C3C"/>
    <w:rsid w:val="3C347559"/>
    <w:rsid w:val="3D0026BE"/>
    <w:rsid w:val="3DF40390"/>
    <w:rsid w:val="3E265E94"/>
    <w:rsid w:val="3FDB7C09"/>
    <w:rsid w:val="410237A7"/>
    <w:rsid w:val="418039C6"/>
    <w:rsid w:val="41FF1C3F"/>
    <w:rsid w:val="42745BF2"/>
    <w:rsid w:val="431F4E8C"/>
    <w:rsid w:val="45464BD5"/>
    <w:rsid w:val="47363388"/>
    <w:rsid w:val="4969146D"/>
    <w:rsid w:val="4A435D4F"/>
    <w:rsid w:val="4B8A33E0"/>
    <w:rsid w:val="4BA16207"/>
    <w:rsid w:val="4DBE72D0"/>
    <w:rsid w:val="4DDC67CC"/>
    <w:rsid w:val="4FE04BE7"/>
    <w:rsid w:val="51571AC4"/>
    <w:rsid w:val="515C7DA1"/>
    <w:rsid w:val="518B5EA5"/>
    <w:rsid w:val="51E67F9B"/>
    <w:rsid w:val="534E6F38"/>
    <w:rsid w:val="535E583D"/>
    <w:rsid w:val="53BAF08C"/>
    <w:rsid w:val="54DC0547"/>
    <w:rsid w:val="557F78C7"/>
    <w:rsid w:val="559B538F"/>
    <w:rsid w:val="560F103D"/>
    <w:rsid w:val="56163FF5"/>
    <w:rsid w:val="570E2963"/>
    <w:rsid w:val="57326FEF"/>
    <w:rsid w:val="585D4C83"/>
    <w:rsid w:val="59AE230D"/>
    <w:rsid w:val="59E047B8"/>
    <w:rsid w:val="5A6235D2"/>
    <w:rsid w:val="5AF16BAF"/>
    <w:rsid w:val="5B2F2F6A"/>
    <w:rsid w:val="5BED333F"/>
    <w:rsid w:val="5C683FC9"/>
    <w:rsid w:val="5C802540"/>
    <w:rsid w:val="5C910A31"/>
    <w:rsid w:val="5D674389"/>
    <w:rsid w:val="5DC945AC"/>
    <w:rsid w:val="5DD3478D"/>
    <w:rsid w:val="5DE175EA"/>
    <w:rsid w:val="603D5158"/>
    <w:rsid w:val="60886246"/>
    <w:rsid w:val="60B82A30"/>
    <w:rsid w:val="6127036A"/>
    <w:rsid w:val="624455F7"/>
    <w:rsid w:val="625A5492"/>
    <w:rsid w:val="644F4FF3"/>
    <w:rsid w:val="64955040"/>
    <w:rsid w:val="66D90F0D"/>
    <w:rsid w:val="67140294"/>
    <w:rsid w:val="67291A0A"/>
    <w:rsid w:val="672E00FD"/>
    <w:rsid w:val="67D6379C"/>
    <w:rsid w:val="68FE4FF2"/>
    <w:rsid w:val="69013515"/>
    <w:rsid w:val="69BA3375"/>
    <w:rsid w:val="69D5044A"/>
    <w:rsid w:val="6AEC20B0"/>
    <w:rsid w:val="6BD51775"/>
    <w:rsid w:val="6BDA480A"/>
    <w:rsid w:val="6CC555A6"/>
    <w:rsid w:val="6DA37546"/>
    <w:rsid w:val="6FF877F6"/>
    <w:rsid w:val="70311913"/>
    <w:rsid w:val="70881DDB"/>
    <w:rsid w:val="719C71F0"/>
    <w:rsid w:val="72737B91"/>
    <w:rsid w:val="729C53BC"/>
    <w:rsid w:val="737E5378"/>
    <w:rsid w:val="740A4661"/>
    <w:rsid w:val="74677C12"/>
    <w:rsid w:val="74A956B1"/>
    <w:rsid w:val="763D1D6E"/>
    <w:rsid w:val="76F807AE"/>
    <w:rsid w:val="77822FF8"/>
    <w:rsid w:val="77F075DB"/>
    <w:rsid w:val="794E491F"/>
    <w:rsid w:val="7ACE795E"/>
    <w:rsid w:val="7C0C6A00"/>
    <w:rsid w:val="7D2309ED"/>
    <w:rsid w:val="7DBA10E7"/>
    <w:rsid w:val="7E225537"/>
    <w:rsid w:val="7EB7181C"/>
    <w:rsid w:val="7EF778D7"/>
    <w:rsid w:val="7FEF4849"/>
    <w:rsid w:val="7FFF668D"/>
    <w:rsid w:val="85334CE8"/>
    <w:rsid w:val="9EEFFCA3"/>
    <w:rsid w:val="B5F78D62"/>
    <w:rsid w:val="DD5E776E"/>
    <w:rsid w:val="DFD73EBC"/>
    <w:rsid w:val="F7F6D639"/>
    <w:rsid w:val="FFAD8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600" w:lineRule="exact"/>
      <w:jc w:val="center"/>
      <w:outlineLvl w:val="0"/>
    </w:pPr>
    <w:rPr>
      <w:rFonts w:ascii="黑体" w:hAnsi="黑体" w:eastAsia="黑体" w:cs="黑体"/>
      <w:sz w:val="30"/>
      <w:szCs w:val="20"/>
    </w:rPr>
  </w:style>
  <w:style w:type="paragraph" w:styleId="3">
    <w:name w:val="heading 3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Plain Text"/>
    <w:basedOn w:val="1"/>
    <w:autoRedefine/>
    <w:qFormat/>
    <w:uiPriority w:val="99"/>
    <w:rPr>
      <w:rFonts w:ascii="宋体" w:hAnsi="Courier New" w:cs="宋体"/>
      <w:kern w:val="0"/>
      <w:sz w:val="20"/>
      <w:szCs w:val="20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1276</Words>
  <Characters>1377</Characters>
  <Lines>0</Lines>
  <Paragraphs>0</Paragraphs>
  <TotalTime>32</TotalTime>
  <ScaleCrop>false</ScaleCrop>
  <LinksUpToDate>false</LinksUpToDate>
  <CharactersWithSpaces>1419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2020-11-12T16:08:00Z</dcterms:created>
  <dc:creator>刘超</dc:creator>
  <cp:lastModifiedBy>YS</cp:lastModifiedBy>
  <cp:lastPrinted>2023-01-04T01:18:00Z</cp:lastPrinted>
  <dcterms:modified xsi:type="dcterms:W3CDTF">2024-01-04T23:35:41Z</dcterms:modified>
  <dc:title>淄工信改字〔2021〕3号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5C35B443957B4A569A73197F184E201B</vt:lpwstr>
  </property>
</Properties>
</file>