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</w:t>
      </w:r>
      <w:r>
        <w:rPr>
          <w:rFonts w:hint="eastAsia"/>
        </w:rPr>
        <w:t xml:space="preserve">     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6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2022042614343382323514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关于新冠疫情背景下，把我区建设成为新型消费城市的建议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20220070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曾宪锋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2022-01-16 03:25:13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近年来,我国以网络购物、移动支付等新业态新模式为特征的新型消费迅速发展，特别是新冠肺炎疫情发生以来,线下传统消费受到影响,新型消费发挥了重要作用,在有效保障居民日常生活需要,推动国内消费市场企稳回升,促进国内经济大循环方面起到了十分重要的作用。因此,新冠肺炎疫情背景下，在我区建设新型消费城市对于持续激发消费活力,促进线上线下消费深度融合,实现新型消费快速发展具有重要意义。我区消费市场发展还存在以下一些困难和问题,如:电商产业基础相对薄弱、头部电商平台存在短板、电商企业培育力度还需加强等,在重点零售业方面仍以建材、服装、医药等传统销售为主,龙头项目和新兴业态企业还需补强。着重于线上和线下两个载体的深度融合,建立健全“互联网+服务”,从基础设施建设、互联网经济建设等方面为抓手,着手推进建设。新型消费城市的建设是一项系统性工程,需要政府各个部门的引导和社会各界的参与,建议区商务局及区发改、工信等职能部门围绕新冠肺炎疫情背景下，促进新型消费快速发展,重点做好以下工作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现场图片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一、加快推进5G建设。综合协调5G基础建设、项目应用、政策保障等工作,实际解决公共资源开放、入场难等问题。进一步打造低时延、高可靠、广覆盖的新一代通信网络, 加快建设千兆城市,推动城市信息模型(CIM)基础平台建设, 支持城市规划建设管理多场景应用,促进城市基础设施数字化和城市建设数据汇聚;与相关方面建立沟通协调机制,通过发挥5G建设联席会议制度综合协调的优势,协助通信运营商解决5G建设过程中的痛点、难点问题,抓紧推进和部署5G站址建设,加快村5G通信网络覆盖步伐。二、推进工业互联网经济建设。一方面继续积极推进工业互联网建设。通过政策引领、服务对接,培育智能制造和工业互联网支撑主体,合力打造我区工业互联网生态体系。继续大力扶持功力机器“电机工业互联网平台”、东华“工业大脑”、齐鲁云商,导入优质服务商和产品,打造我区工业互联网示范平台,建设我区工业互联网典型案例资源池,助力企业智能化改造。同时加快我区数字经济产业培育。成立数字经济产业链小组,重点绘制"产业链条图"、"重点项目图"、"重点企业图"和"重点招引图"四张图谱,形成数字经济产业链数据库,服务全区产业链发展。大力招引数字经济相关项目,聚焦数字经济重点领域技术研发与应用转化,全面布局我区数字经济产业发展。三、培育消费新业态新模式。目前电商行业发展进入成熟期,各类电商平台综合服务能力愈加突出,B2C电商能从平台品控、物流配送等方面更好服务用户,未来其作为电商行业主流的情况仍将持续,我区应继续培育壮大本区电商平台,建立健全"互联网+服务"、电子商务公 共服务平台,加快社会服务在线对接、线上线下深度融合。积极发展互联网健康医疗服务,深入发展在线文娱,支持互联网企业打造数字精品内容创作和新兴数字资源传播平台, 形成多元化的商业模式,加快智慧广电生态体系建设。加强引导实体企业开发数字化产品和服务,鼓励实体商业通过直播电子商务、社交营销开启"云逛街"等新模式。积极探索发展"智慧街区"、"智慧商圈",完善社区便民消费设施,打造我区独具特色的区域性消费中心。四、加大新型消费政策支持力度。商务局要用足用好商务发展扶持资金,鼓励和引导发展新型消费产业。支持省级电商示范创建、电子商务进农村、数字商务进杜区等工作, 推进电商服务业发展和人才培训;支持现代商贸流通体系建设,推动商贸物流标准化和城乡高效配送;支持商业区改造提升,促进老字号传承创新;支持绿色商场创建;支持农贸市场改造升级、社区商业和乡镇商贸中心建设;支持商品流通管理体系建设;支持商务诚信体系建设等。审查意见：同意立案 处理意见：由区规划局、发改局 、工信局、商务局办理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交办时间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2022-04-27 09:43:35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截止时间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2022-05-20 23:59:59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签收截止时间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2022-04-27 11:43:36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是否签收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发改局：【是】</w:t>
            </w:r>
            <w:r>
              <w:br w:type="textWrapping"/>
            </w:r>
            <w:r>
              <w:t>工信局：【否】</w:t>
            </w:r>
            <w:r>
              <w:br w:type="textWrapping"/>
            </w:r>
            <w:r>
              <w:t>商务局：【是】</w:t>
            </w:r>
            <w:r>
              <w:br w:type="textWrapping"/>
            </w:r>
            <w:r>
              <w:t>规划办公室：【否】</w:t>
            </w:r>
            <w:r>
              <w:br w:type="textWrapping"/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按时回复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发改局：【暂未回复】</w:t>
            </w:r>
            <w:r>
              <w:br w:type="textWrapping"/>
            </w:r>
            <w:r>
              <w:t>工信局：【暂未回复】</w:t>
            </w:r>
            <w:r>
              <w:br w:type="textWrapping"/>
            </w:r>
            <w:r>
              <w:t>商务局：【暂未回复】</w:t>
            </w:r>
            <w:r>
              <w:br w:type="textWrapping"/>
            </w:r>
            <w:r>
              <w:t>规划办公室：【暂未回复】</w:t>
            </w:r>
            <w: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处理流水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2022-04-27 10:01:33 淄川区商务局【商务局】[签收]了该工作交办事项；处理意见：</w:t>
            </w:r>
            <w:r>
              <w:br w:type="textWrapping"/>
            </w:r>
            <w:r>
              <w:t>2022-04-27 09:51:00 淄川区发改局【发改革局】[签收]了该工作交办事项；处理意见：</w:t>
            </w:r>
            <w:r>
              <w:br w:type="textWrapping"/>
            </w:r>
            <w:r>
              <w:t>2022-04-27 09:43:36 淄川区平台中心【委员】[交办]至淄川区发改局；处理意见：</w:t>
            </w:r>
            <w:r>
              <w:br w:type="textWrapping"/>
            </w:r>
            <w:r>
              <w:t>2022-04-27 09:43:36 淄川区平台中心【委员】[交办]至淄川区工信局；处理意见：</w:t>
            </w:r>
            <w:r>
              <w:br w:type="textWrapping"/>
            </w:r>
            <w:r>
              <w:t>2022-04-27 09:43:36 淄川区平台中心【委员】[交办]至淄川区商务局；处理意见：</w:t>
            </w:r>
            <w:r>
              <w:br w:type="textWrapping"/>
            </w:r>
            <w:r>
              <w:t>2022-04-27 09:43:36 淄川区平台中心【委员】[交办]至淄川区规划办公室；处理意见：</w:t>
            </w:r>
            <w:r>
              <w:br w:type="textWrapping"/>
            </w:r>
            <w:r>
              <w:t>2022-04-26 14:34:33 【曾宪锋】[委员发起提案]；处理意见：</w:t>
            </w:r>
            <w:r>
              <w:br w:type="textWrapping"/>
            </w:r>
          </w:p>
        </w:tc>
      </w:tr>
    </w:tbl>
    <w:p>
      <w:pPr>
        <w:spacing w:line="360" w:lineRule="auto"/>
        <w:jc w:val="center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B47AF3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9C60A3"/>
    <w:rsid w:val="3E725BB7"/>
    <w:rsid w:val="3FE33418"/>
    <w:rsid w:val="40190011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5"/>
    <w:basedOn w:val="2"/>
    <w:next w:val="1"/>
    <w:qFormat/>
    <w:uiPriority w:val="0"/>
    <w:rPr>
      <w:szCs w:val="22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39</Words>
  <Characters>224</Characters>
  <Lines>1</Lines>
  <Paragraphs>1</Paragraphs>
  <TotalTime>14</TotalTime>
  <ScaleCrop>false</ScaleCrop>
  <LinksUpToDate>false</LinksUpToDate>
  <CharactersWithSpaces>262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银杏果</cp:lastModifiedBy>
  <dcterms:modified xsi:type="dcterms:W3CDTF">2022-09-02T08:21:32Z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