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微软雅黑"/>
          <w:color w:val="333333"/>
          <w:sz w:val="44"/>
          <w:szCs w:val="44"/>
          <w:shd w:val="clear" w:color="auto" w:fill="FFFFFF"/>
        </w:rPr>
      </w:pPr>
      <w:r>
        <w:rPr>
          <w:rFonts w:ascii="黑体" w:hAnsi="黑体" w:eastAsia="黑体" w:cs="微软雅黑"/>
          <w:color w:val="333333"/>
          <w:sz w:val="44"/>
          <w:szCs w:val="44"/>
          <w:shd w:val="clear" w:color="auto" w:fill="FFFFFF"/>
        </w:rPr>
        <w:t>关于加大对优势企业扶持力度</w:t>
      </w:r>
      <w:r>
        <w:rPr>
          <w:rFonts w:hint="eastAsia" w:ascii="黑体" w:hAnsi="黑体" w:eastAsia="黑体" w:cs="微软雅黑"/>
          <w:color w:val="333333"/>
          <w:sz w:val="44"/>
          <w:szCs w:val="44"/>
          <w:shd w:val="clear" w:color="auto" w:fill="FFFFFF"/>
        </w:rPr>
        <w:t>、</w:t>
      </w:r>
      <w:r>
        <w:rPr>
          <w:rFonts w:ascii="黑体" w:hAnsi="黑体" w:eastAsia="黑体" w:cs="微软雅黑"/>
          <w:color w:val="333333"/>
          <w:sz w:val="44"/>
          <w:szCs w:val="44"/>
          <w:shd w:val="clear" w:color="auto" w:fill="FFFFFF"/>
        </w:rPr>
        <w:t>推进我区制造业企业高质量发展的建议</w:t>
      </w:r>
    </w:p>
    <w:p>
      <w:pPr>
        <w:ind w:firstLine="640" w:firstLineChars="200"/>
        <w:rPr>
          <w:rFonts w:hint="eastAsia" w:ascii="黑体" w:hAnsi="黑体" w:eastAsia="黑体" w:cs="仿宋"/>
          <w:color w:val="333333"/>
          <w:kern w:val="0"/>
          <w:sz w:val="32"/>
          <w:szCs w:val="32"/>
          <w:shd w:val="clear" w:color="auto" w:fill="FFFFFF"/>
        </w:rPr>
      </w:pPr>
    </w:p>
    <w:p>
      <w:pPr>
        <w:ind w:firstLine="640" w:firstLineChars="200"/>
        <w:rPr>
          <w:rFonts w:ascii="黑体" w:hAnsi="黑体" w:eastAsia="黑体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"/>
          <w:color w:val="333333"/>
          <w:kern w:val="0"/>
          <w:sz w:val="32"/>
          <w:szCs w:val="32"/>
          <w:shd w:val="clear" w:color="auto" w:fill="FFFFFF"/>
        </w:rPr>
        <w:t>一、提案理由</w:t>
      </w:r>
    </w:p>
    <w:p>
      <w:pPr>
        <w:pStyle w:val="4"/>
        <w:widowControl/>
        <w:shd w:val="clear" w:color="auto" w:fill="FFFFFF"/>
        <w:spacing w:beforeAutospacing="0" w:after="150" w:afterAutospacing="0" w:line="525" w:lineRule="atLeast"/>
        <w:ind w:firstLine="645"/>
        <w:jc w:val="both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优势企业在市场竞争中具有领先地位、拥有核心技术和创新能力，在推动经济发展、增加就业、提高人民生活水平等方面发挥着重要的作用。2023年仅上半年，淄川区就有3家企业列入国家级专精特新“小巨人”，12家企业列入省专精特新企业，1家企业列入省瞪羚企业，17家企业列入省级创新型中小企业，5家企业列入省“一企一技术”研发中心。其中，“四新”产业占比39%。淄博市工信局发布入选2023年度淄博市瞪羚类企业名单，淄川区6家优质企业榜上有名，数量位居全市前列。然而，面对当前错综复杂的国内外发展环境，我区企业面临的困难也越来越多。经调研，问题主要有：</w:t>
      </w:r>
    </w:p>
    <w:p>
      <w:pPr>
        <w:pStyle w:val="4"/>
        <w:widowControl/>
        <w:shd w:val="clear" w:color="auto" w:fill="FFFFFF"/>
        <w:spacing w:beforeAutospacing="0" w:after="150" w:afterAutospacing="0" w:line="525" w:lineRule="atLeast"/>
        <w:ind w:firstLine="645"/>
        <w:jc w:val="both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Style w:val="7"/>
          <w:rFonts w:hint="eastAsia" w:ascii="楷体_GB2312" w:hAnsi="仿宋" w:eastAsia="楷体_GB2312" w:cs="仿宋"/>
          <w:b w:val="0"/>
          <w:bCs/>
          <w:color w:val="333333"/>
          <w:sz w:val="32"/>
          <w:szCs w:val="32"/>
          <w:shd w:val="clear" w:color="auto" w:fill="FFFFFF"/>
        </w:rPr>
        <w:t>一是市场竞争压力大，创新发展难进行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。随着经济全球化的深入发展，国内企业面临着来自国内外的激烈竞争。为了在竞争中脱颖而出，企业需要不断提高自身的核心竞争力，加强技术创新和品牌建设。</w:t>
      </w:r>
    </w:p>
    <w:p>
      <w:pPr>
        <w:pStyle w:val="4"/>
        <w:widowControl/>
        <w:shd w:val="clear" w:color="auto" w:fill="FFFFFF"/>
        <w:spacing w:beforeAutospacing="0" w:after="150" w:afterAutospacing="0" w:line="525" w:lineRule="atLeast"/>
        <w:ind w:firstLine="645"/>
        <w:jc w:val="both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Style w:val="7"/>
          <w:rFonts w:hint="eastAsia" w:ascii="楷体_GB2312" w:hAnsi="仿宋" w:eastAsia="楷体_GB2312" w:cs="仿宋"/>
          <w:b w:val="0"/>
          <w:bCs/>
          <w:color w:val="333333"/>
          <w:sz w:val="32"/>
          <w:szCs w:val="32"/>
          <w:shd w:val="clear" w:color="auto" w:fill="FFFFFF"/>
        </w:rPr>
        <w:t>二是供应体系变化多，风险控制难把握。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随着全球供应链的深度整合，企业需要面对各种不确定性和风险，如原材料价格上涨、供应商不稳定等。成本压力的加剧，使得许多优质企业在市场竞争中处于不利地位。</w:t>
      </w:r>
    </w:p>
    <w:p>
      <w:pPr>
        <w:pStyle w:val="4"/>
        <w:widowControl/>
        <w:shd w:val="clear" w:color="auto" w:fill="FFFFFF"/>
        <w:spacing w:beforeAutospacing="0" w:after="150" w:afterAutospacing="0" w:line="525" w:lineRule="atLeast"/>
        <w:ind w:firstLine="645"/>
        <w:jc w:val="both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Style w:val="7"/>
          <w:rFonts w:hint="eastAsia" w:ascii="楷体_GB2312" w:hAnsi="仿宋" w:eastAsia="楷体_GB2312" w:cs="仿宋"/>
          <w:b w:val="0"/>
          <w:bCs/>
          <w:color w:val="333333"/>
          <w:sz w:val="32"/>
          <w:szCs w:val="32"/>
          <w:shd w:val="clear" w:color="auto" w:fill="FFFFFF"/>
        </w:rPr>
        <w:t>三是人才流动比率高，吸引人才难度大。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人才竞争激烈，一些优质企业难以招聘到高素质的人才，使得企业的发展受到制约。同时，在不确定的环境下，管理复杂性成倍增加，频繁的人才流动，产生拔苗助长式的人才发展和使用方式，导致大多数岗位处于不胜任状态。</w:t>
      </w:r>
    </w:p>
    <w:p>
      <w:pPr>
        <w:pStyle w:val="4"/>
        <w:widowControl/>
        <w:shd w:val="clear" w:color="auto" w:fill="FFFFFF"/>
        <w:spacing w:beforeAutospacing="0" w:after="150" w:afterAutospacing="0" w:line="525" w:lineRule="atLeast"/>
        <w:ind w:firstLine="645"/>
        <w:jc w:val="both"/>
        <w:rPr>
          <w:rFonts w:ascii="黑体" w:hAnsi="黑体" w:eastAsia="黑体" w:cs="仿宋"/>
          <w:color w:val="333333"/>
          <w:sz w:val="32"/>
          <w:szCs w:val="32"/>
        </w:rPr>
      </w:pPr>
      <w:r>
        <w:rPr>
          <w:rFonts w:hint="eastAsia" w:ascii="黑体" w:hAnsi="黑体" w:eastAsia="黑体" w:cs="仿宋"/>
          <w:color w:val="333333"/>
          <w:sz w:val="32"/>
          <w:szCs w:val="32"/>
        </w:rPr>
        <w:t>二、</w:t>
      </w:r>
      <w:r>
        <w:rPr>
          <w:rFonts w:hint="eastAsia" w:ascii="黑体" w:hAnsi="黑体" w:eastAsia="黑体" w:cs="仿宋"/>
          <w:color w:val="333333"/>
          <w:sz w:val="32"/>
          <w:szCs w:val="32"/>
          <w:shd w:val="clear" w:color="auto" w:fill="FFFFFF"/>
        </w:rPr>
        <w:t>建议</w:t>
      </w:r>
    </w:p>
    <w:p>
      <w:pPr>
        <w:pStyle w:val="4"/>
        <w:widowControl/>
        <w:shd w:val="clear" w:color="auto" w:fill="FFFFFF"/>
        <w:spacing w:beforeAutospacing="0" w:after="150" w:afterAutospacing="0"/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9F9F9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9F9F9"/>
        </w:rPr>
        <w:t>一是向优势企业政策倾斜。加大对重点企业、优势企业、支柱企业的扶持力度，针对企业的发展制定支持政策，降低企业的经营成本，减轻企业负担，增强其竞争力。</w:t>
      </w:r>
    </w:p>
    <w:p>
      <w:pPr>
        <w:pStyle w:val="4"/>
        <w:widowControl/>
        <w:shd w:val="clear" w:color="auto" w:fill="FFFFFF"/>
        <w:spacing w:beforeAutospacing="0" w:after="150" w:afterAutospacing="0"/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二是优化营商环境。加强对市场环境的监管和管理，打击各种违法违规行为，保护企业和投资者的合法权益。同时，简化审批流程，提高行政效率，为优势企业发展创造良好的外部条件。帮助优势企业拓展市场，提高企业的知名度和影响力。</w:t>
      </w:r>
    </w:p>
    <w:p>
      <w:pPr>
        <w:pStyle w:val="4"/>
        <w:widowControl/>
        <w:shd w:val="clear" w:color="auto" w:fill="FFFFFF"/>
        <w:spacing w:beforeAutospacing="0" w:after="150" w:afterAutospacing="0"/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9F9F9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9F9F9"/>
        </w:rPr>
        <w:t>三是校企合作培养人才。鼓励高校和企业合作培养人才，根据企业发展需求，针对性培养更多的优秀毕业生。建立完善的薪酬增长机制，优化薪酬待遇，提高人才薪酬水平，加大对人才的社会支持力度。 对优势企业提供全方位的支持和服务政策，不仅能够促进企业的发展壮大，更有助于提升我区经济的整体实力和国际竞争力。</w:t>
      </w:r>
    </w:p>
    <w:p>
      <w:pPr>
        <w:pStyle w:val="8"/>
        <w:ind w:left="420" w:firstLine="320" w:firstLineChars="100"/>
        <w:rPr>
          <w:rFonts w:ascii="仿宋" w:hAnsi="仿宋" w:eastAsia="仿宋" w:cs="仿宋"/>
          <w:color w:val="333333"/>
          <w:sz w:val="32"/>
          <w:szCs w:val="32"/>
          <w:shd w:val="clear" w:color="auto" w:fill="F9F9F9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9F9F9"/>
        </w:rPr>
        <w:t>审查意见：同意立案</w:t>
      </w:r>
    </w:p>
    <w:p>
      <w:pPr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  <w:shd w:val="clear" w:color="auto" w:fill="F9F9F9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9F9F9"/>
        </w:rPr>
        <w:t>处理意见：由区工信局、区发改局、区市场监管局、区行政审批服务局、区人社局办理</w:t>
      </w:r>
    </w:p>
    <w:p>
      <w:pPr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  <w:shd w:val="clear" w:color="auto" w:fill="F9F9F9"/>
        </w:rPr>
      </w:pPr>
    </w:p>
    <w:p>
      <w:pPr>
        <w:jc w:val="both"/>
        <w:rPr>
          <w:rFonts w:hint="default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>提案者：李健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/>
        </w:rPr>
        <w:t xml:space="preserve">   </w:t>
      </w:r>
      <w:bookmarkStart w:id="0" w:name="_GoBack"/>
      <w:bookmarkEnd w:id="0"/>
    </w:p>
    <w:p>
      <w:pPr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  <w:shd w:val="clear" w:color="auto" w:fill="F9F9F9"/>
        </w:rPr>
      </w:pPr>
    </w:p>
    <w:p>
      <w:pPr>
        <w:pStyle w:val="4"/>
        <w:widowControl/>
        <w:shd w:val="clear" w:color="auto" w:fill="FFFFFF"/>
        <w:spacing w:beforeAutospacing="0" w:after="150" w:afterAutospacing="0"/>
        <w:ind w:left="420" w:leftChars="200"/>
        <w:rPr>
          <w:rFonts w:ascii="仿宋" w:hAnsi="仿宋" w:eastAsia="仿宋" w:cs="仿宋"/>
          <w:color w:val="333333"/>
          <w:sz w:val="32"/>
          <w:szCs w:val="32"/>
          <w:shd w:val="clear" w:color="auto" w:fill="F9F9F9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Q0YThiNjYxODRmZmU3ZDEzZGIxOTUzYzc3OGYzMzMifQ=="/>
  </w:docVars>
  <w:rsids>
    <w:rsidRoot w:val="7DD3605F"/>
    <w:rsid w:val="00340A63"/>
    <w:rsid w:val="0040390A"/>
    <w:rsid w:val="0040450F"/>
    <w:rsid w:val="00404E39"/>
    <w:rsid w:val="00544E68"/>
    <w:rsid w:val="00683D9E"/>
    <w:rsid w:val="007767E2"/>
    <w:rsid w:val="0086625F"/>
    <w:rsid w:val="00986B44"/>
    <w:rsid w:val="00B42FB1"/>
    <w:rsid w:val="00B75C71"/>
    <w:rsid w:val="00E15FD2"/>
    <w:rsid w:val="20506E01"/>
    <w:rsid w:val="244C5677"/>
    <w:rsid w:val="58D00407"/>
    <w:rsid w:val="71EB6CCF"/>
    <w:rsid w:val="7DD3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9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149</Words>
  <Characters>852</Characters>
  <Lines>7</Lines>
  <Paragraphs>1</Paragraphs>
  <TotalTime>1</TotalTime>
  <ScaleCrop>false</ScaleCrop>
  <LinksUpToDate>false</LinksUpToDate>
  <CharactersWithSpaces>1000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2024-01-26T08:16:00Z</dcterms:created>
  <dc:creator>pc</dc:creator>
  <cp:lastModifiedBy>银杏果</cp:lastModifiedBy>
  <dcterms:modified xsi:type="dcterms:W3CDTF">2024-08-07T07:44:19Z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38D13AA839CA41CDAC6F0FD8067C0F27_11</vt:lpwstr>
  </property>
</Properties>
</file>