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sz w:val="36"/>
          <w:szCs w:val="36"/>
        </w:rPr>
      </w:pPr>
      <w:r>
        <w:rPr>
          <w:sz w:val="36"/>
        </w:rPr>
        <w:pict>
          <v:shape id="文本框 3" o:spid="_x0000_s1026" o:spt="202" type="#_x0000_t202" style="position:absolute;left:0pt;margin-left:27.85pt;margin-top:-7.75pt;height:72pt;width:131.2pt;z-index:251659264;mso-width-relative:page;mso-height-relative:page;" fillcolor="#FFFFFF" filled="t" stroked="t" coordsize="21600,21600" o:gfxdata="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Hp1AUeR3X99u/fNy7g9ZKPWdwspnoElvKQ/GH71SR0qctqHk7eR9RqUeiJSw1IqBYyAB5lLYHsi s1wBr0r+/4XqB1BLAwQUAAAACACHTuJAtr4WZAYCAAA2BAAADgAAAGRycy9lMm9Eb2MueG1srVNL jhMxEN0jcQfLe9JJyETQSmckCGGDAGngAI4/3Zb8k8tJdy4AN2DFhj3nyjmm7A4ZZthkQS/cZVf5 Vb1X5dXtYA05yAjau4bOJlNKpONeaNc29OuX7YtXlEBiTjDjnWzoUQK9XT9/tupDLee+80bISBDE Qd2HhnYphbqqgHfSMpj4IB06lY+WJdzGthKR9YhuTTWfTpdV76MI0XMJgKeb0UnPiPEaQK+U5nLj +d5Kl0bUKA1LSAk6HYCuS7VKSZ4+KQUyEdNQZJrKiknQ3uW1Wq9Y3UYWOs3PJbBrSnjCyTLtMOkF asMSI/uo/4GymkcPXqUJ97YaiRRFkMVs+kSbu44FWbig1BAuosP/g+UfD58j0QIngRLHLDb89OP7 6efv069v5GWWpw9QY9RdwLg0vPFDDj2fAx5m1oOKNv+RD0E/inu8iCuHRHi+tFwu5wt0cfS9ni0W 06J+9XA7REjvpbckGw2N2LyiKTt8gIQZMfRPSE4G3mix1caUTWx3b00kB4aN3pYvF4lXHoUZR3rM fjO/wToYTq/CqUHTBlQAXFvyPboB1wHnwjYMurGAgjDOltVJRqyE1Z1k4p0TJB0DquzwcdFcjJWC EiPxLWarRCamzTWRyM44JJlbNLYiW2nYDQiTzZ0XR2zbPkTddihpaVwJx3Eq6pxHP8/r3/sC+vDc 1/dQSwMECgAAAAAAh07iQAAAAAAAAAAAAAAAAAYAAABfcmVscy9QSwMEFAAAAAgAh07iQIoUZjzR AAAAlAEAAAsAAABfcmVscy8ucmVsc6WQwWrDMAyG74O9g9F9cZrDGKNOL6PQa+kewNiKYxpbRjLZ +vbzDoNl9LajfqHvE//+8JkWtSJLpGxg1/WgMDvyMQcD75fj0wsoqTZ7u1BGAzcUOIyPD/szLra2 I5ljEdUoWQzMtZZXrcXNmKx0VDC3zUScbG0jB12su9qAeuj7Z82/GTBumOrkDfDJD6Aut9LMf9gp OiahqXaOkqZpiu4eVQe2ZY7uyDbhG7lGsxywGvAsGgdqWdd+BH1fv/un3tNHPuO61X6HjOuPV2+6 HL8AUEsDBBQAAAAIAIdO4kB+5uUg9wAAAOEBAAATAAAAW0NvbnRlbnRfVHlwZXNdLnhtbJWRQU7D MBBF90jcwfIWJU67QAgl6YK0S0CoHGBkTxKLZGx5TGhvj5O2G0SRWNoz/78nu9wcxkFMGNg6quQq L6RA0s5Y6ir5vt9lD1JwBDIwOMJKHpHlpr69KfdHjyxSmriSfYz+USnWPY7AufNIadK6MEJMx9Ap D/oDOlTrorhX2lFEilmcO2RdNtjC5xDF9pCuTyYBB5bi6bQ4syoJ3g9WQ0ymaiLzg5KdCXlKLjvc W893SUOqXwnz5DrgnHtJTxOsQfEKIT7DmDSUCayM+6KAU/53yWw5cuba1mrMm8BNir3hdLG61o5r 1zj93/Ltkrp0q+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
            <v:path/>
            <v:fill on="t" focussize="0,0"/>
            <v:stroke color="#FFFFFF" joinstyle="miter"/>
            <v:imagedata o:title=""/>
            <o:lock v:ext="edit" aspectratio="f"/>
            <v:textbox>
              <w:txbxContent>
                <w:p>
                  <w:pPr>
                    <w:spacing w:line="560" w:lineRule="exact"/>
                    <w:jc w:val="distribute"/>
                    <w:outlineLvl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中 国 人 民</w:t>
                  </w:r>
                </w:p>
                <w:p>
                  <w:pPr>
                    <w:spacing w:line="560" w:lineRule="exact"/>
                    <w:jc w:val="distribute"/>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sz w:val="36"/>
                      <w:szCs w:val="36"/>
                    </w:rPr>
                    <w:t>政治协商会议</w:t>
                  </w:r>
                </w:p>
              </w:txbxContent>
            </v:textbox>
          </v:shape>
        </w:pict>
      </w:r>
      <w:r>
        <w:rPr>
          <w:sz w:val="36"/>
        </w:rPr>
        <w:pict>
          <v:shape id="文本框 4" o:spid="_x0000_s1027" o:spt="202" type="#_x0000_t202" style="position:absolute;left:0pt;margin-left:150.2pt;margin-top:0.8pt;height:47.25pt;width:271.45pt;z-index:251660288;mso-width-relative:page;mso-height-relative:page;" fillcolor="#FFFFFF" filled="t" stroked="t" coordsize="21600,21600" o:gfxdata="UEsDBAoAAAAAAIdO4kAAAAAAAAAAAAAAAAAEAAAAZHJzL1BLAwQUAAAACACHTuJA8yn7o9YAAAAI AQAADwAAAGRycy9kb3ducmV2LnhtbE2PwU7DMBBE70j8g7VIXBC1k1RRCXEqVIE4t+XCzY23SUS8 TmK3afl6lhMcV28087ZcX1wvzjiFzpOGZKFAINXedtRo+Ni/Pa5AhGjImt4TarhigHV1e1OawvqZ tnjexUZwCYXCaGhjHAopQ92iM2HhByRmRz85E/mcGmknM3O562WqVC6d6YgXWjPgpsX6a3dyGvz8 enUeR5U+fH67983LuD2mo9b3d4l6BhHxEv/C8KvP6lCx08GfyAbRa8iUWnKUQQ6C+WqZZSAOGp7y BGRVyv8PVD9QSwMEFAAAAAgAh07iQE+PRfMGAgAANgQAAA4AAABkcnMvZTJvRG9jLnhtbK1TTa7T MBDeI3EHy3uatLTvQdT0SVDKBgHSgwO4tpNY8p88bpNeAG7Aig17ztVzMHb6+v42XZCFMx5//mbm m/HyZjCa7GUA5WxNp5OSEmm5E8q2Nf3+bfPqDSUQmRVMOytrepBAb1YvXyx7X8mZ65wWMhAksVD1 vqZdjL4qCuCdNAwmzkuLh40LhkXchrYQgfXIbnQxK8urondB+OC4BEDvejykJ8ZwCaFrGsXl2vGd kTaOrEFqFrEk6JQHusrZNo3k8UvTgIxE1xQrjXnFIGhv01qslqxqA/Od4qcU2CUpPKnJMGUx6Jlq zSIju6CeURnFgwPXxAl3phgLyYpgFdPyiTa3HfMy14JSgz+LDv+Pln/efw1EiZrOKLHMYMOPv34e f/89/vlB5kme3kOFqFuPuDi8cwMOzZ0f0JmqHppg0h/rIXiO4h7O4sohEo7O1/P59Xy6oITj2VVZ lteLRFPc3/YB4kfpDElGTQM2L2vK9p8gjtA7SAoGTiuxUVrnTWi373Uge4aN3uTvxP4Ipi3pa/p2 MUt5MJzeBqcGTeNRAbBtjvfoBlxGnBJbM+jGBDJDis8qo6IM2eokEx+sIPHgUWWLj4umZIwUlGiJ bzFZGRmZ0pcgUTttUcLUorEVyYrDdkCaZG6dOGDbdj6otkNJc+MyHMcpa38a/TSvD/eZ9P65r/4B UEsDBAoAAAAAAIdO4kAAAAAAAAAAAAAAAAAGAAAAX3JlbHMvUEsDBBQAAAAIAIdO4kCKFGY80QAA AJQBAAALAAAAX3JlbHMvLnJlbHOlkMFqwzAMhu+DvYPRfXGawxijTi+j0GvpHsDYimMaW0Yy2fr2 8w6DZfS2o36h7xP//vCZFrUiS6RsYNf1oDA78jEHA++X49MLKKk2e7tQRgM3FDiMjw/7My62tiOZ YxHVKFkMzLWWV63FzZisdFQwt81EnGxtIwddrLvagHro+2fNvxkwbpjq5A3wyQ+gLrfSzH/YKTom oal2jpKmaYruHlUHtmWO7sg24Ru5RrMcsBrwLBoHalnXfgR9X7/7p97TRz7jutV+h4zrj1dvuhy/ AFBLAwQUAAAACACHTuJAfublIPcAAADhAQAAEwAAAFtDb250ZW50X1R5cGVzXS54bWyVkUFOwzAQ RfdI3MHyFiVOu0AIJemCtEtAqBxgZE8Si2RseUxob4+TthtEkVjaM/+/J7vcHMZBTBjYOqrkKi+k QNLOWOoq+b7fZQ9ScAQyMDjCSh6R5aa+vSn3R48sUpq4kn2M/lEp1j2OwLnzSGnSujBCTMfQKQ/6 AzpU66K4V9pRRIpZnDtkXTbYwucQxfaQrk8mAQeW4um0OLMqCd4PVkNMpmoi84OSnQl5Si473FvP d0lDql8J8+Q64Jx7SU8TrEHxCiE+w5g0lAmsjPuigFP+d8lsOXLm2tZqzJvATYq94XSxutaOa9c4 /d/y7ZK6dKvlg+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PRfMGAgAANgQAAA4AAAAAAAAAAQAgAAAAJQEA AGRycy9lMm9Eb2MueG1sUEsFBgAAAAAGAAYAWQEAAJ0FAAAAAA== ">
            <v:path/>
            <v:fill on="t" focussize="0,0"/>
            <v:stroke color="#FFFFFF" joinstyle="miter"/>
            <v:imagedata o:title=""/>
            <o:lock v:ext="edit" aspectratio="f"/>
            <v:textbox>
              <w:txbxContent>
                <w:p>
                  <w:pPr>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淄博市</w:t>
                  </w:r>
                  <w:r>
                    <w:rPr>
                      <w:rFonts w:hint="eastAsia" w:ascii="方正小标宋简体" w:hAnsi="方正小标宋简体" w:eastAsia="方正小标宋简体" w:cs="方正小标宋简体"/>
                      <w:sz w:val="44"/>
                      <w:szCs w:val="44"/>
                      <w:lang w:val="en-US" w:eastAsia="zh-CN"/>
                    </w:rPr>
                    <w:t>淄川</w:t>
                  </w:r>
                  <w:r>
                    <w:rPr>
                      <w:rFonts w:hint="eastAsia" w:ascii="方正小标宋简体" w:hAnsi="方正小标宋简体" w:eastAsia="方正小标宋简体" w:cs="方正小标宋简体"/>
                      <w:sz w:val="44"/>
                      <w:szCs w:val="44"/>
                    </w:rPr>
                    <w:t>区委员会提案</w:t>
                  </w:r>
                </w:p>
                <w:p>
                  <w:pPr>
                    <w:jc w:val="distribute"/>
                    <w:rPr>
                      <w:rFonts w:hint="eastAsia" w:ascii="方正小标宋简体" w:hAnsi="方正小标宋简体" w:eastAsia="方正小标宋简体" w:cs="方正小标宋简体"/>
                    </w:rPr>
                  </w:pPr>
                </w:p>
              </w:txbxContent>
            </v:textbox>
          </v:shape>
        </w:pict>
      </w:r>
    </w:p>
    <w:p>
      <w:pPr>
        <w:jc w:val="center"/>
        <w:outlineLvl w:val="0"/>
        <w:rPr>
          <w:rFonts w:hint="eastAsia" w:ascii="仿宋_GB2312" w:hAnsi="仿宋_GB2312" w:eastAsia="仿宋_GB2312" w:cs="仿宋_GB2312"/>
          <w:color w:val="FF0000"/>
          <w:sz w:val="32"/>
          <w:szCs w:val="32"/>
        </w:rPr>
      </w:pPr>
      <w:bookmarkStart w:id="0" w:name="jiebie"/>
    </w:p>
    <w:p>
      <w:pPr>
        <w:jc w:val="center"/>
        <w:outlineLvl w:val="0"/>
        <w:rPr>
          <w:rFonts w:hint="eastAsia" w:ascii="楷体_GB2312" w:hAnsi="楷体_GB2312" w:eastAsia="仿宋_GB2312" w:cs="楷体_GB2312"/>
          <w:color w:val="000000" w:themeColor="text1"/>
          <w:sz w:val="32"/>
          <w:szCs w:val="32"/>
        </w:rPr>
      </w:pPr>
      <w:r>
        <w:rPr>
          <w:rFonts w:hint="eastAsia" w:ascii="楷体_GB2312" w:hAnsi="楷体_GB2312" w:eastAsia="楷体_GB2312" w:cs="楷体_GB2312"/>
          <w:color w:val="000000" w:themeColor="text1"/>
          <w:sz w:val="32"/>
          <w:szCs w:val="32"/>
        </w:rPr>
        <w:t>十</w:t>
      </w:r>
      <w:bookmarkEnd w:id="0"/>
      <w:r>
        <w:rPr>
          <w:rFonts w:hint="eastAsia" w:ascii="楷体_GB2312" w:hAnsi="楷体_GB2312" w:eastAsia="楷体_GB2312" w:cs="楷体_GB2312"/>
          <w:color w:val="000000" w:themeColor="text1"/>
          <w:sz w:val="32"/>
          <w:szCs w:val="32"/>
        </w:rPr>
        <w:t>三届四次会议  第</w:t>
      </w:r>
      <w:r>
        <w:rPr>
          <w:rFonts w:hint="eastAsia" w:ascii="楷体_GB2312" w:hAnsi="楷体_GB2312" w:eastAsia="楷体_GB2312" w:cs="楷体_GB2312"/>
          <w:color w:val="000000" w:themeColor="text1"/>
          <w:sz w:val="32"/>
          <w:szCs w:val="32"/>
          <w:lang w:val="en-US" w:eastAsia="zh-CN"/>
        </w:rPr>
        <w:t xml:space="preserve"> </w:t>
      </w:r>
      <w:r>
        <w:rPr>
          <w:rFonts w:hint="eastAsia" w:ascii="楷体_GB2312" w:hAnsi="楷体_GB2312" w:eastAsia="楷体_GB2312" w:cs="楷体_GB2312"/>
          <w:color w:val="000000" w:themeColor="text1"/>
          <w:sz w:val="32"/>
          <w:szCs w:val="32"/>
        </w:rPr>
        <w:t>十三届五次会议029号</w:t>
      </w:r>
      <w:r>
        <w:rPr>
          <w:rFonts w:hint="eastAsia" w:ascii="楷体_GB2312" w:hAnsi="楷体_GB2312" w:eastAsia="楷体_GB2312" w:cs="楷体_GB2312"/>
          <w:color w:val="000000" w:themeColor="text1"/>
          <w:sz w:val="32"/>
          <w:szCs w:val="32"/>
          <w:lang w:val="en-US" w:eastAsia="zh-CN"/>
        </w:rPr>
        <w:t xml:space="preserve"> </w:t>
      </w:r>
      <w:r>
        <w:rPr>
          <w:rFonts w:hint="eastAsia" w:ascii="楷体_GB2312" w:hAnsi="楷体_GB2312" w:eastAsia="楷体_GB2312" w:cs="楷体_GB2312"/>
          <w:color w:val="000000" w:themeColor="text1"/>
          <w:sz w:val="32"/>
          <w:szCs w:val="32"/>
        </w:rPr>
        <w:t xml:space="preserve">  </w:t>
      </w:r>
    </w:p>
    <w:tbl>
      <w:tblPr>
        <w:tblStyle w:val="4"/>
        <w:tblW w:w="8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9"/>
        <w:gridCol w:w="7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679"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提案案由</w:t>
            </w:r>
          </w:p>
        </w:tc>
        <w:tc>
          <w:tcPr>
            <w:tcW w:w="7167"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关于推动我区传统产业“智改数转”与新兴产业培育协同发展的建议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5" w:hRule="atLeast"/>
          <w:jc w:val="center"/>
        </w:trPr>
        <w:tc>
          <w:tcPr>
            <w:tcW w:w="1679" w:type="dxa"/>
            <w:vAlign w:val="center"/>
          </w:tcPr>
          <w:p>
            <w:pPr>
              <w:spacing w:line="56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审查意见</w:t>
            </w:r>
          </w:p>
        </w:tc>
        <w:tc>
          <w:tcPr>
            <w:tcW w:w="7167" w:type="dxa"/>
            <w:vAlign w:val="center"/>
          </w:tcPr>
          <w:p>
            <w:pPr>
              <w:spacing w:before="156" w:beforeLines="50" w:after="156" w:afterLines="50" w:line="15" w:lineRule="auto"/>
              <w:ind w:left="210" w:leftChars="1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主办单位：</w:t>
            </w:r>
            <w:r>
              <w:rPr>
                <w:rFonts w:hint="eastAsia" w:ascii="仿宋_GB2312" w:hAnsi="仿宋_GB2312" w:eastAsia="仿宋_GB2312" w:cs="仿宋_GB2312"/>
                <w:sz w:val="28"/>
                <w:szCs w:val="28"/>
              </w:rPr>
              <w:t>淄川区工业和信息化局,淄川区发展和改革局,淄博市淄川区科学技术局,淄川区人力资源和社会保障局,淄川区财政局</w:t>
            </w:r>
          </w:p>
          <w:p>
            <w:pPr>
              <w:spacing w:before="156" w:beforeLines="50" w:after="156" w:afterLines="50" w:line="15" w:lineRule="auto"/>
              <w:ind w:left="210" w:leftChars="1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会办单位：</w:t>
            </w:r>
            <w:r>
              <w:rPr>
                <w:rFonts w:hint="eastAsia" w:ascii="仿宋_GB2312" w:hAnsi="仿宋_GB2312" w:eastAsia="仿宋_GB2312" w:cs="仿宋_GB2312"/>
                <w:sz w:val="28"/>
                <w:szCs w:val="28"/>
              </w:rPr>
              <w:t/>
            </w:r>
          </w:p>
          <w:p>
            <w:pPr>
              <w:spacing w:before="156" w:beforeLines="50" w:after="156" w:afterLines="50" w:line="15" w:lineRule="auto"/>
              <w:ind w:left="210" w:leftChars="1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分办单位：</w:t>
            </w:r>
            <w:r>
              <w:rPr>
                <w:rFonts w:hint="eastAsia" w:ascii="仿宋_GB2312" w:hAnsi="仿宋_GB2312" w:eastAsia="仿宋_GB2312" w:cs="仿宋_GB2312"/>
                <w:sz w:val="28"/>
                <w:szCs w:val="28"/>
              </w:rPr>
              <w:t/>
            </w:r>
          </w:p>
        </w:tc>
      </w:tr>
    </w:tbl>
    <w:p>
      <w:pPr>
        <w:rPr>
          <w:rFonts w:hint="eastAsia" w:ascii="仿宋" w:hAnsi="仿宋" w:eastAsia="仿宋"/>
          <w:sz w:val="28"/>
          <w:szCs w:val="28"/>
        </w:rPr>
      </w:pPr>
    </w:p>
    <w:tbl>
      <w:tblPr>
        <w:tblStyle w:val="4"/>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8"/>
        <w:gridCol w:w="1215"/>
        <w:gridCol w:w="1178"/>
        <w:gridCol w:w="2295"/>
        <w:gridCol w:w="1545"/>
        <w:gridCol w:w="18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053" w:type="dxa"/>
            <w:gridSpan w:val="2"/>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提 案 者</w:t>
            </w:r>
          </w:p>
        </w:tc>
        <w:tc>
          <w:tcPr>
            <w:tcW w:w="1178"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界别</w:t>
            </w:r>
          </w:p>
        </w:tc>
        <w:tc>
          <w:tcPr>
            <w:tcW w:w="2295"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工作单位</w:t>
            </w:r>
          </w:p>
        </w:tc>
        <w:tc>
          <w:tcPr>
            <w:tcW w:w="1545"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通讯地址</w:t>
            </w:r>
          </w:p>
        </w:tc>
        <w:tc>
          <w:tcPr>
            <w:tcW w:w="1833"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jc w:val="center"/>
        </w:trPr>
        <w:tc>
          <w:tcPr>
            <w:tcW w:w="2053" w:type="dxa"/>
            <w:gridSpan w:val="2"/>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曾宪锋</w:t>
            </w:r>
          </w:p>
        </w:tc>
        <w:tc>
          <w:tcPr>
            <w:tcW w:w="1178"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致公党</w:t>
            </w:r>
          </w:p>
        </w:tc>
        <w:tc>
          <w:tcPr>
            <w:tcW w:w="2295"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致公党淄川基层委副主委、淄川中学总务处副主任</w:t>
            </w:r>
          </w:p>
        </w:tc>
        <w:tc>
          <w:tcPr>
            <w:tcW w:w="1545"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w:r>
          </w:p>
        </w:tc>
        <w:tc>
          <w:tcPr>
            <w:tcW w:w="1833"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13793335097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904" w:type="dxa"/>
            <w:gridSpan w:val="6"/>
            <w:vAlign w:val="center"/>
          </w:tcPr>
          <w:p>
            <w:pPr>
              <w:tabs>
                <w:tab w:val="left" w:pos="2732"/>
              </w:tabs>
              <w:jc w:val="center"/>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联名提案者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38"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序号</w:t>
            </w:r>
          </w:p>
        </w:tc>
        <w:tc>
          <w:tcPr>
            <w:tcW w:w="1215"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委员姓名</w:t>
            </w:r>
          </w:p>
        </w:tc>
        <w:tc>
          <w:tcPr>
            <w:tcW w:w="1178"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界别</w:t>
            </w:r>
          </w:p>
        </w:tc>
        <w:tc>
          <w:tcPr>
            <w:tcW w:w="2295"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工作单位及职务</w:t>
            </w:r>
          </w:p>
        </w:tc>
        <w:tc>
          <w:tcPr>
            <w:tcW w:w="1545"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通讯地址</w:t>
            </w:r>
          </w:p>
        </w:tc>
        <w:tc>
          <w:tcPr>
            <w:tcW w:w="1833"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联系</w:t>
            </w:r>
            <w:r>
              <w:rPr>
                <w:rFonts w:ascii="Arial" w:hAnsi="Arial" w:eastAsia="Arial" w:cs="Arial"/>
                <w:b/>
                <w:sz w:val="24"/>
                <w:szCs w:val="24"/>
              </w:rPr>
              <w:t>电话</w:t>
            </w:r>
          </w:p>
        </w:tc>
      </w:tr>
    </w:tbl>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集体提案</w:t>
      </w:r>
      <w:bookmarkStart w:id="4" w:name="_GoBack"/>
      <w:bookmarkEnd w:id="4"/>
    </w:p>
    <w:tbl>
      <w:tblPr>
        <w:tblStyle w:val="4"/>
        <w:tblW w:w="89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2"/>
        <w:gridCol w:w="66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2242" w:type="dxa"/>
            <w:vAlign w:val="center"/>
          </w:tcPr>
          <w:p>
            <w:pPr>
              <w:jc w:val="center"/>
              <w:rPr>
                <w:rFonts w:hint="eastAsia" w:ascii="仿宋" w:hAnsi="仿宋" w:eastAsia="仿宋"/>
                <w:b/>
                <w:sz w:val="28"/>
                <w:szCs w:val="28"/>
              </w:rPr>
            </w:pPr>
            <w:r>
              <w:rPr>
                <w:rFonts w:hint="eastAsia" w:ascii="仿宋_GB2312" w:hAnsi="仿宋_GB2312" w:eastAsia="仿宋_GB2312" w:cs="仿宋_GB2312"/>
                <w:b/>
                <w:sz w:val="28"/>
                <w:szCs w:val="28"/>
              </w:rPr>
              <w:t>执笔委员</w:t>
            </w:r>
          </w:p>
        </w:tc>
        <w:tc>
          <w:tcPr>
            <w:tcW w:w="6660" w:type="dxa"/>
            <w:vAlign w:val="center"/>
          </w:tcPr>
          <w:p>
            <w:pPr>
              <w:jc w:val="center"/>
              <w:rPr>
                <w:rFonts w:hint="eastAsia" w:ascii="仿宋" w:hAnsi="仿宋" w:eastAsia="仿宋"/>
                <w:sz w:val="28"/>
                <w:szCs w:val="28"/>
              </w:rPr>
            </w:pPr>
            <w:r>
              <w:rPr>
                <w:rFonts w:hint="eastAsia" w:ascii="仿宋_GB2312" w:hAnsi="仿宋_GB2312" w:eastAsia="仿宋_GB2312" w:cs="仿宋_GB2312"/>
                <w:sz w:val="28"/>
                <w:szCs w:val="28"/>
              </w:rPr>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2242" w:type="dxa"/>
            <w:vAlign w:val="center"/>
          </w:tcPr>
          <w:p>
            <w:pPr>
              <w:jc w:val="center"/>
              <w:rPr>
                <w:rFonts w:hint="eastAsia" w:ascii="仿宋" w:hAnsi="仿宋" w:eastAsia="仿宋"/>
                <w:b/>
                <w:sz w:val="28"/>
                <w:szCs w:val="28"/>
              </w:rPr>
            </w:pPr>
            <w:r>
              <w:rPr>
                <w:rFonts w:hint="eastAsia" w:ascii="仿宋_GB2312" w:hAnsi="仿宋_GB2312" w:eastAsia="仿宋_GB2312" w:cs="仿宋_GB2312"/>
                <w:b/>
                <w:sz w:val="28"/>
                <w:szCs w:val="28"/>
              </w:rPr>
              <w:t>牵头人或组织者</w:t>
            </w:r>
          </w:p>
        </w:tc>
        <w:tc>
          <w:tcPr>
            <w:tcW w:w="6660" w:type="dxa"/>
            <w:vAlign w:val="center"/>
          </w:tcPr>
          <w:p>
            <w:pPr>
              <w:jc w:val="center"/>
              <w:rPr>
                <w:rFonts w:hint="eastAsia" w:ascii="仿宋" w:hAnsi="仿宋" w:eastAsia="仿宋"/>
                <w:sz w:val="28"/>
                <w:szCs w:val="28"/>
              </w:rPr>
            </w:pPr>
            <w:r>
              <w:rPr>
                <w:rFonts w:hint="eastAsia" w:ascii="仿宋_GB2312" w:hAnsi="仿宋_GB2312" w:eastAsia="仿宋_GB2312" w:cs="仿宋_GB2312"/>
                <w:sz w:val="28"/>
                <w:szCs w:val="28"/>
              </w:rPr>
              <w:t/>
            </w:r>
          </w:p>
        </w:tc>
      </w:tr>
    </w:tbl>
    <w:p>
      <w:pPr>
        <w:outlineLvl w:val="0"/>
        <w:rPr>
          <w:rFonts w:hint="eastAsia" w:ascii="黑体" w:hAnsi="黑体" w:eastAsia="黑体" w:cs="黑体"/>
          <w:sz w:val="32"/>
          <w:szCs w:val="32"/>
        </w:rPr>
        <w:sectPr>
          <w:pgSz w:w="11906" w:h="16838"/>
          <w:pgMar w:top="2041" w:right="1531" w:bottom="1701" w:left="1531" w:header="720" w:footer="720" w:gutter="0"/>
          <w:cols w:space="0" w:num="1"/>
          <w:docGrid w:type="lines" w:linePitch="312" w:charSpace="0"/>
        </w:sectPr>
      </w:pPr>
      <w:bookmarkStart w:id="1" w:name="name4"/>
      <w:bookmarkEnd w:id="1"/>
      <w:bookmarkStart w:id="2" w:name="name2"/>
      <w:bookmarkEnd w:id="2"/>
    </w:p>
    <w:p>
      <w:pPr>
        <w:jc w:val="center"/>
        <w:outlineLvl w:val="0"/>
        <w:rPr>
          <w:rFonts w:ascii="方正小标宋简体" w:eastAsia="方正小标宋简体"/>
          <w:sz w:val="36"/>
          <w:szCs w:val="36"/>
        </w:rPr>
      </w:pPr>
      <w:r>
        <w:rPr>
          <w:rFonts w:hint="eastAsia" w:ascii="方正小标宋简体" w:eastAsia="方正小标宋简体"/>
          <w:sz w:val="36"/>
          <w:szCs w:val="36"/>
        </w:rPr>
        <w:t>关于推动我区传统产业“智改数转”与新兴产业培育协同发展的建议</w:t>
      </w:r>
    </w:p>
    <w:p>
      <w:pPr>
        <w:ind w:firstLine="640" w:firstLineChars="200"/>
        <w:jc w:val="left"/>
        <w:outlineLvl w:val="0"/>
        <w:rPr>
          <w:rFonts w:hint="eastAsia"/>
        </w:rPr>
      </w:pPr>
      <w:r>
        <w:rPr>
          <w:rFonts w:hint="eastAsia" w:ascii="楷体_GB2312" w:hAnsi="楷体_GB2312" w:eastAsia="楷体_GB2312" w:cs="楷体_GB2312"/>
          <w:sz w:val="32"/>
          <w:szCs w:val="32"/>
        </w:rPr>
        <w:t>界别：致公党  提案者：曾宪锋  联系方式：13793335097</w:t>
      </w:r>
    </w:p>
    <w:p>
      <w:pPr>
        <w:outlineLvl w:val="0"/>
        <w:rPr>
          <w:rFonts w:hint="eastAsia" w:ascii="黑体" w:hAnsi="黑体" w:eastAsia="黑体" w:cs="黑体"/>
          <w:sz w:val="32"/>
          <w:szCs w:val="32"/>
        </w:rPr>
      </w:pPr>
      <w:r>
        <w:rPr>
          <w:rFonts w:hint="eastAsia" w:ascii="黑体" w:hAnsi="黑体" w:eastAsia="黑体" w:cs="黑体"/>
          <w:sz w:val="32"/>
          <w:szCs w:val="32"/>
        </w:rPr>
        <w:t>背景及问题分析</w:t>
      </w:r>
    </w:p>
    <w:p>
      <w:pPr>
        <w:spacing w:line="560" w:lineRule="exact"/>
        <w:rPr>
          <w:rFonts w:hint="eastAsia" w:ascii="仿宋" w:hAnsi="仿宋" w:eastAsia="仿宋"/>
          <w:sz w:val="28"/>
          <w:szCs w:val="28"/>
        </w:rPr>
      </w:pPr>
      <w:bookmarkStart w:id="3" w:name="trouble"/>
      <w:r>
        <w:rPr>
          <w:rFonts w:hint="eastAsia" w:ascii="仿宋_GB2312" w:hAnsi="仿宋_GB2312" w:eastAsia="仿宋_GB2312" w:cs="仿宋_GB2312"/>
          <w:sz w:val="28"/>
          <w:szCs w:val="28"/>
        </w:rPr>
        <w:t>一、背景及问题分析
我区作为淄博市重要的工业基地，拥有建陶、医药化工、机械制造等传统优势产业，近年来也在积极布局新能源、新材料等新兴产业。在高质量发展与“双碳”目标引领下，推动传统产业智能化改造、数字化转型（“智改数转”）与战略性新兴产业培育壮大，实现二者协同发展，是构建现代化产业体系、重塑区域竞争新优势的关键路径。当前，在协同发展过程中，仍面临一些亟待破解的痛点与难点：（一）传统产业“智改数转”面临深层痛点。一是改造投入大与短期效益矛盾突出：建陶、机械制造等行业企业，尤其是中小企业，面临设备更新、软件系统购置、数字化平台建设等高昂的一次性投入，且投资回报周期较长，导致“不愿转、不敢转”心态普遍。二是技术瓶颈与人才短板制约升级：医药化工、高端装备制造等领域的核心工艺数字化、高端智能装备研发应用存在技术壁垒。同时，既懂工业技术又熟悉数字技术的复合型人才严重匮乏，本土化、可持续的人才供给体系尚未形成。三是数据价值挖掘与集成应用不足：企业内部“数据孤岛”现象仍存，生产、管理、供应链等各环节数据难以贯通。数据采集、分析、建模能力薄弱，未能有效利用数据优化工艺流程、预测设备故障、实现精准决策。四是产业集群协同升级水平有待提升：区域内传统产业链上下游企业数字化水平参差不齐，缺乏统一的工业互联网平台或行业标准引领，难以实现供应链协同、产能共享、资源共享的网络化效应。（二）新兴产业培育存在局部布局与生态短板。一是产业链条尚不完整，本地配套率低：新能源、新材料等新兴产业项目虽已引入，但关键零部件、上游原材料、下游应用市场等多依赖外部，本地化产业链条短且薄弱，产业集群效应未充分显现。二是技术研发与产业化衔接不畅：高校、科研院所的创新成果与区域内产业需求对接不够精准，中试孵化、工程化放大平台能力不足，导致部分前沿技术“落地难、转化慢”。三是应用场景开放与市场拓展受限：新兴产业产品和技术在本地传统产业转型升级中的应用场景挖掘不深、开放不够，缺乏标杆性示范项目，影响了技术迭代和市场验证速度。（三）政策、要素与生态协同支撑亟待加强。一是政策衔接与协同性不足：针对传统产业改造与新兴产业培育的政策分属不同体系，存在“各自为战”现象，缺乏顶层设计上的有效衔接与资源整合，未能充分发挥政策引导的协同放大效应。二是要素保障面临结构性矛盾：土地、能耗、环境容量等指标日益趋紧，在传统产业升级与新兴产业项目布局间需更精准配置。金融支持方面，针对“智改数转”和新兴产业不同发展阶段、风险特征的差异化金融产品和服务供给不足。三是产业生态服务体系不健全：缺乏能够提供诊断咨询、方案设计、项目实施、评估优化等全链条服务的优质服务商资源池。科技创新、检验检测、知识产权、法律咨询等生产性服务业发展相对滞后，难以满足产业协同升级的多元化需求。
</w:t>
      </w:r>
      <w:bookmarkEnd w:id="3"/>
    </w:p>
    <w:p>
      <w:pPr>
        <w:jc w:val="left"/>
        <w:outlineLvl w:val="0"/>
        <w:rPr>
          <w:rFonts w:hint="eastAsia" w:ascii="黑体" w:hAnsi="黑体" w:eastAsia="黑体" w:cs="黑体"/>
          <w:sz w:val="32"/>
          <w:szCs w:val="32"/>
        </w:rPr>
      </w:pPr>
      <w:r>
        <w:rPr>
          <w:rFonts w:hint="eastAsia" w:ascii="黑体" w:hAnsi="黑体" w:eastAsia="黑体" w:cs="黑体"/>
          <w:sz w:val="32"/>
          <w:szCs w:val="32"/>
        </w:rPr>
        <w:t>建议</w:t>
      </w:r>
    </w:p>
    <w:p>
      <w:pPr>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二、建议
（一）强化顶层设计与政策协同，构建一体化推进机制。一是制定协同发展专项规划与行动方案：明确我区传统产业“智改数转”与新兴产业培育协同发展的目标、路径、重点领域和时序安排。建立由区级主要领导牵头的联席会议制度，统筹经信、发改、科技、财政、自然资源等部门力量，形成政策合力。二是创新“政策工具包”与集成服务：整合现有技术改造、科技创新、人才引进、金融扶持等政策，推出“技改贷”“数字贷”“创新券”等组合式政策工具。探索设立区级“智改数转”与新兴产业协同发展基金，采用“补、投、贷、融”结合方式，支持关键技术攻关、标杆项目建设、中小企业数字化普及和产业链协同项目。三是实施差异化的要素保障策略：建立产业项目综合评价机制，将“智改数转”水平、绿色低碳效益、产业链协同度等作为重要指标，优先保障要素供给。探索存量土地盘活、能耗指标市场化交易等机制，提高要素配置效率。
（二）聚焦痛点破解与能力提升，夯实传统产业转型根基。一是实施“分业施策与标杆引领”计划：针对建陶、医药化工、机械制造等不同行业特点，编制“智改数转”实施指南和评价标准。每年遴选一批示范工厂（车间）、标杆企业，给予重点支持并推广其经验，带动产业链整体提升。二是建设公共服务平台与人才供给体系：支持建设或引进区域级、行业级工业互联网平台、工业大数据中心，为企业提供普惠性数据采集、云化软件、模型算法等服务。深化产教融合，与职业院校、高校共建“数字工匠”培养基地、产业学院，开展定制化培训。实施企业家数字化领导力提升工程和复合型人才引进计划。三是推动数据驱动的全链条优化：鼓励龙头企业牵头，联合上下游企业开展供应链协同、远程运维、质量追溯等基于数据的创新应用。支持服务商开发推广适用于中小企业的轻量化、模块化、低成本数字化解决方案。
（三）瞄准关键环节与生态营造，加速新兴产业集聚成长。一是开展“强链补链延链”精准招商：围绕新能源、新材料等既定方向，深入分析产业链图谱，瞄准关键环节、核心技术、缺失链条，开展靶向招商。积极引入具有产业生态主导力的“链主”企业，带动配套企业集聚。二是搭建“产学研用金”协同创新平台：支持龙头企业联合高校、科研院所共建重点实验室、技术创新中心、产业创新联盟等，聚焦共性技术和前沿技术开展联合攻关。强化中试熟化、检验检测等公共服务平台建设，加速科技成果本地转化。三是拓展“以场景促产业”的应用路径：主动开放政府投资项目、市政工程、国有企业等应用场景，发布新兴产业技术产品应用需求清单。鼓励传统企业优先采用本地新兴产业的新技术、新产品、新服务进行改造升级，打造一批“传统转型+新兴赋能”的典型示范案例。
（四）深化融合赋能与生态构建，促进新旧动能顺畅转换。一是鼓励“跨界融合”与“衍生孵化”：支持传统企业利用技术改造过程中积累的数据资源、技术能力，向新兴产业领域拓展或孵化新业务。鼓励新兴产业企业将其技术、解决方案反向应用于传统产业升级，形成双向赋能。二是培育壮大生产性服务业集群：大力引进和培育一批优质的“智改数转”服务商、工业软件企业、系统集成商、数据服务商。发展科技咨询、知识产权运营、供应链金融等专业服务业，构建覆盖全生命周期的产业服务体系。三是营造鼓励创新、宽容失败的氛围：完善容错纠错机制，对于在“智改数转”和新兴领域探索中出现的非主观故意过错，依规予以审慎处理。加强典型经验和成功案例宣传，营造全社会关注、支持产业协同转型发展的良好环境。 
通过以上全链条、系统化的支持路径，有望有效打通我区传统产业“智改数转”与新兴产业培育协同发展的堵点、难点，推动产业基础高级化、产业链现代化，为区域经济高质量发展注入强劲动力。
审查意见：同意立案
处理意见：由区工信局、区发改局、区科技局、区人社局、区财政局办理
</w:t>
      </w:r>
    </w:p>
    <w:p/>
    <w:p/>
    <w:sectPr>
      <w:footerReference r:id="rId3" w:type="default"/>
      <w:pgSz w:w="11906" w:h="16838"/>
      <w:pgMar w:top="2041" w:right="1531" w:bottom="1701" w:left="1531" w:header="720" w:footer="720"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 AQAADwAAAGRycy9kb3ducmV2LnhtbE2PMWvDMBCF90L/g7hAt0ZOhtY4ljMEsnRLWgrdFOtimUgn IymO/e9zLYV2Oe7xjnffq7eTd2LEmPpAClbLAgRSG0xPnYKP9/1zCSJlTUa7QKhgxgTb5vGh1pUJ NzrgeMyd4BBKlVZgcx4qKVNr0eu0DAMSe+cQvc4sYydN1DcO906ui+JFet0Tf7B6wJ3F9nK8egWv 02fAIeEOv85jG20/l+5tVuppsSo2IDJO+e8YvvEZHRpmOoUrmSScAi6SfyZ767JkefpdZFPL//TN HVBLAwQUAAAACACHTuJAWZgglcQBAACQAwAADgAAAGRycy9lMm9Eb2MueG1srVPNjtMwEL4j8Q6W 79RpEaiKmq5A1SIkBEjLPoDr2I0l/8njNukLwBtw4sKd5+pzMHaSLiyXPXBxxjPjb+b7ZrK5Gawh JxlBe9fQ5aKiRDrhW+0ODb3/cvtiTQkk7lpuvJMNPUugN9vnzzZ9qOXKd960MhIEcVD3oaFdSqFm DEQnLYeFD9JhUPloecJrPLA28h7RrWGrqnrNeh/bEL2QAOjdjUE6IcanAHqltJA7L45WujSiRml4 QkrQ6QB0W7pVSor0SSmQiZiGItNUTiyC9j6fbLvh9SHy0GkxtcCf0sIjTpZrh0WvUDueODlG/Q+U 1SJ68CothLdsJFIUQRbL6pE2dx0PsnBBqSFcRYf/Bys+nj5HotuGvqTEcYsDv3z/dvnx6/LzK1lW q1dZoT5AjYl3AVPT8NYPuDezH9CZiQ8q2vxFSgTjqO/5qq8cEhH50Xq1XlcYEhibL4jPHp6HCOmd 9JZko6ERB1h05acPkMbUOSVXc/5WG1OGaNxfDsTMHpZ7H3vMVhr2w0Ro79sz8ulx9g11uOqUmPcO pc1rMhtxNvaTkWtAeHNMWLj0k1FHqKkYDqowmpYqb8Kf95L18CNtfwNQSwMECgAAAAAAh07iQAAA AAAAAAAAAAAAAAYAAABfcmVscy9QSwMEFAAAAAgAh07iQIoUZjzRAAAAlAEAAAsAAABfcmVscy8u cmVsc6WQwWrDMAyG74O9g9F9cZrDGKNOL6PQa+kewNiKYxpbRjLZ+vbzDoNl9LajfqHvE//+8JkW tSJLpGxg1/WgMDvyMQcD75fj0wsoqTZ7u1BGAzcUOIyPD/szLra2I5ljEdUoWQzMtZZXrcXNmKx0 VDC3zUScbG0jB12su9qAeuj7Z82/GTBumOrkDfDJD6Aut9LMf9gpOiahqXaOkqZpiu4eVQe2ZY7u yDbhG7lGsxywGvAsGgdqWdd+BH1fv/un3tNHPuO61X6HjOuPV2+6HL8AUEsDBBQAAAAIAIdO4kB+ 5uUg9wAAAOEBAAATAAAAW0NvbnRlbnRfVHlwZXNdLnhtbJWRQU7DMBBF90jcwfIWJU67QAgl6YK0 S0CoHGBkTxKLZGx5TGhvj5O2G0SRWNoz/78nu9wcxkFMGNg6quQqL6RA0s5Y6ir5vt9lD1JwBDIw OMJKHpHlpr69KfdHjyxSmriSfYz+USnWPY7AufNIadK6MEJMx9ApD/oDOlTrorhX2lFEilmcO2Rd NtjC5xDF9pCuTyYBB5bi6bQ4syoJ3g9WQ0ymaiLzg5KdCXlKLjvcW893SUOqXwnz5DrgnHtJTxOs QfEKIT7DmDSUCayM+6KAU/53yWw5cuba1mrMm8BNir3hdLG61o5r1zj93/Ltkrp0q+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
          <v:path/>
          <v:fill on="f" focussize="0,0"/>
          <v:stroke on="f"/>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hdrShapeDefaults>
    <o:shapelayout v:ext="edit">
      <o:idmap v:ext="edit" data="2"/>
    </o:shapelayout>
  </w:hdrShapeDefaults>
  <w:compat>
    <w:useFELayout/>
    <w:splitPgBreakAndParaMark/>
    <w:compatSetting w:name="compatibilityMode" w:uri="http://schemas.microsoft.com/office/word" w:val="12"/>
  </w:compat>
  <w:docVars>
    <w:docVar w:name="commondata" w:val="eyJoZGlkIjoiMGUxNjUxNzQwN2UzNDFjZjMzMjlhNzg5ODIzMjdmYzIifQ=="/>
  </w:docVars>
  <w:rsids>
    <w:rsidRoot w:val="00000000"/>
    <w:rsid w:val="0B8D6E79"/>
    <w:rsid w:val="14523AA3"/>
    <w:rsid w:val="2A781EB5"/>
    <w:rsid w:val="6841330B"/>
    <w:rsid w:val="6BE932D1"/>
    <w:rsid w:val="6E217B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5">
    <w:name w:val="Default Paragraph Font"/>
    <w:semiHidden/>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table" w:styleId="4">
    <w:name w:val="Table Grid"/>
    <w:basedOn w:val="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oter1.xml" Type="http://schemas.openxmlformats.org/officeDocument/2006/relationships/footer"/><Relationship Id="rId4" Target="theme/theme1.xml" Type="http://schemas.openxmlformats.org/officeDocument/2006/relationships/theme"/><Relationship Id="rId5" Target="../customXml/item1.xml" Type="http://schemas.openxmlformats.org/officeDocument/2006/relationships/customXml"/><Relationship Id="rId6" Target="fontTable.xml" Type="http://schemas.openxmlformats.org/officeDocument/2006/relationships/fontTable"/></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143</Words>
  <Characters>290</Characters>
  <TotalTime>2</TotalTime>
  <ScaleCrop>false</ScaleCrop>
  <LinksUpToDate>false</LinksUpToDate>
  <CharactersWithSpaces>302</CharactersWithSpaces>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2025-01-07T03:00:00Z</dcterms:created>
  <dc:creator>Apache POI</dc:creator>
  <cp:lastModifiedBy>玖鹿</cp:lastModifiedBy>
  <dcterms:modified xsi:type="dcterms:W3CDTF">2025-03-25T03:57:55Z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eyJoZGlkIjoiZWNjNDhhMjRkODFjM2EzZWQ1M2IyZGJiYTMzZDQ5MmMiLCJ1c2VySWQiOiI3OTYyNzEyNjQifQ==</vt:lpwstr>
  </property>
  <property fmtid="{D5CDD505-2E9C-101B-9397-08002B2CF9AE}" pid="3" name="KSOProductBuildVer">
    <vt:lpwstr>2052-12.1.0.15712</vt:lpwstr>
  </property>
  <property fmtid="{D5CDD505-2E9C-101B-9397-08002B2CF9AE}" pid="4" name="ICV">
    <vt:lpwstr>E10B580AA1074ED6BA378DB59ACED75F_12</vt:lpwstr>
  </property>
</Properties>
</file>