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w:pict>
          <v:shape id="文本框 3" o:spid="_x0000_s1026" o:spt="202" type="#_x0000_t202" style="position:absolute;left:0pt;margin-left:27.85pt;margin-top:-7.75pt;height:72pt;width:131.2pt;z-index:251659264;mso-width-relative:page;mso-height-relative:page;" fillcolor="#FFFFFF" filled="t" stroked="t" coordsize="21600,21600" o:gfxdata="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/Hp1AUeR3X99u/fNy7g9ZKPWdwspnoElvKQ/GH71SR0qctqHk7eR9RqUeiJSw1IqBYyAB5lLYHsi s1wBr0r+/4XqB1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spacing w:line="560" w:lineRule="exact"/>
                    <w:jc w:val="distribute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中 国 人 民</w:t>
                  </w:r>
                </w:p>
                <w:p>
                  <w:pPr>
                    <w:spacing w:line="560" w:lineRule="exact"/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政治协商会议</w:t>
                  </w:r>
                </w:p>
              </w:txbxContent>
            </v:textbox>
          </v:shape>
        </w:pict>
      </w:r>
      <w:r>
        <w:rPr>
          <w:sz w:val="36"/>
        </w:rPr>
        <w:pict>
          <v:shape id="文本框 4" o:spid="_x0000_s1027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jc w:val="center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淄博市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  <w:lang w:val="en-US" w:eastAsia="zh-CN"/>
                    </w:rPr>
                    <w:t>淄川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区委员会提案</w:t>
                  </w:r>
                </w:p>
                <w:p>
                  <w:pPr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</w:p>
              </w:txbxContent>
            </v:textbox>
          </v:shape>
        </w:pic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仿宋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三届四次会议  第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十三届五次会议033号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 xml:space="preserve">  </w:t>
      </w:r>
    </w:p>
    <w:tbl>
      <w:tblPr>
        <w:tblStyle w:val="4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关于推动淄川区传统制造业与数字经济深度融合，实现产业智能化升级的建议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167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淄川区工业和信息化局,淄川区人力资源和社会保障局</w:t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89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15"/>
        <w:gridCol w:w="1178"/>
        <w:gridCol w:w="2295"/>
        <w:gridCol w:w="1545"/>
        <w:gridCol w:w="1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 案 者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卓文君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农工党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淄川区农业农村局农业技术科科长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13792179118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904" w:type="dxa"/>
            <w:gridSpan w:val="6"/>
            <w:vAlign w:val="center"/>
          </w:tcPr>
          <w:p>
            <w:pPr>
              <w:tabs>
                <w:tab w:val="left" w:pos="2732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联名提案者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序号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委员姓名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工作单位及职务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联系</w:t>
            </w:r>
            <w:r>
              <w:rPr>
                <w:rFonts w:ascii="Arial" w:hAnsi="Arial" w:eastAsia="Arial" w:cs="Arial"/>
                <w:b/>
                <w:sz w:val="24"/>
                <w:szCs w:val="24"/>
              </w:rPr>
              <w:t>电话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集体提案</w:t>
      </w:r>
      <w:bookmarkStart w:id="4" w:name="_GoBack"/>
      <w:bookmarkEnd w:id="4"/>
    </w:p>
    <w:tbl>
      <w:tblPr>
        <w:tblStyle w:val="4"/>
        <w:tblW w:w="89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6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执笔委员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牵头人或组织者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docGrid w:type="lines" w:linePitch="312" w:charSpace="0"/>
        </w:sectPr>
      </w:pPr>
      <w:bookmarkStart w:id="1" w:name="name4"/>
      <w:bookmarkEnd w:id="1"/>
      <w:bookmarkStart w:id="2" w:name="name2"/>
      <w:bookmarkEnd w:id="2"/>
    </w:p>
    <w:p>
      <w:pPr>
        <w:jc w:val="center"/>
        <w:outlineLvl w:val="0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关于推动淄川区传统制造业与数字经济深度融合，实现产业智能化升级的建议</w:t>
      </w:r>
    </w:p>
    <w:p>
      <w:pPr>
        <w:ind w:firstLine="640" w:firstLineChars="200"/>
        <w:jc w:val="left"/>
        <w:outlineLvl w:val="0"/>
        <w:rPr>
          <w:rFonts w:hint="eastAsia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界别：农工党  提案者：卓文君  联系方式：13792179118</w:t>
      </w:r>
    </w:p>
    <w:p>
      <w:pPr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</w:rPr>
      </w:pPr>
      <w:bookmarkStart w:id="3" w:name="trouble"/>
      <w:r>
        <w:rPr>
          <w:rFonts w:hint="eastAsia" w:ascii="仿宋_GB2312" w:hAnsi="仿宋_GB2312" w:eastAsia="仿宋_GB2312" w:cs="仿宋_GB2312"/>
          <w:sz w:val="28"/>
          <w:szCs w:val="28"/>
        </w:rPr>
        <w:t>一、背景及问题分析
我区作为淄博市传统工业强区，非金属矿物制品业、纺织业、化学原料和化学制品制造业、汽车制造业等传统行业主导地位突出，拥有陶瓷、琉璃、机械制造等传统制造业企业1300余家，规上工业企业292家 。2024年全区规上工业企业完成总产值394.12亿元，其中非金属矿物制品业产值108亿元、纺织业产值44.12亿元、化学原料和化学制品制造业产值45.86亿元、汽车制造业产值41.69亿元，传统制造业是区域经济发展的重要支柱。近年来，区委、区政府深入推进“工赋淄川”行动，成功入选全省建设信息基础设施和推进产业数字化、数字产业化成效明显区，培育省级智能工厂3家（2023年1家、2025年2家），累计建成7家市级智慧工厂，2024年工业技改投资同比增长31.1%，连续三年实现27%以上高速增长，增速全市领先 ，初步构建起“政府引导、企业主体”的融合发展基础。
但传统制造业与数字经济融合仍存在突出短板：一是数字化基础薄弱。多数中小制造企业仍沿用传统生产模式，智能化覆盖范围有限；二是转型资金压力大。中小微企业盈利难以承担高额技改投入；三是人才供需失衡。企业对人工智能、大数据等专业人才需求迫切，工业自动化行业硕士等高端人才招聘占比仅0.55%左右，缺乏既懂传统制造又懂数字技术的复合型人才；四是融合层次不深。多数企业数字化改造集中在生产环节，链主企业标准化试点成果未充分辐射上下游，全链条数字化覆盖不足；五是服务体系不完善。围绕化工新材料行业已汇聚数字化服务商20余家 ，但整体专业服务商规模有限，仅8家企业入选省中小企业数字化转型服务机构及试点相关名单，公共服务平台功能有待进一步拓展。
</w:t>
      </w:r>
      <w:bookmarkEnd w:id="3"/>
    </w:p>
    <w:p>
      <w:pPr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二、建议
一是夯实数字基础，搭建融合支撑平台。加快推进工业互联网基础设施建设，实现重点产业园区网络全覆盖，搭建淄川区传统制造业数字化转型公共服务平台，整合工业软件、设备租赁、数据存储等资源；引导企业开展生产设备智能化改造，推广智能传感器、工业机器人等装备应用，提升设备联网率和生产自动化水平。
二是强化政策扶持，破解转型资金难题。设立传统制造业数字化转型专项基金，对企业改造给予补贴、贷款贴息和奖励；优化融资服务，联合金融机构推出专属融资产品，降低企业融资门槛和成本；鼓励龙头企业牵头组建产业联盟，通过共享设备、技术、数据等资源，分摊中小微企业转型成本。
三是健全人才体系，强化智力支撑保障。与高校、职业院校合作开设智能制造、工业互联网等相关专业，培养本土技术人才；实施数字人才引育计划，引进高端数字化人才和团队，给予政策支持；开展企业员工数字化技能培训，提升现有从业人员数字素养。
四是深化全链融合，提升产业转型质效。引导企业从单一生产环节数字化向研发设计、生产制造、供应链管理、市场营销全链条延伸，推广柔性生产、个性化定制等新模式；支持龙头企业建设智能工厂和工业互联网平台，带动上下游中小微企业融入数字化生态；推动数字技术与陶瓷、琉璃等特色产业深度融合，开发数字化设计、智能化生产、线上展示销售等创新应用。
五是完善服务生态，优化融合发展环境。培育引进一批专业数字化服务商，重点发展工业软件、数据咨询、系统集成等服务；建立“政府+服务商+企业”对接机制，开展数字化诊断服务，为企业制定个性化转型方案；将传统制造业数字化转型纳入相关部门和镇（街道）绩效考核，加强督导落实，营造“人人参与、协同推进”的良好氛围。
通过持续推进，淄川区传统制造业数字化转型将取得显著成效，逐步培育一批智能工厂、数字化车间和行业标杆企业，数字化人才供需矛盾有效缓解，服务支撑体系更加完善，传统制造业焕发新活力，为全区经济高质量发展注入强劲动力。
审查意见：同意立案
处理意见：由区工信局、区发改局、区人社局办理
</w:t>
      </w:r>
    </w:p>
    <w:p/>
    <w:p/>
    <w:sectPr>
      <w:footerReference r:id="rId3" w:type="default"/>
      <w:pgSz w:w="11906" w:h="16838"/>
      <w:pgMar w:top="2041" w:right="1531" w:bottom="1701" w:left="1531" w:header="720" w:footer="72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文本框 1025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WZgglcQBAACQ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TkWtAeHNMWLj0k1FHqKkYDqowmpYqb8Kf95L18CNtfwNQSwMECgAAAAAAh07iQAAA AAAAAAAAAAAAAAYAAABfcmVscy9QSwMEFAAAAAgAh07iQIoUZjzRAAAAlAEAAAsAAABfcmVscy8u cmVsc6WQwWrDMAyG74O9g9F9cZrDGKNOL6PQa+kewNiKYxpbRjLZ+vbzDoNl9LajfqHvE//+8JkW tSJLpGxg1/WgMDvyMQcD75fj0wsoqTZ7u1BGAzcUOIyPD/szLra2I5ljEdUoWQzMtZZXrcXNmKx0 VDC3zUScbG0jB12su9qAeuj7Z82/GTBumOrkDfDJD6Aut9LMf9gpOiahqXaOkqZpiu4eVQe2ZY7u yDbhG7lGsxywGvAsGgdqWdd+BH1fv/un3tNHPuO61X6HjOuPV2+6HL8AUEsDBBQAAAAIAIdO4kB+ 5uUg9wAAAOEBAAATAAAAW0NvbnRlbnRfVHlwZXNdLnhtbJWRQU7DMBBF90jcwfIWJU67QAgl6YK0 S0CoHGBkTxKLZGx5TGhvj5O2G0SRWNoz/78nu9wcxkFMGNg6quQqL6RA0s5Y6ir5vt9lD1JwBDIw OMJKHpHlpr69KfdHjyxSmriSfYz+USnWPY7AufNIadK6MEJMx9ApD/oDOlTrorhX2lFEilmcO2Rd NtjC5xDF9pCuTyYBB5bi6bQ4syoJ3g9WQ0ymaiLzg5KdCXlKLjvcW893SUOqXwnz5DrgnHtJTxOs QfEKIT7DmDSUCayM+6KAU/53yWw5cuba1mrMm8BNir3hdLG61o5r1zj93/Ltkrp0q+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MGUxNjUxNzQwN2UzNDFjZjMzMjlhNzg5ODIzMjdmYzIifQ=="/>
  </w:docVars>
  <w:rsids>
    <w:rsidRoot w:val="00000000"/>
    <w:rsid w:val="0B8D6E79"/>
    <w:rsid w:val="14523AA3"/>
    <w:rsid w:val="2A781EB5"/>
    <w:rsid w:val="6841330B"/>
    <w:rsid w:val="6BE932D1"/>
    <w:rsid w:val="6E21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290</Characters>
  <TotalTime>2</TotalTime>
  <ScaleCrop>false</ScaleCrop>
  <LinksUpToDate>false</LinksUpToDate>
  <CharactersWithSpaces>302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2025-01-07T03:00:00Z</dcterms:created>
  <dc:creator>Apache POI</dc:creator>
  <cp:lastModifiedBy>玖鹿</cp:lastModifiedBy>
  <dcterms:modified xsi:type="dcterms:W3CDTF">2025-03-25T03:57:55Z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eyJoZGlkIjoiZWNjNDhhMjRkODFjM2EzZWQ1M2IyZGJiYTMzZDQ5MmMiLCJ1c2VySWQiOiI3OTYyNzEyNjQifQ==</vt:lpwstr>
  </property>
  <property fmtid="{D5CDD505-2E9C-101B-9397-08002B2CF9AE}" pid="3" name="KSOProductBuildVer">
    <vt:lpwstr>2052-12.1.0.15712</vt:lpwstr>
  </property>
  <property fmtid="{D5CDD505-2E9C-101B-9397-08002B2CF9AE}" pid="4" name="ICV">
    <vt:lpwstr>E10B580AA1074ED6BA378DB59ACED75F_12</vt:lpwstr>
  </property>
</Properties>
</file>