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default" w:ascii="Times New Roman" w:hAnsi="Times New Roman" w:eastAsia="方正小标宋简体" w:cs="Times New Roman"/>
          <w:bCs/>
          <w:kern w:val="0"/>
          <w:sz w:val="44"/>
          <w:szCs w:val="44"/>
          <w:lang w:val="en-US" w:eastAsia="zh-CN"/>
        </w:rPr>
      </w:pPr>
      <w:r>
        <w:rPr>
          <w:rFonts w:hint="default" w:ascii="Times New Roman" w:hAnsi="Times New Roman" w:eastAsia="方正小标宋简体" w:cs="Times New Roman"/>
          <w:bCs/>
          <w:kern w:val="0"/>
          <w:sz w:val="44"/>
          <w:szCs w:val="44"/>
        </w:rPr>
        <w:t>淄川经济开发区</w:t>
      </w:r>
      <w:r>
        <w:rPr>
          <w:rFonts w:hint="default" w:ascii="Times New Roman" w:hAnsi="Times New Roman" w:eastAsia="方正小标宋简体" w:cs="Times New Roman"/>
          <w:bCs/>
          <w:kern w:val="0"/>
          <w:sz w:val="44"/>
          <w:szCs w:val="44"/>
          <w:lang w:eastAsia="zh-CN"/>
        </w:rPr>
        <w:t>管委会</w:t>
      </w:r>
    </w:p>
    <w:p>
      <w:pPr>
        <w:widowControl/>
        <w:shd w:val="clear" w:color="auto" w:fill="FFFFFF"/>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bCs/>
          <w:kern w:val="0"/>
          <w:sz w:val="44"/>
          <w:szCs w:val="44"/>
        </w:rPr>
        <w:t>202</w:t>
      </w:r>
      <w:r>
        <w:rPr>
          <w:rFonts w:hint="default" w:ascii="Times New Roman" w:hAnsi="Times New Roman" w:eastAsia="方正小标宋简体" w:cs="Times New Roman"/>
          <w:bCs/>
          <w:kern w:val="0"/>
          <w:sz w:val="44"/>
          <w:szCs w:val="44"/>
          <w:lang w:val="en-US" w:eastAsia="zh-CN"/>
        </w:rPr>
        <w:t>1</w:t>
      </w:r>
      <w:r>
        <w:rPr>
          <w:rFonts w:hint="default" w:ascii="Times New Roman" w:hAnsi="Times New Roman" w:eastAsia="方正小标宋简体" w:cs="Times New Roman"/>
          <w:bCs/>
          <w:kern w:val="0"/>
          <w:sz w:val="44"/>
          <w:szCs w:val="44"/>
        </w:rPr>
        <w:t>年政府信息公开工作年度报告</w:t>
      </w:r>
    </w:p>
    <w:p>
      <w:pPr>
        <w:widowControl/>
        <w:shd w:val="clear" w:color="auto" w:fill="FFFFFF"/>
        <w:spacing w:line="560" w:lineRule="exact"/>
        <w:ind w:firstLine="482"/>
        <w:rPr>
          <w:rFonts w:hint="default" w:ascii="Times New Roman" w:hAnsi="Times New Roman" w:eastAsia="黑体" w:cs="Times New Roman"/>
          <w:bCs/>
          <w:kern w:val="0"/>
          <w:sz w:val="32"/>
          <w:szCs w:val="32"/>
        </w:rPr>
      </w:pPr>
    </w:p>
    <w:p>
      <w:pPr>
        <w:pStyle w:val="8"/>
        <w:keepNext w:val="0"/>
        <w:keepLines w:val="0"/>
        <w:pageBreakBefore w:val="0"/>
        <w:widowControl/>
        <w:kinsoku/>
        <w:wordWrap/>
        <w:overflowPunct/>
        <w:topLinePunct w:val="0"/>
        <w:autoSpaceDE/>
        <w:autoSpaceDN/>
        <w:bidi w:val="0"/>
        <w:adjustRightInd/>
        <w:snapToGrid/>
        <w:spacing w:before="10" w:beforeAutospacing="0" w:after="10" w:afterAutospacing="0"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2021年淄川经济开发区严格按照省政府办公厅印发的《政府信息公开工作年度报告编发指南》要求，对政府信息工作年度报告编制和发布工作进行了安排部署，现将淄川经济开发区2021年度政府信息公开年度工作报告如下。</w:t>
      </w:r>
    </w:p>
    <w:p>
      <w:pPr>
        <w:widowControl/>
        <w:shd w:val="clear" w:color="auto" w:fill="FFFFFF"/>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一、总体情况</w:t>
      </w:r>
    </w:p>
    <w:p>
      <w:pPr>
        <w:widowControl/>
        <w:shd w:val="clear" w:color="auto" w:fill="FFFFFF"/>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1、主动公开情况</w:t>
      </w:r>
      <w:r>
        <w:rPr>
          <w:rFonts w:hint="default" w:ascii="Times New Roman" w:hAnsi="Times New Roman" w:eastAsia="仿宋_GB2312" w:cs="Times New Roman"/>
          <w:kern w:val="2"/>
          <w:sz w:val="32"/>
          <w:szCs w:val="32"/>
          <w:lang w:val="en-US" w:eastAsia="zh-CN" w:bidi="ar-SA"/>
        </w:rPr>
        <w:t>。及时公开包括机构职能、预算决算、重大项目、民生项目等工作，实时发布人事任免安排，更新政府动态信息等，全年政府网站发布信息30条。坚持多媒介信息公开，通过“淄川经济开发区”公众号发布信息1210条；建立抖音号、视频号，及时发布政务信息。</w:t>
      </w:r>
    </w:p>
    <w:p>
      <w:pPr>
        <w:widowControl/>
        <w:shd w:val="clear" w:color="auto" w:fill="FFFFFF"/>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2、依申请公开情况。</w:t>
      </w:r>
      <w:r>
        <w:rPr>
          <w:rFonts w:hint="default" w:ascii="Times New Roman" w:hAnsi="Times New Roman" w:eastAsia="仿宋_GB2312" w:cs="Times New Roman"/>
          <w:kern w:val="2"/>
          <w:sz w:val="32"/>
          <w:szCs w:val="32"/>
          <w:lang w:val="en-US" w:eastAsia="zh-CN" w:bidi="ar-SA"/>
        </w:rPr>
        <w:t>全年未收到依申请公开事项。</w:t>
      </w:r>
    </w:p>
    <w:p>
      <w:pPr>
        <w:widowControl/>
        <w:shd w:val="clear" w:color="auto" w:fill="FFFFFF"/>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3、政府信息管理情况</w:t>
      </w:r>
      <w:r>
        <w:rPr>
          <w:rFonts w:hint="default" w:ascii="Times New Roman" w:hAnsi="Times New Roman" w:eastAsia="仿宋_GB2312" w:cs="Times New Roman"/>
          <w:kern w:val="2"/>
          <w:sz w:val="32"/>
          <w:szCs w:val="32"/>
          <w:lang w:val="en-US" w:eastAsia="zh-CN" w:bidi="ar-SA"/>
        </w:rPr>
        <w:t>。开发区综合部全面负责政务网站公开工作，及时与相关部门召开联席会议，对公开工作、发布信息实行动态管理，指定一名分管领导与专职干事，具体负责网站内容的更新维护和日常管理，同时加强内容审查，及时发现和纠正错漏信息，确保公开内容权威性、准确性。</w:t>
      </w:r>
    </w:p>
    <w:p>
      <w:pPr>
        <w:widowControl/>
        <w:shd w:val="clear" w:color="auto" w:fill="FFFFFF"/>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4、政府信息公开平台建设情况</w:t>
      </w:r>
      <w:r>
        <w:rPr>
          <w:rFonts w:hint="default" w:ascii="Times New Roman" w:hAnsi="Times New Roman" w:eastAsia="仿宋_GB2312" w:cs="Times New Roman"/>
          <w:kern w:val="2"/>
          <w:sz w:val="32"/>
          <w:szCs w:val="32"/>
          <w:lang w:val="en-US" w:eastAsia="zh-CN" w:bidi="ar-SA"/>
        </w:rPr>
        <w:t>。构建以政务公开网站为核心，以公众号、抖音号、视频号、微博为支撑的政务公开平台模式，丰富信息发布渠道，扩大受众范围，增加受众认可度。</w:t>
      </w:r>
    </w:p>
    <w:p>
      <w:pPr>
        <w:widowControl/>
        <w:shd w:val="clear" w:color="auto" w:fill="FFFFFF"/>
        <w:spacing w:line="560" w:lineRule="exact"/>
        <w:ind w:firstLine="640" w:firstLineChars="200"/>
        <w:rPr>
          <w:rFonts w:hint="default" w:ascii="Times New Roman" w:hAnsi="Times New Roman" w:eastAsia="仿宋_GB2312" w:cs="Times New Roman"/>
          <w:color w:val="333333"/>
          <w:kern w:val="0"/>
          <w:sz w:val="32"/>
          <w:szCs w:val="32"/>
          <w:shd w:val="clear" w:color="auto" w:fill="FFFFFF"/>
          <w:lang w:eastAsia="zh-CN" w:bidi="ar"/>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rPr>
        <w:t>监督保障情况</w:t>
      </w:r>
      <w:r>
        <w:rPr>
          <w:rFonts w:hint="default" w:ascii="Times New Roman" w:hAnsi="Times New Roman" w:eastAsia="仿宋_GB2312" w:cs="Times New Roman"/>
          <w:sz w:val="32"/>
          <w:szCs w:val="32"/>
          <w:lang w:eastAsia="zh-CN"/>
        </w:rPr>
        <w:t>。召开专门工作会议，</w:t>
      </w:r>
      <w:r>
        <w:rPr>
          <w:rFonts w:hint="default" w:ascii="Times New Roman" w:hAnsi="Times New Roman" w:eastAsia="仿宋_GB2312" w:cs="Times New Roman"/>
          <w:sz w:val="32"/>
          <w:szCs w:val="32"/>
        </w:rPr>
        <w:t>明确政务公开工作责任，</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政务公开</w:t>
      </w:r>
      <w:r>
        <w:rPr>
          <w:rFonts w:hint="default" w:ascii="Times New Roman" w:hAnsi="Times New Roman" w:eastAsia="仿宋_GB2312" w:cs="Times New Roman"/>
          <w:sz w:val="32"/>
          <w:szCs w:val="32"/>
          <w:lang w:eastAsia="zh-CN"/>
        </w:rPr>
        <w:t>工作纳入考核内容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以店小二服务为抓手，畅通</w:t>
      </w:r>
      <w:r>
        <w:rPr>
          <w:rFonts w:hint="default" w:ascii="Times New Roman" w:hAnsi="Times New Roman" w:eastAsia="仿宋_GB2312" w:cs="Times New Roman"/>
          <w:sz w:val="32"/>
          <w:szCs w:val="32"/>
        </w:rPr>
        <w:t>社会评议</w:t>
      </w:r>
      <w:r>
        <w:rPr>
          <w:rFonts w:hint="default" w:ascii="Times New Roman" w:hAnsi="Times New Roman" w:eastAsia="仿宋_GB2312" w:cs="Times New Roman"/>
          <w:sz w:val="32"/>
          <w:szCs w:val="32"/>
          <w:lang w:eastAsia="zh-CN"/>
        </w:rPr>
        <w:t>建议渠道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多措并举</w:t>
      </w:r>
      <w:r>
        <w:rPr>
          <w:rFonts w:hint="default" w:ascii="Times New Roman" w:hAnsi="Times New Roman" w:eastAsia="仿宋_GB2312" w:cs="Times New Roman"/>
          <w:sz w:val="32"/>
          <w:szCs w:val="32"/>
        </w:rPr>
        <w:t>做好政府信息公开工作。</w:t>
      </w:r>
    </w:p>
    <w:p>
      <w:pPr>
        <w:widowControl/>
        <w:numPr>
          <w:ilvl w:val="0"/>
          <w:numId w:val="0"/>
        </w:numPr>
        <w:shd w:val="clear" w:color="auto" w:fill="FFFFFF"/>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sz w:val="32"/>
          <w:lang w:eastAsia="zh-CN"/>
        </w:rPr>
        <w:t>二、</w:t>
      </w:r>
      <w:r>
        <w:rPr>
          <w:rFonts w:hint="default" w:ascii="Times New Roman" w:hAnsi="Times New Roman" w:eastAsia="黑体" w:cs="Times New Roman"/>
          <w:sz w:val="32"/>
        </w:rPr>
        <w:t>主动公开政府信息情况</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本年</w:t>
            </w:r>
            <w:r>
              <w:rPr>
                <w:rFonts w:hint="default" w:ascii="Times New Roman" w:hAnsi="Times New Roman" w:cs="Times New Roman"/>
                <w:sz w:val="24"/>
                <w:szCs w:val="24"/>
                <w:lang w:eastAsia="zh-CN"/>
              </w:rPr>
              <w:t>制发件数</w:t>
            </w:r>
          </w:p>
        </w:tc>
        <w:tc>
          <w:tcPr>
            <w:tcW w:w="2030"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本年</w:t>
            </w:r>
            <w:r>
              <w:rPr>
                <w:rFonts w:hint="default" w:ascii="Times New Roman" w:hAnsi="Times New Roman" w:cs="Times New Roman"/>
                <w:sz w:val="24"/>
                <w:szCs w:val="24"/>
                <w:lang w:eastAsia="zh-CN"/>
              </w:rPr>
              <w:t>废止件数</w:t>
            </w:r>
          </w:p>
        </w:tc>
        <w:tc>
          <w:tcPr>
            <w:tcW w:w="2222"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规章</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222"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eastAsia="zh-CN"/>
              </w:rPr>
              <w:t>行政</w:t>
            </w:r>
            <w:r>
              <w:rPr>
                <w:rFonts w:hint="default" w:ascii="Times New Roman" w:hAnsi="Times New Roman" w:cs="Times New Roman"/>
                <w:sz w:val="24"/>
                <w:szCs w:val="24"/>
              </w:rPr>
              <w:t>规范性文件</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222"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本年</w:t>
            </w: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行政许可</w:t>
            </w:r>
          </w:p>
        </w:tc>
        <w:tc>
          <w:tcPr>
            <w:tcW w:w="6237" w:type="dxa"/>
            <w:gridSpan w:val="3"/>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行政处罚</w:t>
            </w:r>
          </w:p>
        </w:tc>
        <w:tc>
          <w:tcPr>
            <w:tcW w:w="6237" w:type="dxa"/>
            <w:gridSpan w:val="3"/>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行政强制</w:t>
            </w:r>
          </w:p>
        </w:tc>
        <w:tc>
          <w:tcPr>
            <w:tcW w:w="6237" w:type="dxa"/>
            <w:gridSpan w:val="3"/>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本年收费金额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行政事业性收费</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4252"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0</w:t>
            </w:r>
          </w:p>
        </w:tc>
      </w:tr>
    </w:tbl>
    <w:p>
      <w:pPr>
        <w:widowControl/>
        <w:shd w:val="clear" w:color="auto" w:fill="FFFFFF"/>
        <w:spacing w:after="240"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lang w:eastAsia="zh-CN"/>
        </w:rPr>
        <w:t>　　</w:t>
      </w:r>
      <w:r>
        <w:rPr>
          <w:rFonts w:hint="default" w:ascii="Times New Roman" w:hAnsi="Times New Roman" w:eastAsia="黑体" w:cs="Times New Roman"/>
          <w:bCs/>
          <w:kern w:val="0"/>
          <w:sz w:val="32"/>
          <w:szCs w:val="32"/>
        </w:rPr>
        <w:t>三、</w:t>
      </w:r>
      <w:r>
        <w:rPr>
          <w:rFonts w:hint="default" w:ascii="Times New Roman" w:hAnsi="Times New Roman" w:eastAsia="黑体" w:cs="Times New Roman"/>
          <w:sz w:val="32"/>
        </w:rPr>
        <w:t>行政机关收到和处理政府信息公开申请情况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51"/>
        <w:gridCol w:w="3001"/>
        <w:gridCol w:w="633"/>
        <w:gridCol w:w="634"/>
        <w:gridCol w:w="636"/>
        <w:gridCol w:w="636"/>
        <w:gridCol w:w="636"/>
        <w:gridCol w:w="647"/>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532" w:type="pct"/>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rPr>
            </w:pPr>
            <w:r>
              <w:rPr>
                <w:rFonts w:hint="default" w:ascii="Times New Roman" w:hAnsi="Times New Roman" w:eastAsia="KaiTi_GB2312" w:cs="Times New Roman"/>
                <w:color w:val="000000"/>
                <w:sz w:val="21"/>
              </w:rPr>
              <w:t>（本列数据的勾稽关系为：第一项加第二项之和，等于第三项加第四项之和）</w:t>
            </w:r>
          </w:p>
        </w:tc>
        <w:tc>
          <w:tcPr>
            <w:tcW w:w="2467"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32"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5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1760"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35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2532"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5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35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32"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32"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218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218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属于国家秘密</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其他法律行政法规禁止公开</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3.危及“三安全一稳定”</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保护第三方合法权益</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属于三类内部事务信息</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6. 属于四类过程性信息</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7. 属于行政执法案卷</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8. 属于行政查询事项</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本机关不掌握相关政府信息</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没有现成信息需要另行制作</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补正后申请内容仍不明确</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信访举报投诉类申请</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重复申请</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要求提供公开出版物</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无正当理由大量反复申请</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要求行政机关确认或重新出具已获取信息</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52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申请人无正当理由逾期不补正、行政机关不再处理其政府信息公开申请</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申请人逾期未按收费通知要求缴纳费用、行政机关不再处理其政府信息公开申请</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524"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其他</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218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532"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bookmarkStart w:id="0" w:name="_GoBack" w:colFirst="3" w:colLast="9"/>
            <w:r>
              <w:rPr>
                <w:rFonts w:hint="default" w:ascii="Times New Roman" w:hAnsi="Times New Roman" w:eastAsia="黑体" w:cs="Times New Roman"/>
                <w:color w:val="000000"/>
                <w:sz w:val="21"/>
              </w:rPr>
              <w:t>四、结转下年度继续办理</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7"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kern w:val="2"/>
                <w:sz w:val="21"/>
                <w:szCs w:val="22"/>
                <w:lang w:val="en-US" w:eastAsia="zh-CN" w:bidi="ar-SA"/>
              </w:rPr>
            </w:pPr>
            <w:r>
              <w:rPr>
                <w:rFonts w:hint="default" w:ascii="Times New Roman" w:hAnsi="Times New Roman" w:cs="Times New Roman"/>
                <w:sz w:val="21"/>
                <w:lang w:val="en-US" w:eastAsia="zh-CN"/>
              </w:rPr>
              <w:t>0</w:t>
            </w:r>
          </w:p>
        </w:tc>
      </w:tr>
      <w:bookmarkEnd w:id="0"/>
    </w:tbl>
    <w:p>
      <w:pPr>
        <w:widowControl/>
        <w:shd w:val="clear" w:color="auto" w:fill="FFFFFF"/>
        <w:ind w:firstLine="480"/>
        <w:rPr>
          <w:rFonts w:hint="default" w:ascii="Times New Roman" w:hAnsi="Times New Roman" w:cs="Times New Roman"/>
          <w:kern w:val="0"/>
          <w:sz w:val="24"/>
          <w:szCs w:val="24"/>
        </w:rPr>
      </w:pPr>
    </w:p>
    <w:p>
      <w:pPr>
        <w:widowControl/>
        <w:numPr>
          <w:ilvl w:val="0"/>
          <w:numId w:val="0"/>
        </w:numPr>
        <w:shd w:val="clear" w:color="auto" w:fill="FFFFFF"/>
        <w:rPr>
          <w:rFonts w:hint="default" w:ascii="Times New Roman" w:hAnsi="Times New Roman" w:eastAsia="黑体" w:cs="Times New Roman"/>
          <w:bCs/>
          <w:kern w:val="0"/>
          <w:sz w:val="32"/>
          <w:szCs w:val="32"/>
        </w:rPr>
      </w:pPr>
      <w:r>
        <w:rPr>
          <w:rFonts w:hint="default" w:ascii="Times New Roman" w:hAnsi="Times New Roman" w:eastAsia="黑体" w:cs="Times New Roman"/>
          <w:sz w:val="32"/>
          <w:lang w:eastAsia="zh-CN"/>
        </w:rPr>
        <w:t>　　四、</w:t>
      </w:r>
      <w:r>
        <w:rPr>
          <w:rFonts w:hint="default" w:ascii="Times New Roman" w:hAnsi="Times New Roman" w:eastAsia="黑体" w:cs="Times New Roman"/>
          <w:sz w:val="32"/>
        </w:rPr>
        <w:t>因政府信息公开工作被申请行政复议、提起行政诉讼情况</w:t>
      </w:r>
    </w:p>
    <w:p>
      <w:pPr>
        <w:widowControl/>
        <w:shd w:val="clear" w:color="auto" w:fill="FFFFFF"/>
        <w:rPr>
          <w:rFonts w:hint="default" w:ascii="Times New Roman" w:hAnsi="Times New Roman" w:eastAsia="黑体" w:cs="Times New Roman"/>
          <w:bCs/>
          <w:kern w:val="0"/>
          <w:sz w:val="32"/>
          <w:szCs w:val="32"/>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600"/>
        <w:gridCol w:w="605"/>
        <w:gridCol w:w="602"/>
        <w:gridCol w:w="603"/>
        <w:gridCol w:w="603"/>
        <w:gridCol w:w="603"/>
        <w:gridCol w:w="611"/>
        <w:gridCol w:w="602"/>
        <w:gridCol w:w="603"/>
        <w:gridCol w:w="603"/>
        <w:gridCol w:w="604"/>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5" w:type="pct"/>
            <w:gridSpan w:val="5"/>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行政复议</w:t>
            </w:r>
          </w:p>
        </w:tc>
        <w:tc>
          <w:tcPr>
            <w:tcW w:w="3344" w:type="pct"/>
            <w:gridSpan w:val="10"/>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Merge w:val="restar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结果维持</w:t>
            </w:r>
          </w:p>
        </w:tc>
        <w:tc>
          <w:tcPr>
            <w:tcW w:w="330" w:type="pct"/>
            <w:vMerge w:val="restar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结果纠正</w:t>
            </w:r>
          </w:p>
        </w:tc>
        <w:tc>
          <w:tcPr>
            <w:tcW w:w="330" w:type="pct"/>
            <w:vMerge w:val="restar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其他结果</w:t>
            </w:r>
          </w:p>
        </w:tc>
        <w:tc>
          <w:tcPr>
            <w:tcW w:w="331" w:type="pct"/>
            <w:vMerge w:val="restar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尚未审结</w:t>
            </w:r>
          </w:p>
        </w:tc>
        <w:tc>
          <w:tcPr>
            <w:tcW w:w="332" w:type="pct"/>
            <w:vMerge w:val="restar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总计</w:t>
            </w:r>
          </w:p>
        </w:tc>
        <w:tc>
          <w:tcPr>
            <w:tcW w:w="1668" w:type="pct"/>
            <w:gridSpan w:val="5"/>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未经复议直接起诉</w:t>
            </w:r>
          </w:p>
        </w:tc>
        <w:tc>
          <w:tcPr>
            <w:tcW w:w="1676" w:type="pct"/>
            <w:gridSpan w:val="5"/>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330" w:type="pct"/>
            <w:vMerge w:val="continue"/>
            <w:vAlign w:val="center"/>
          </w:tcPr>
          <w:p>
            <w:pPr>
              <w:jc w:val="center"/>
              <w:rPr>
                <w:rFonts w:hint="default" w:ascii="Times New Roman" w:hAnsi="Times New Roman" w:cs="Times New Roman"/>
                <w:sz w:val="24"/>
                <w:szCs w:val="24"/>
              </w:rPr>
            </w:pPr>
          </w:p>
        </w:tc>
        <w:tc>
          <w:tcPr>
            <w:tcW w:w="330" w:type="pct"/>
            <w:vMerge w:val="continue"/>
            <w:vAlign w:val="center"/>
          </w:tcPr>
          <w:p>
            <w:pPr>
              <w:jc w:val="center"/>
              <w:rPr>
                <w:rFonts w:hint="default" w:ascii="Times New Roman" w:hAnsi="Times New Roman" w:cs="Times New Roman"/>
                <w:sz w:val="24"/>
                <w:szCs w:val="24"/>
              </w:rPr>
            </w:pPr>
          </w:p>
        </w:tc>
        <w:tc>
          <w:tcPr>
            <w:tcW w:w="330" w:type="pct"/>
            <w:vMerge w:val="continue"/>
            <w:vAlign w:val="center"/>
          </w:tcPr>
          <w:p>
            <w:pPr>
              <w:jc w:val="center"/>
              <w:rPr>
                <w:rFonts w:hint="default" w:ascii="Times New Roman" w:hAnsi="Times New Roman" w:cs="Times New Roman"/>
                <w:sz w:val="24"/>
                <w:szCs w:val="24"/>
              </w:rPr>
            </w:pPr>
          </w:p>
        </w:tc>
        <w:tc>
          <w:tcPr>
            <w:tcW w:w="331" w:type="pct"/>
            <w:vMerge w:val="continue"/>
            <w:vAlign w:val="center"/>
          </w:tcPr>
          <w:p>
            <w:pPr>
              <w:jc w:val="center"/>
              <w:rPr>
                <w:rFonts w:hint="default" w:ascii="Times New Roman" w:hAnsi="Times New Roman" w:cs="Times New Roman"/>
                <w:sz w:val="24"/>
                <w:szCs w:val="24"/>
              </w:rPr>
            </w:pPr>
          </w:p>
        </w:tc>
        <w:tc>
          <w:tcPr>
            <w:tcW w:w="332" w:type="pct"/>
            <w:vMerge w:val="continue"/>
            <w:vAlign w:val="center"/>
          </w:tcPr>
          <w:p>
            <w:pPr>
              <w:jc w:val="center"/>
              <w:rPr>
                <w:rFonts w:hint="default" w:ascii="Times New Roman" w:hAnsi="Times New Roman" w:cs="Times New Roman"/>
                <w:sz w:val="24"/>
                <w:szCs w:val="24"/>
              </w:rPr>
            </w:pPr>
          </w:p>
        </w:tc>
        <w:tc>
          <w:tcPr>
            <w:tcW w:w="332"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结果维持</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结果纠正</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其他结果</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尚未审结</w:t>
            </w:r>
          </w:p>
        </w:tc>
        <w:tc>
          <w:tcPr>
            <w:tcW w:w="335"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总计</w:t>
            </w:r>
          </w:p>
        </w:tc>
        <w:tc>
          <w:tcPr>
            <w:tcW w:w="332"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结果维持</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结果纠正</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其他结果</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尚未审结</w:t>
            </w:r>
          </w:p>
        </w:tc>
        <w:tc>
          <w:tcPr>
            <w:tcW w:w="343" w:type="pct"/>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0"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0"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1"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2"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2"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5"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2"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3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c>
          <w:tcPr>
            <w:tcW w:w="343"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1"/>
                <w:lang w:val="en-US" w:eastAsia="zh-CN"/>
              </w:rPr>
              <w:t>0</w:t>
            </w:r>
          </w:p>
        </w:tc>
      </w:tr>
    </w:tbl>
    <w:p>
      <w:pPr>
        <w:widowControl/>
        <w:shd w:val="clear" w:color="auto" w:fill="FFFFFF"/>
        <w:jc w:val="center"/>
        <w:rPr>
          <w:rFonts w:hint="default" w:ascii="Times New Roman" w:hAnsi="Times New Roman" w:cs="Times New Roman"/>
          <w:kern w:val="0"/>
          <w:sz w:val="24"/>
          <w:szCs w:val="24"/>
        </w:rPr>
      </w:pPr>
    </w:p>
    <w:p>
      <w:pPr>
        <w:widowControl/>
        <w:shd w:val="clear" w:color="auto" w:fill="FFFFFF"/>
        <w:spacing w:line="560" w:lineRule="exact"/>
        <w:ind w:firstLine="480"/>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rPr>
        <w:t>五、存在的主要问题及改进</w:t>
      </w:r>
      <w:r>
        <w:rPr>
          <w:rFonts w:hint="default" w:ascii="Times New Roman" w:hAnsi="Times New Roman" w:eastAsia="黑体" w:cs="Times New Roman"/>
          <w:bCs/>
          <w:kern w:val="0"/>
          <w:sz w:val="32"/>
          <w:szCs w:val="32"/>
          <w:lang w:eastAsia="zh-CN"/>
        </w:rPr>
        <w:t>措施</w:t>
      </w:r>
    </w:p>
    <w:p>
      <w:pPr>
        <w:widowControl/>
        <w:shd w:val="clear" w:color="auto" w:fill="FFFFFF"/>
        <w:spacing w:line="560" w:lineRule="exact"/>
        <w:ind w:firstLine="482"/>
        <w:rPr>
          <w:rFonts w:hint="default"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i w:val="0"/>
          <w:caps w:val="0"/>
          <w:color w:val="333333"/>
          <w:spacing w:val="0"/>
          <w:sz w:val="32"/>
          <w:szCs w:val="32"/>
          <w:shd w:val="clear" w:fill="FFFFFF"/>
        </w:rPr>
        <w:t>202</w:t>
      </w:r>
      <w:r>
        <w:rPr>
          <w:rFonts w:hint="default" w:ascii="Times New Roman" w:hAnsi="Times New Roman" w:eastAsia="仿宋_GB2312" w:cs="Times New Roman"/>
          <w:i w:val="0"/>
          <w:caps w:val="0"/>
          <w:color w:val="333333"/>
          <w:spacing w:val="0"/>
          <w:sz w:val="32"/>
          <w:szCs w:val="32"/>
          <w:shd w:val="clear" w:fill="FFFFFF"/>
          <w:lang w:val="en-US" w:eastAsia="zh-CN"/>
        </w:rPr>
        <w:t>1</w:t>
      </w:r>
      <w:r>
        <w:rPr>
          <w:rFonts w:hint="default" w:ascii="Times New Roman" w:hAnsi="Times New Roman" w:eastAsia="仿宋_GB2312" w:cs="Times New Roman"/>
          <w:i w:val="0"/>
          <w:caps w:val="0"/>
          <w:color w:val="333333"/>
          <w:spacing w:val="0"/>
          <w:sz w:val="32"/>
          <w:szCs w:val="32"/>
          <w:shd w:val="clear" w:fill="FFFFFF"/>
        </w:rPr>
        <w:t>年</w:t>
      </w:r>
      <w:r>
        <w:rPr>
          <w:rFonts w:hint="default" w:ascii="Times New Roman" w:hAnsi="Times New Roman" w:eastAsia="仿宋_GB2312" w:cs="Times New Roman"/>
          <w:i w:val="0"/>
          <w:caps w:val="0"/>
          <w:color w:val="333333"/>
          <w:spacing w:val="0"/>
          <w:sz w:val="32"/>
          <w:szCs w:val="32"/>
          <w:shd w:val="clear" w:fill="FFFFFF"/>
          <w:lang w:eastAsia="zh-CN"/>
        </w:rPr>
        <w:t>淄川经济开发区</w:t>
      </w:r>
      <w:r>
        <w:rPr>
          <w:rFonts w:hint="default" w:ascii="Times New Roman" w:hAnsi="Times New Roman" w:eastAsia="仿宋_GB2312" w:cs="Times New Roman"/>
          <w:i w:val="0"/>
          <w:caps w:val="0"/>
          <w:color w:val="333333"/>
          <w:spacing w:val="0"/>
          <w:sz w:val="32"/>
          <w:szCs w:val="32"/>
          <w:shd w:val="clear" w:fill="FFFFFF"/>
        </w:rPr>
        <w:t>政务信息公开工作</w:t>
      </w:r>
      <w:r>
        <w:rPr>
          <w:rFonts w:hint="default" w:ascii="Times New Roman" w:hAnsi="Times New Roman" w:eastAsia="仿宋_GB2312" w:cs="Times New Roman"/>
          <w:i w:val="0"/>
          <w:caps w:val="0"/>
          <w:color w:val="333333"/>
          <w:spacing w:val="0"/>
          <w:sz w:val="32"/>
          <w:szCs w:val="32"/>
          <w:shd w:val="clear" w:fill="FFFFFF"/>
          <w:lang w:eastAsia="zh-CN"/>
        </w:rPr>
        <w:t>虽然</w:t>
      </w:r>
      <w:r>
        <w:rPr>
          <w:rFonts w:hint="default" w:ascii="Times New Roman" w:hAnsi="Times New Roman" w:eastAsia="仿宋_GB2312" w:cs="Times New Roman"/>
          <w:i w:val="0"/>
          <w:caps w:val="0"/>
          <w:color w:val="333333"/>
          <w:spacing w:val="0"/>
          <w:sz w:val="32"/>
          <w:szCs w:val="32"/>
          <w:shd w:val="clear" w:fill="FFFFFF"/>
        </w:rPr>
        <w:t>取得了一定成效，但与法治政府建设要求及社会、</w:t>
      </w:r>
      <w:r>
        <w:rPr>
          <w:rFonts w:hint="default" w:ascii="Times New Roman" w:hAnsi="Times New Roman" w:eastAsia="仿宋_GB2312" w:cs="Times New Roman"/>
          <w:i w:val="0"/>
          <w:caps w:val="0"/>
          <w:color w:val="333333"/>
          <w:spacing w:val="0"/>
          <w:sz w:val="32"/>
          <w:szCs w:val="32"/>
          <w:shd w:val="clear" w:fill="FFFFFF"/>
          <w:lang w:eastAsia="zh-CN"/>
        </w:rPr>
        <w:t>企业、</w:t>
      </w:r>
      <w:r>
        <w:rPr>
          <w:rFonts w:hint="default" w:ascii="Times New Roman" w:hAnsi="Times New Roman" w:eastAsia="仿宋_GB2312" w:cs="Times New Roman"/>
          <w:i w:val="0"/>
          <w:caps w:val="0"/>
          <w:color w:val="333333"/>
          <w:spacing w:val="0"/>
          <w:sz w:val="32"/>
          <w:szCs w:val="32"/>
          <w:shd w:val="clear" w:fill="FFFFFF"/>
        </w:rPr>
        <w:t>公众期待相比</w:t>
      </w:r>
      <w:r>
        <w:rPr>
          <w:rFonts w:hint="default" w:ascii="Times New Roman" w:hAnsi="Times New Roman" w:eastAsia="仿宋_GB2312" w:cs="Times New Roman"/>
          <w:i w:val="0"/>
          <w:caps w:val="0"/>
          <w:color w:val="333333"/>
          <w:spacing w:val="0"/>
          <w:sz w:val="32"/>
          <w:szCs w:val="32"/>
          <w:shd w:val="clear" w:fill="FFFFFF"/>
          <w:lang w:eastAsia="zh-CN"/>
        </w:rPr>
        <w:t>以及优化营商环境新要求相比</w:t>
      </w:r>
      <w:r>
        <w:rPr>
          <w:rFonts w:hint="default" w:ascii="Times New Roman" w:hAnsi="Times New Roman" w:eastAsia="仿宋_GB2312" w:cs="Times New Roman"/>
          <w:i w:val="0"/>
          <w:caps w:val="0"/>
          <w:color w:val="333333"/>
          <w:spacing w:val="0"/>
          <w:sz w:val="32"/>
          <w:szCs w:val="32"/>
          <w:shd w:val="clear" w:fill="FFFFFF"/>
        </w:rPr>
        <w:t>，仍存在信息</w:t>
      </w:r>
      <w:r>
        <w:rPr>
          <w:rFonts w:hint="default" w:ascii="Times New Roman" w:hAnsi="Times New Roman" w:eastAsia="仿宋_GB2312" w:cs="Times New Roman"/>
          <w:i w:val="0"/>
          <w:caps w:val="0"/>
          <w:color w:val="333333"/>
          <w:spacing w:val="0"/>
          <w:sz w:val="32"/>
          <w:szCs w:val="32"/>
          <w:shd w:val="clear" w:fill="FFFFFF"/>
          <w:lang w:eastAsia="zh-CN"/>
        </w:rPr>
        <w:t>实效、</w:t>
      </w:r>
      <w:r>
        <w:rPr>
          <w:rFonts w:hint="default" w:ascii="Times New Roman" w:hAnsi="Times New Roman" w:eastAsia="仿宋_GB2312" w:cs="Times New Roman"/>
          <w:i w:val="0"/>
          <w:caps w:val="0"/>
          <w:color w:val="333333"/>
          <w:spacing w:val="0"/>
          <w:sz w:val="32"/>
          <w:szCs w:val="32"/>
          <w:shd w:val="clear" w:fill="FFFFFF"/>
        </w:rPr>
        <w:t>公开流程</w:t>
      </w:r>
      <w:r>
        <w:rPr>
          <w:rFonts w:hint="default" w:ascii="Times New Roman" w:hAnsi="Times New Roman" w:eastAsia="仿宋_GB2312" w:cs="Times New Roman"/>
          <w:i w:val="0"/>
          <w:caps w:val="0"/>
          <w:color w:val="333333"/>
          <w:spacing w:val="0"/>
          <w:sz w:val="32"/>
          <w:szCs w:val="32"/>
          <w:shd w:val="clear" w:fill="FFFFFF"/>
          <w:lang w:eastAsia="zh-CN"/>
        </w:rPr>
        <w:t>需要及时规范</w:t>
      </w:r>
      <w:r>
        <w:rPr>
          <w:rFonts w:hint="default" w:ascii="Times New Roman" w:hAnsi="Times New Roman" w:eastAsia="仿宋_GB2312" w:cs="Times New Roman"/>
          <w:i w:val="0"/>
          <w:caps w:val="0"/>
          <w:color w:val="333333"/>
          <w:spacing w:val="0"/>
          <w:sz w:val="32"/>
          <w:szCs w:val="32"/>
          <w:shd w:val="clear" w:fill="FFFFFF"/>
        </w:rPr>
        <w:t>，信息公开范围</w:t>
      </w:r>
      <w:r>
        <w:rPr>
          <w:rFonts w:hint="default" w:ascii="Times New Roman" w:hAnsi="Times New Roman" w:eastAsia="仿宋_GB2312" w:cs="Times New Roman"/>
          <w:i w:val="0"/>
          <w:caps w:val="0"/>
          <w:color w:val="333333"/>
          <w:spacing w:val="0"/>
          <w:sz w:val="32"/>
          <w:szCs w:val="32"/>
          <w:shd w:val="clear" w:fill="FFFFFF"/>
          <w:lang w:eastAsia="zh-CN"/>
        </w:rPr>
        <w:t>、</w:t>
      </w:r>
      <w:r>
        <w:rPr>
          <w:rFonts w:hint="default" w:ascii="Times New Roman" w:hAnsi="Times New Roman" w:eastAsia="仿宋_GB2312" w:cs="Times New Roman"/>
          <w:i w:val="0"/>
          <w:caps w:val="0"/>
          <w:color w:val="333333"/>
          <w:spacing w:val="0"/>
          <w:sz w:val="32"/>
          <w:szCs w:val="32"/>
          <w:shd w:val="clear" w:fill="FFFFFF"/>
        </w:rPr>
        <w:t>形式有待</w:t>
      </w:r>
      <w:r>
        <w:rPr>
          <w:rFonts w:hint="default" w:ascii="Times New Roman" w:hAnsi="Times New Roman" w:eastAsia="仿宋_GB2312" w:cs="Times New Roman"/>
          <w:i w:val="0"/>
          <w:caps w:val="0"/>
          <w:color w:val="333333"/>
          <w:spacing w:val="0"/>
          <w:sz w:val="32"/>
          <w:szCs w:val="32"/>
          <w:shd w:val="clear" w:fill="FFFFFF"/>
          <w:lang w:eastAsia="zh-CN"/>
        </w:rPr>
        <w:t>全面</w:t>
      </w:r>
      <w:r>
        <w:rPr>
          <w:rFonts w:hint="default" w:ascii="Times New Roman" w:hAnsi="Times New Roman" w:eastAsia="仿宋_GB2312" w:cs="Times New Roman"/>
          <w:i w:val="0"/>
          <w:caps w:val="0"/>
          <w:color w:val="333333"/>
          <w:spacing w:val="0"/>
          <w:sz w:val="32"/>
          <w:szCs w:val="32"/>
          <w:shd w:val="clear" w:fill="FFFFFF"/>
        </w:rPr>
        <w:t>拓宽等问题。</w:t>
      </w:r>
      <w:r>
        <w:rPr>
          <w:rFonts w:hint="default" w:ascii="Times New Roman" w:hAnsi="Times New Roman" w:eastAsia="仿宋_GB2312" w:cs="Times New Roman"/>
          <w:i w:val="0"/>
          <w:caps w:val="0"/>
          <w:color w:val="333333"/>
          <w:spacing w:val="0"/>
          <w:sz w:val="32"/>
          <w:szCs w:val="32"/>
          <w:shd w:val="clear" w:fill="FFFFFF"/>
          <w:lang w:eastAsia="zh-CN"/>
        </w:rPr>
        <w:t>开发区</w:t>
      </w:r>
      <w:r>
        <w:rPr>
          <w:rFonts w:hint="default" w:ascii="Times New Roman" w:hAnsi="Times New Roman" w:eastAsia="仿宋_GB2312" w:cs="Times New Roman"/>
          <w:i w:val="0"/>
          <w:caps w:val="0"/>
          <w:color w:val="333333"/>
          <w:spacing w:val="0"/>
          <w:sz w:val="32"/>
          <w:szCs w:val="32"/>
          <w:shd w:val="clear" w:fill="FFFFFF"/>
        </w:rPr>
        <w:t>进一步完善信息公开目录，聚焦与</w:t>
      </w:r>
      <w:r>
        <w:rPr>
          <w:rFonts w:hint="default" w:ascii="Times New Roman" w:hAnsi="Times New Roman" w:eastAsia="仿宋_GB2312" w:cs="Times New Roman"/>
          <w:i w:val="0"/>
          <w:caps w:val="0"/>
          <w:color w:val="333333"/>
          <w:spacing w:val="0"/>
          <w:sz w:val="32"/>
          <w:szCs w:val="32"/>
          <w:shd w:val="clear" w:fill="FFFFFF"/>
          <w:lang w:eastAsia="zh-CN"/>
        </w:rPr>
        <w:t>企业、</w:t>
      </w:r>
      <w:r>
        <w:rPr>
          <w:rFonts w:hint="default" w:ascii="Times New Roman" w:hAnsi="Times New Roman" w:eastAsia="仿宋_GB2312" w:cs="Times New Roman"/>
          <w:i w:val="0"/>
          <w:caps w:val="0"/>
          <w:color w:val="333333"/>
          <w:spacing w:val="0"/>
          <w:sz w:val="32"/>
          <w:szCs w:val="32"/>
          <w:shd w:val="clear" w:fill="FFFFFF"/>
        </w:rPr>
        <w:t>群众</w:t>
      </w:r>
      <w:r>
        <w:rPr>
          <w:rFonts w:hint="default" w:ascii="Times New Roman" w:hAnsi="Times New Roman" w:eastAsia="仿宋_GB2312" w:cs="Times New Roman"/>
          <w:i w:val="0"/>
          <w:caps w:val="0"/>
          <w:color w:val="333333"/>
          <w:spacing w:val="0"/>
          <w:sz w:val="32"/>
          <w:szCs w:val="32"/>
          <w:shd w:val="clear" w:fill="FFFFFF"/>
          <w:lang w:eastAsia="zh-CN"/>
        </w:rPr>
        <w:t>密切</w:t>
      </w:r>
      <w:r>
        <w:rPr>
          <w:rFonts w:hint="default" w:ascii="Times New Roman" w:hAnsi="Times New Roman" w:eastAsia="仿宋_GB2312" w:cs="Times New Roman"/>
          <w:i w:val="0"/>
          <w:caps w:val="0"/>
          <w:color w:val="333333"/>
          <w:spacing w:val="0"/>
          <w:sz w:val="32"/>
          <w:szCs w:val="32"/>
          <w:shd w:val="clear" w:fill="FFFFFF"/>
        </w:rPr>
        <w:t>相关的</w:t>
      </w:r>
      <w:r>
        <w:rPr>
          <w:rFonts w:hint="default" w:ascii="Times New Roman" w:hAnsi="Times New Roman" w:eastAsia="仿宋_GB2312" w:cs="Times New Roman"/>
          <w:i w:val="0"/>
          <w:caps w:val="0"/>
          <w:color w:val="333333"/>
          <w:spacing w:val="0"/>
          <w:sz w:val="32"/>
          <w:szCs w:val="32"/>
          <w:shd w:val="clear" w:fill="FFFFFF"/>
          <w:lang w:eastAsia="zh-CN"/>
        </w:rPr>
        <w:t>焦点、热点、难点</w:t>
      </w:r>
      <w:r>
        <w:rPr>
          <w:rFonts w:hint="default" w:ascii="Times New Roman" w:hAnsi="Times New Roman" w:eastAsia="仿宋_GB2312" w:cs="Times New Roman"/>
          <w:i w:val="0"/>
          <w:caps w:val="0"/>
          <w:color w:val="333333"/>
          <w:spacing w:val="0"/>
          <w:sz w:val="32"/>
          <w:szCs w:val="32"/>
          <w:shd w:val="clear" w:fill="FFFFFF"/>
        </w:rPr>
        <w:t>问题，进一步拓宽信息公开范围及渠道，</w:t>
      </w:r>
      <w:r>
        <w:rPr>
          <w:rFonts w:hint="default" w:ascii="Times New Roman" w:hAnsi="Times New Roman" w:eastAsia="仿宋_GB2312" w:cs="Times New Roman"/>
          <w:i w:val="0"/>
          <w:caps w:val="0"/>
          <w:color w:val="333333"/>
          <w:spacing w:val="0"/>
          <w:sz w:val="32"/>
          <w:szCs w:val="32"/>
          <w:shd w:val="clear" w:fill="FFFFFF"/>
          <w:lang w:eastAsia="zh-CN"/>
        </w:rPr>
        <w:t>创新公开媒介，</w:t>
      </w:r>
      <w:r>
        <w:rPr>
          <w:rFonts w:hint="default" w:ascii="Times New Roman" w:hAnsi="Times New Roman" w:eastAsia="仿宋_GB2312" w:cs="Times New Roman"/>
          <w:i w:val="0"/>
          <w:caps w:val="0"/>
          <w:color w:val="333333"/>
          <w:spacing w:val="0"/>
          <w:sz w:val="32"/>
          <w:szCs w:val="32"/>
          <w:shd w:val="clear" w:fill="FFFFFF"/>
        </w:rPr>
        <w:t>加强平台建设，强化便民服务，探索政务公开新模式，不断提高公开内容的深度；</w:t>
      </w:r>
      <w:r>
        <w:rPr>
          <w:rFonts w:hint="default" w:ascii="Times New Roman" w:hAnsi="Times New Roman" w:eastAsia="仿宋_GB2312" w:cs="Times New Roman"/>
          <w:i w:val="0"/>
          <w:caps w:val="0"/>
          <w:color w:val="333333"/>
          <w:spacing w:val="0"/>
          <w:sz w:val="32"/>
          <w:szCs w:val="32"/>
          <w:shd w:val="clear" w:fill="FFFFFF"/>
          <w:lang w:eastAsia="zh-CN"/>
        </w:rPr>
        <w:t>另一方面，</w:t>
      </w:r>
      <w:r>
        <w:rPr>
          <w:rFonts w:hint="default" w:ascii="Times New Roman" w:hAnsi="Times New Roman" w:eastAsia="仿宋_GB2312" w:cs="Times New Roman"/>
          <w:i w:val="0"/>
          <w:caps w:val="0"/>
          <w:color w:val="333333"/>
          <w:spacing w:val="0"/>
          <w:sz w:val="32"/>
          <w:szCs w:val="32"/>
          <w:shd w:val="clear" w:fill="FFFFFF"/>
        </w:rPr>
        <w:t>进一步完善政府信息公开工作机制,加强学习培训,提高信息工作人员的业务水平,增强责任意识,</w:t>
      </w:r>
      <w:r>
        <w:rPr>
          <w:rFonts w:hint="default" w:ascii="Times New Roman" w:hAnsi="Times New Roman" w:eastAsia="仿宋_GB2312" w:cs="Times New Roman"/>
          <w:i w:val="0"/>
          <w:caps w:val="0"/>
          <w:color w:val="333333"/>
          <w:spacing w:val="0"/>
          <w:sz w:val="32"/>
          <w:szCs w:val="32"/>
          <w:shd w:val="clear" w:fill="FFFFFF"/>
          <w:lang w:eastAsia="zh-CN"/>
        </w:rPr>
        <w:t>推动开发区政务信息公开工作打开新局面。</w:t>
      </w:r>
    </w:p>
    <w:p>
      <w:pPr>
        <w:widowControl/>
        <w:numPr>
          <w:ilvl w:val="0"/>
          <w:numId w:val="0"/>
        </w:numPr>
        <w:shd w:val="clear" w:color="auto" w:fill="FFFFFF"/>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六、</w:t>
      </w:r>
      <w:r>
        <w:rPr>
          <w:rFonts w:hint="default" w:ascii="Times New Roman" w:hAnsi="Times New Roman" w:eastAsia="黑体" w:cs="Times New Roman"/>
          <w:bCs/>
          <w:kern w:val="0"/>
          <w:sz w:val="32"/>
          <w:szCs w:val="32"/>
        </w:rPr>
        <w:t>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楷体" w:cs="Times New Roman"/>
          <w:i w:val="0"/>
          <w:caps w:val="0"/>
          <w:color w:val="000000"/>
          <w:spacing w:val="0"/>
          <w:sz w:val="32"/>
          <w:szCs w:val="32"/>
          <w:shd w:val="clear" w:color="auto" w:fill="FFFFFF"/>
          <w:lang w:val="en-US" w:eastAsia="zh-CN"/>
        </w:rPr>
        <w:t>1、</w:t>
      </w:r>
      <w:r>
        <w:rPr>
          <w:rFonts w:hint="default" w:ascii="Times New Roman" w:hAnsi="Times New Roman" w:eastAsia="楷体"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i w:val="0"/>
          <w:caps w:val="0"/>
          <w:color w:val="000000"/>
          <w:spacing w:val="0"/>
          <w:sz w:val="32"/>
          <w:szCs w:val="32"/>
          <w:shd w:val="clear" w:fill="FFFFFF"/>
        </w:rPr>
        <w:t>按照《国务院办公厅关于印发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i w:val="0"/>
          <w:caps w:val="0"/>
          <w:color w:val="000000"/>
          <w:spacing w:val="0"/>
          <w:sz w:val="32"/>
          <w:szCs w:val="32"/>
        </w:rPr>
        <w:t>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widowControl/>
        <w:numPr>
          <w:ilvl w:val="0"/>
          <w:numId w:val="0"/>
        </w:numPr>
        <w:shd w:val="clear" w:color="auto" w:fill="FFFFFF"/>
        <w:spacing w:line="560" w:lineRule="exact"/>
        <w:ind w:firstLine="640" w:firstLineChars="200"/>
        <w:rPr>
          <w:rFonts w:hint="default" w:ascii="Times New Roman" w:hAnsi="Times New Roman" w:eastAsia="仿宋_GB2312" w:cs="Times New Roman"/>
          <w:bCs/>
          <w:kern w:val="0"/>
          <w:sz w:val="32"/>
          <w:szCs w:val="32"/>
          <w:lang w:val="en-US" w:eastAsia="zh-CN"/>
        </w:rPr>
      </w:pPr>
      <w:r>
        <w:rPr>
          <w:rFonts w:hint="default" w:ascii="Times New Roman" w:hAnsi="Times New Roman" w:eastAsia="楷体"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。按照上级政务公开工作要求，及时梳理公开事项，确保栏目及时更新。</w:t>
      </w:r>
    </w:p>
    <w:p>
      <w:pPr>
        <w:widowControl/>
        <w:numPr>
          <w:ilvl w:val="0"/>
          <w:numId w:val="0"/>
        </w:numPr>
        <w:shd w:val="clear" w:color="auto" w:fill="FFFFFF"/>
        <w:spacing w:line="560" w:lineRule="exact"/>
        <w:ind w:firstLine="640" w:firstLineChars="200"/>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楷体" w:cs="Times New Roman"/>
          <w:bCs/>
          <w:kern w:val="0"/>
          <w:sz w:val="32"/>
          <w:szCs w:val="32"/>
          <w:lang w:val="en-US" w:eastAsia="zh-CN"/>
        </w:rPr>
        <w:t>3、人大建议和政协提案办理结果公开情况</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i w:val="0"/>
          <w:caps w:val="0"/>
          <w:color w:val="000000"/>
          <w:spacing w:val="0"/>
          <w:sz w:val="32"/>
          <w:szCs w:val="32"/>
          <w:shd w:val="clear" w:fill="FFFFFF"/>
        </w:rPr>
        <w:t>2021年未收到人大政协建议提案，未有上级建议提案办理任务。</w:t>
      </w:r>
    </w:p>
    <w:p>
      <w:pPr>
        <w:widowControl/>
        <w:shd w:val="clear" w:color="auto" w:fill="FFFFFF"/>
        <w:spacing w:line="560" w:lineRule="exact"/>
        <w:ind w:firstLine="480"/>
        <w:jc w:val="both"/>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b w:val="0"/>
          <w:bCs w:val="0"/>
          <w:color w:val="000000"/>
          <w:kern w:val="2"/>
          <w:sz w:val="32"/>
          <w:szCs w:val="32"/>
        </w:rPr>
        <w:t>本报告所列数据统计期限为2021年1月1日至2021年12月31日。</w:t>
      </w:r>
    </w:p>
    <w:p>
      <w:pPr>
        <w:widowControl/>
        <w:numPr>
          <w:ilvl w:val="0"/>
          <w:numId w:val="0"/>
        </w:numPr>
        <w:shd w:val="clear" w:color="auto" w:fill="FFFFFF"/>
        <w:spacing w:line="560" w:lineRule="exact"/>
        <w:ind w:firstLine="640"/>
        <w:rPr>
          <w:rFonts w:hint="default" w:ascii="Times New Roman" w:hAnsi="Times New Roman" w:eastAsia="仿宋_GB2312" w:cs="Times New Roman"/>
          <w:i w:val="0"/>
          <w:caps w:val="0"/>
          <w:color w:val="000000"/>
          <w:spacing w:val="0"/>
          <w:sz w:val="32"/>
          <w:szCs w:val="32"/>
          <w:shd w:val="clear" w:fill="FFFFFF"/>
          <w:lang w:eastAsia="zh-CN"/>
        </w:rPr>
      </w:pPr>
    </w:p>
    <w:p>
      <w:pPr>
        <w:widowControl/>
        <w:numPr>
          <w:ilvl w:val="0"/>
          <w:numId w:val="0"/>
        </w:numPr>
        <w:shd w:val="clear" w:color="auto" w:fill="FFFFFF"/>
        <w:spacing w:line="560" w:lineRule="exact"/>
        <w:ind w:firstLine="5126" w:firstLineChars="1602"/>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2022年1月24日</w:t>
      </w:r>
    </w:p>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楷体"/>
    <w:panose1 w:val="00000000000000000000"/>
    <w:charset w:val="86"/>
    <w:family w:val="swiss"/>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FangSong_GB2312">
    <w:altName w:val="仿宋_GB2312"/>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EE"/>
    <w:rsid w:val="0000536E"/>
    <w:rsid w:val="00035664"/>
    <w:rsid w:val="00037EFB"/>
    <w:rsid w:val="000959A2"/>
    <w:rsid w:val="00194B25"/>
    <w:rsid w:val="001C4F78"/>
    <w:rsid w:val="001E372B"/>
    <w:rsid w:val="002B5841"/>
    <w:rsid w:val="002C5B60"/>
    <w:rsid w:val="00301CA6"/>
    <w:rsid w:val="00317CB7"/>
    <w:rsid w:val="00322437"/>
    <w:rsid w:val="00341973"/>
    <w:rsid w:val="003428E7"/>
    <w:rsid w:val="003536E4"/>
    <w:rsid w:val="003A7DAC"/>
    <w:rsid w:val="003D0437"/>
    <w:rsid w:val="004210D5"/>
    <w:rsid w:val="00490626"/>
    <w:rsid w:val="004F7BF2"/>
    <w:rsid w:val="00540433"/>
    <w:rsid w:val="0058577E"/>
    <w:rsid w:val="006046B5"/>
    <w:rsid w:val="0068638C"/>
    <w:rsid w:val="006A0541"/>
    <w:rsid w:val="006A3111"/>
    <w:rsid w:val="006D6D0B"/>
    <w:rsid w:val="00777FEE"/>
    <w:rsid w:val="00796BB6"/>
    <w:rsid w:val="00846887"/>
    <w:rsid w:val="008D12FC"/>
    <w:rsid w:val="00914CFD"/>
    <w:rsid w:val="009D2C00"/>
    <w:rsid w:val="00AC569C"/>
    <w:rsid w:val="00AF235E"/>
    <w:rsid w:val="00AF5F99"/>
    <w:rsid w:val="00B00E8A"/>
    <w:rsid w:val="00B00FEE"/>
    <w:rsid w:val="00B34114"/>
    <w:rsid w:val="00B80C2F"/>
    <w:rsid w:val="00BD525D"/>
    <w:rsid w:val="00C01734"/>
    <w:rsid w:val="00C702C4"/>
    <w:rsid w:val="00C70B88"/>
    <w:rsid w:val="00D5218C"/>
    <w:rsid w:val="00D72CFE"/>
    <w:rsid w:val="00D804C9"/>
    <w:rsid w:val="00D920F2"/>
    <w:rsid w:val="00E4116C"/>
    <w:rsid w:val="00F579DF"/>
    <w:rsid w:val="00F6465D"/>
    <w:rsid w:val="00FC71F7"/>
    <w:rsid w:val="084A4178"/>
    <w:rsid w:val="087F3E7B"/>
    <w:rsid w:val="0A135D37"/>
    <w:rsid w:val="14555CCF"/>
    <w:rsid w:val="1EF20821"/>
    <w:rsid w:val="231E34D6"/>
    <w:rsid w:val="25C9120A"/>
    <w:rsid w:val="2CF32449"/>
    <w:rsid w:val="2E713917"/>
    <w:rsid w:val="36774695"/>
    <w:rsid w:val="3AF311DB"/>
    <w:rsid w:val="3F0D7EB6"/>
    <w:rsid w:val="47A745A2"/>
    <w:rsid w:val="501355F3"/>
    <w:rsid w:val="50C71488"/>
    <w:rsid w:val="58CB6482"/>
    <w:rsid w:val="598D4C24"/>
    <w:rsid w:val="5A341481"/>
    <w:rsid w:val="60176E2D"/>
    <w:rsid w:val="654426C8"/>
    <w:rsid w:val="6AEA67A8"/>
    <w:rsid w:val="6E246E8C"/>
    <w:rsid w:val="717860A4"/>
    <w:rsid w:val="751A77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51"/>
    </w:pPr>
    <w:rPr>
      <w:sz w:val="32"/>
      <w:szCs w:val="32"/>
    </w:rPr>
  </w:style>
  <w:style w:type="paragraph" w:styleId="4">
    <w:name w:val="Date"/>
    <w:basedOn w:val="1"/>
    <w:next w:val="1"/>
    <w:link w:val="28"/>
    <w:semiHidden/>
    <w:unhideWhenUsed/>
    <w:qFormat/>
    <w:uiPriority w:val="99"/>
    <w:pPr>
      <w:ind w:left="100" w:leftChars="2500"/>
    </w:pPr>
  </w:style>
  <w:style w:type="paragraph" w:styleId="5">
    <w:name w:val="Balloon Text"/>
    <w:basedOn w:val="1"/>
    <w:link w:val="27"/>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customStyle="1" w:styleId="13">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4">
    <w:name w:val="CM1"/>
    <w:basedOn w:val="13"/>
    <w:next w:val="13"/>
    <w:qFormat/>
    <w:uiPriority w:val="99"/>
    <w:rPr>
      <w:rFonts w:cs="Times New Roman"/>
      <w:color w:val="auto"/>
    </w:rPr>
  </w:style>
  <w:style w:type="paragraph" w:customStyle="1" w:styleId="15">
    <w:name w:val="CM8"/>
    <w:basedOn w:val="13"/>
    <w:next w:val="13"/>
    <w:qFormat/>
    <w:uiPriority w:val="99"/>
    <w:pPr>
      <w:spacing w:after="255"/>
    </w:pPr>
    <w:rPr>
      <w:rFonts w:cs="Times New Roman"/>
      <w:color w:val="auto"/>
    </w:rPr>
  </w:style>
  <w:style w:type="paragraph" w:customStyle="1" w:styleId="16">
    <w:name w:val="CM2"/>
    <w:basedOn w:val="13"/>
    <w:next w:val="13"/>
    <w:qFormat/>
    <w:uiPriority w:val="99"/>
    <w:pPr>
      <w:spacing w:line="598" w:lineRule="atLeast"/>
    </w:pPr>
    <w:rPr>
      <w:rFonts w:cs="Times New Roman"/>
      <w:color w:val="auto"/>
    </w:rPr>
  </w:style>
  <w:style w:type="paragraph" w:customStyle="1" w:styleId="17">
    <w:name w:val="CM3"/>
    <w:basedOn w:val="13"/>
    <w:next w:val="13"/>
    <w:qFormat/>
    <w:uiPriority w:val="99"/>
    <w:pPr>
      <w:spacing w:line="593" w:lineRule="atLeast"/>
    </w:pPr>
    <w:rPr>
      <w:rFonts w:cs="Times New Roman"/>
      <w:color w:val="auto"/>
    </w:rPr>
  </w:style>
  <w:style w:type="paragraph" w:customStyle="1" w:styleId="18">
    <w:name w:val="CM4"/>
    <w:basedOn w:val="13"/>
    <w:next w:val="13"/>
    <w:qFormat/>
    <w:uiPriority w:val="99"/>
    <w:pPr>
      <w:spacing w:line="593" w:lineRule="atLeast"/>
    </w:pPr>
    <w:rPr>
      <w:rFonts w:cs="Times New Roman"/>
      <w:color w:val="auto"/>
    </w:rPr>
  </w:style>
  <w:style w:type="paragraph" w:customStyle="1" w:styleId="19">
    <w:name w:val="CM9"/>
    <w:basedOn w:val="13"/>
    <w:next w:val="13"/>
    <w:qFormat/>
    <w:uiPriority w:val="99"/>
    <w:pPr>
      <w:spacing w:after="572"/>
    </w:pPr>
    <w:rPr>
      <w:rFonts w:cs="Times New Roman"/>
      <w:color w:val="auto"/>
    </w:rPr>
  </w:style>
  <w:style w:type="paragraph" w:customStyle="1" w:styleId="20">
    <w:name w:val="CM5"/>
    <w:basedOn w:val="13"/>
    <w:next w:val="13"/>
    <w:qFormat/>
    <w:uiPriority w:val="99"/>
    <w:pPr>
      <w:spacing w:line="593" w:lineRule="atLeast"/>
    </w:pPr>
    <w:rPr>
      <w:rFonts w:cs="Times New Roman"/>
      <w:color w:val="auto"/>
    </w:rPr>
  </w:style>
  <w:style w:type="paragraph" w:customStyle="1" w:styleId="21">
    <w:name w:val="CM6"/>
    <w:basedOn w:val="13"/>
    <w:next w:val="13"/>
    <w:qFormat/>
    <w:uiPriority w:val="99"/>
    <w:rPr>
      <w:rFonts w:cs="Times New Roman"/>
      <w:color w:val="auto"/>
    </w:rPr>
  </w:style>
  <w:style w:type="paragraph" w:customStyle="1" w:styleId="22">
    <w:name w:val="CM10"/>
    <w:basedOn w:val="13"/>
    <w:next w:val="13"/>
    <w:qFormat/>
    <w:uiPriority w:val="99"/>
    <w:pPr>
      <w:spacing w:after="188"/>
    </w:pPr>
    <w:rPr>
      <w:rFonts w:cs="Times New Roman"/>
      <w:color w:val="auto"/>
    </w:rPr>
  </w:style>
  <w:style w:type="paragraph" w:customStyle="1" w:styleId="23">
    <w:name w:val="CM7"/>
    <w:basedOn w:val="13"/>
    <w:next w:val="13"/>
    <w:qFormat/>
    <w:uiPriority w:val="99"/>
    <w:rPr>
      <w:rFonts w:cs="Times New Roman"/>
      <w:color w:val="auto"/>
    </w:rPr>
  </w:style>
  <w:style w:type="paragraph" w:customStyle="1" w:styleId="24">
    <w:name w:val="CM11"/>
    <w:basedOn w:val="13"/>
    <w:next w:val="13"/>
    <w:qFormat/>
    <w:uiPriority w:val="99"/>
    <w:pPr>
      <w:spacing w:after="840"/>
    </w:pPr>
    <w:rPr>
      <w:rFonts w:cs="Times New Roman"/>
      <w:color w:val="auto"/>
    </w:rPr>
  </w:style>
  <w:style w:type="character" w:customStyle="1" w:styleId="25">
    <w:name w:val="页眉 字符"/>
    <w:basedOn w:val="11"/>
    <w:link w:val="7"/>
    <w:qFormat/>
    <w:locked/>
    <w:uiPriority w:val="99"/>
    <w:rPr>
      <w:rFonts w:cs="Times New Roman"/>
      <w:sz w:val="18"/>
      <w:szCs w:val="18"/>
    </w:rPr>
  </w:style>
  <w:style w:type="character" w:customStyle="1" w:styleId="26">
    <w:name w:val="页脚 字符"/>
    <w:basedOn w:val="11"/>
    <w:link w:val="6"/>
    <w:qFormat/>
    <w:locked/>
    <w:uiPriority w:val="99"/>
    <w:rPr>
      <w:rFonts w:cs="Times New Roman"/>
      <w:sz w:val="18"/>
      <w:szCs w:val="18"/>
    </w:rPr>
  </w:style>
  <w:style w:type="character" w:customStyle="1" w:styleId="27">
    <w:name w:val="批注框文本 字符"/>
    <w:basedOn w:val="11"/>
    <w:link w:val="5"/>
    <w:semiHidden/>
    <w:qFormat/>
    <w:uiPriority w:val="99"/>
    <w:rPr>
      <w:kern w:val="2"/>
      <w:sz w:val="18"/>
      <w:szCs w:val="18"/>
    </w:rPr>
  </w:style>
  <w:style w:type="character" w:customStyle="1" w:styleId="28">
    <w:name w:val="日期 字符"/>
    <w:basedOn w:val="11"/>
    <w:link w:val="4"/>
    <w:semiHidden/>
    <w:qFormat/>
    <w:uiPriority w:val="99"/>
    <w:rPr>
      <w:kern w:val="2"/>
      <w:sz w:val="21"/>
      <w:szCs w:val="22"/>
    </w:rPr>
  </w:style>
  <w:style w:type="paragraph" w:customStyle="1" w:styleId="29">
    <w:name w:val="CM12"/>
    <w:basedOn w:val="13"/>
    <w:next w:val="13"/>
    <w:unhideWhenUsed/>
    <w:qFormat/>
    <w:uiPriority w:val="99"/>
    <w:pPr>
      <w:spacing w:after="1015"/>
    </w:pPr>
    <w:rPr>
      <w:rFonts w:hint="eastAsi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1851</Words>
  <Characters>1914</Characters>
  <Lines>13</Lines>
  <Paragraphs>3</Paragraphs>
  <TotalTime>0</TotalTime>
  <ScaleCrop>false</ScaleCrop>
  <LinksUpToDate>false</LinksUpToDate>
  <CharactersWithSpaces>1952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2021-01-28T03:31:00Z</cp:lastPrinted>
  <dcterms:modified xsi:type="dcterms:W3CDTF">2022-01-27T09:33:12Z</dcterms:modified>
  <dc:subject>科目</dc:subject>
  <dc:title>标题</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C58A07F3CA964339A65829D6D31F66F6</vt:lpwstr>
  </property>
</Properties>
</file>