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hd w:val="clear" w:color="auto" w:fill="FFFFFF"/>
        <w:spacing w:before="0" w:beforeAutospacing="0" w:after="0" w:afterAutospacing="0"/>
        <w:jc w:val="center"/>
        <w:rPr>
          <w:rFonts w:ascii="Times New Roman" w:hAnsi="Times New Roman" w:eastAsia="方正小标宋简体"/>
          <w:bCs/>
          <w:color w:val="333333"/>
          <w:spacing w:val="-17"/>
          <w:sz w:val="44"/>
          <w:szCs w:val="44"/>
          <w:shd w:val="clear" w:color="auto" w:fill="FFFFFF"/>
        </w:rPr>
      </w:pPr>
      <w:r>
        <w:rPr>
          <w:rFonts w:hint="eastAsia" w:ascii="Times New Roman" w:hAnsi="Times New Roman" w:eastAsia="方正小标宋简体"/>
          <w:bCs/>
          <w:color w:val="333333"/>
          <w:spacing w:val="-17"/>
          <w:sz w:val="44"/>
          <w:szCs w:val="44"/>
          <w:shd w:val="clear" w:color="auto" w:fill="FFFFFF"/>
        </w:rPr>
        <w:t>淄川经济开发区管理委员会</w:t>
      </w:r>
    </w:p>
    <w:p>
      <w:pPr>
        <w:pStyle w:val="6"/>
        <w:widowControl/>
        <w:shd w:val="clear" w:color="auto" w:fill="FFFFFF"/>
        <w:spacing w:before="0" w:beforeAutospacing="0" w:after="0" w:afterAutospacing="0"/>
        <w:jc w:val="center"/>
        <w:rPr>
          <w:rFonts w:ascii="Times New Roman" w:hAnsi="Times New Roman"/>
          <w:color w:val="333333"/>
          <w:szCs w:val="24"/>
        </w:rPr>
      </w:pPr>
      <w:r>
        <w:rPr>
          <w:rFonts w:hint="eastAsia" w:ascii="Times New Roman" w:hAnsi="Times New Roman" w:eastAsia="方正小标宋简体"/>
          <w:bCs/>
          <w:color w:val="333333"/>
          <w:spacing w:val="-17"/>
          <w:sz w:val="44"/>
          <w:szCs w:val="44"/>
          <w:shd w:val="clear" w:color="auto" w:fill="FFFFFF"/>
        </w:rPr>
        <w:t>202</w:t>
      </w:r>
      <w:r>
        <w:rPr>
          <w:rFonts w:ascii="Times New Roman" w:hAnsi="Times New Roman" w:eastAsia="方正小标宋简体"/>
          <w:bCs/>
          <w:color w:val="333333"/>
          <w:spacing w:val="-17"/>
          <w:sz w:val="44"/>
          <w:szCs w:val="44"/>
          <w:shd w:val="clear" w:color="auto" w:fill="FFFFFF"/>
        </w:rPr>
        <w:t>3</w:t>
      </w:r>
      <w:r>
        <w:rPr>
          <w:rFonts w:hint="eastAsia" w:ascii="Times New Roman" w:hAnsi="Times New Roman" w:eastAsia="方正小标宋简体"/>
          <w:bCs/>
          <w:color w:val="333333"/>
          <w:spacing w:val="-17"/>
          <w:sz w:val="44"/>
          <w:szCs w:val="44"/>
          <w:shd w:val="clear" w:color="auto" w:fill="FFFFFF"/>
        </w:rPr>
        <w:t>年政府信息公开工作年度报告</w:t>
      </w:r>
    </w:p>
    <w:p>
      <w:pPr>
        <w:pStyle w:val="6"/>
        <w:widowControl/>
        <w:shd w:val="clear" w:color="auto" w:fill="FFFFFF"/>
        <w:spacing w:before="0" w:beforeAutospacing="0" w:after="0" w:afterAutospacing="0"/>
        <w:ind w:firstLine="420"/>
        <w:jc w:val="both"/>
        <w:rPr>
          <w:rFonts w:ascii="Times New Roman" w:hAnsi="Times New Roman"/>
          <w:color w:val="333333"/>
          <w:szCs w:val="24"/>
        </w:rPr>
      </w:pPr>
    </w:p>
    <w:p>
      <w:pPr>
        <w:pStyle w:val="6"/>
        <w:widowControl/>
        <w:shd w:val="clear" w:color="auto" w:fill="FFFFFF"/>
        <w:spacing w:before="0" w:beforeAutospacing="0" w:after="0" w:afterAutospacing="0"/>
        <w:ind w:firstLine="420"/>
        <w:rPr>
          <w:rFonts w:ascii="Times New Roman" w:hAnsi="Times New Roman" w:eastAsia="仿宋_GB2312"/>
          <w:color w:val="000000"/>
          <w:sz w:val="32"/>
          <w:szCs w:val="32"/>
        </w:rPr>
      </w:pPr>
      <w:r>
        <w:rPr>
          <w:rFonts w:ascii="Times New Roman" w:hAnsi="Times New Roman" w:eastAsia="仿宋_GB2312"/>
          <w:color w:val="000000"/>
          <w:sz w:val="32"/>
          <w:szCs w:val="32"/>
        </w:rPr>
        <w:t>本年度报告中所列数据的统计期限自2023年1月1日起，至2023年12月31日止。如对报告内容有疑问，请与淄川经济开发区联系（地址：山东省淄博市淄川经济开发区双山路5号；邮编：255100；电话：0533-5168766；电子邮箱：zcjjkfqglwyh@zb.shandong.cn）。</w:t>
      </w:r>
    </w:p>
    <w:p>
      <w:pPr>
        <w:pStyle w:val="6"/>
        <w:widowControl/>
        <w:shd w:val="clear" w:color="auto" w:fill="FFFFFF"/>
        <w:spacing w:before="0" w:beforeAutospacing="0" w:after="0" w:afterAutospacing="0"/>
        <w:ind w:firstLine="420"/>
        <w:jc w:val="both"/>
        <w:rPr>
          <w:rFonts w:ascii="Times New Roman" w:hAnsi="Times New Roman" w:eastAsia="黑体"/>
          <w:bCs/>
          <w:color w:val="333333"/>
          <w:sz w:val="32"/>
          <w:szCs w:val="32"/>
        </w:rPr>
      </w:pPr>
      <w:r>
        <w:rPr>
          <w:rFonts w:ascii="Times New Roman" w:hAnsi="Times New Roman" w:eastAsia="黑体"/>
          <w:bCs/>
          <w:color w:val="333333"/>
          <w:sz w:val="32"/>
          <w:szCs w:val="32"/>
          <w:shd w:val="clear" w:color="auto" w:fill="FFFFFF"/>
        </w:rPr>
        <w:t>一、总体情况</w:t>
      </w:r>
    </w:p>
    <w:p>
      <w:pPr>
        <w:widowControl/>
        <w:snapToGrid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2023年以来，</w:t>
      </w:r>
      <w:r>
        <w:rPr>
          <w:rFonts w:ascii="Times New Roman" w:hAnsi="Times New Roman" w:eastAsia="仿宋_GB2312"/>
          <w:color w:val="000000"/>
          <w:sz w:val="32"/>
          <w:szCs w:val="32"/>
        </w:rPr>
        <w:t>淄川经济开发区</w:t>
      </w:r>
      <w:r>
        <w:rPr>
          <w:rFonts w:hint="eastAsia" w:ascii="仿宋_GB2312" w:hAnsi="仿宋_GB2312" w:eastAsia="仿宋_GB2312" w:cs="仿宋_GB2312"/>
          <w:sz w:val="32"/>
          <w:szCs w:val="32"/>
        </w:rPr>
        <w:t>坚持以习近平新时代中国特色社会主义思想为指导，全面贯彻落实党的二十大精神，坚决落实中央、省委、市区委关于政府信息公开工作的决策部署，全面实施政府信息公开条例，不断强化政务信息管理，持续加强政策发布解读回应，助力推动城市治理体系和治理能力现代化。现将工作情况报告如下：</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1.主动公开方面</w:t>
      </w:r>
    </w:p>
    <w:p>
      <w:pPr>
        <w:ind w:firstLine="640" w:firstLineChars="200"/>
        <w:rPr>
          <w:rFonts w:ascii="Times New Roman" w:hAnsi="Times New Roman" w:eastAsia="仿宋_GB2312"/>
          <w:sz w:val="32"/>
          <w:szCs w:val="32"/>
        </w:rPr>
      </w:pPr>
      <w:r>
        <w:rPr>
          <w:rFonts w:ascii="Times New Roman" w:hAnsi="Times New Roman" w:eastAsia="仿宋_GB2312"/>
          <w:sz w:val="32"/>
          <w:szCs w:val="32"/>
        </w:rPr>
        <w:t>2023年，</w:t>
      </w:r>
      <w:r>
        <w:rPr>
          <w:rFonts w:hint="eastAsia" w:ascii="Times New Roman" w:hAnsi="Times New Roman" w:eastAsia="仿宋_GB2312"/>
          <w:sz w:val="32"/>
          <w:szCs w:val="32"/>
        </w:rPr>
        <w:t>淄川经济开发区政务公开平台主动公开政府信息28条，其中，</w:t>
      </w:r>
      <w:r>
        <w:rPr>
          <w:rFonts w:ascii="Times New Roman" w:hAnsi="Times New Roman" w:eastAsia="仿宋_GB2312"/>
          <w:sz w:val="32"/>
          <w:szCs w:val="32"/>
        </w:rPr>
        <w:t>部门文件或政府文件</w:t>
      </w:r>
      <w:r>
        <w:rPr>
          <w:rFonts w:hint="eastAsia" w:ascii="Times New Roman" w:hAnsi="Times New Roman" w:eastAsia="仿宋_GB2312"/>
          <w:sz w:val="32"/>
          <w:szCs w:val="32"/>
        </w:rPr>
        <w:t>17</w:t>
      </w:r>
      <w:r>
        <w:rPr>
          <w:rFonts w:hint="eastAsia" w:ascii="Times New Roman" w:hAnsi="Times New Roman" w:eastAsia="仿宋_GB2312"/>
          <w:sz w:val="32"/>
          <w:szCs w:val="32"/>
          <w:lang w:eastAsia="zh-CN"/>
        </w:rPr>
        <w:t>条</w:t>
      </w:r>
      <w:r>
        <w:rPr>
          <w:rFonts w:ascii="Times New Roman" w:hAnsi="Times New Roman" w:eastAsia="仿宋_GB2312"/>
          <w:sz w:val="32"/>
          <w:szCs w:val="32"/>
        </w:rPr>
        <w:t>，政策解读</w:t>
      </w:r>
      <w:r>
        <w:rPr>
          <w:rFonts w:hint="eastAsia" w:ascii="Times New Roman" w:hAnsi="Times New Roman" w:eastAsia="仿宋_GB2312"/>
          <w:sz w:val="32"/>
          <w:szCs w:val="32"/>
        </w:rPr>
        <w:t>2</w:t>
      </w:r>
      <w:r>
        <w:rPr>
          <w:rFonts w:hint="eastAsia" w:ascii="Times New Roman" w:hAnsi="Times New Roman" w:eastAsia="仿宋_GB2312"/>
          <w:sz w:val="32"/>
          <w:szCs w:val="32"/>
          <w:lang w:eastAsia="zh-CN"/>
        </w:rPr>
        <w:t>条</w:t>
      </w:r>
      <w:r>
        <w:rPr>
          <w:rFonts w:hint="eastAsia" w:ascii="Times New Roman" w:hAnsi="Times New Roman" w:eastAsia="仿宋_GB2312"/>
          <w:sz w:val="32"/>
          <w:szCs w:val="32"/>
        </w:rPr>
        <w:t>，</w:t>
      </w:r>
      <w:r>
        <w:rPr>
          <w:rFonts w:ascii="Times New Roman" w:hAnsi="Times New Roman" w:eastAsia="仿宋_GB2312"/>
          <w:sz w:val="32"/>
          <w:szCs w:val="32"/>
        </w:rPr>
        <w:t>回应关切情况</w:t>
      </w:r>
      <w:r>
        <w:rPr>
          <w:rFonts w:hint="eastAsia" w:ascii="Times New Roman" w:hAnsi="Times New Roman" w:eastAsia="仿宋_GB2312"/>
          <w:sz w:val="32"/>
          <w:szCs w:val="32"/>
        </w:rPr>
        <w:t>1</w:t>
      </w:r>
      <w:r>
        <w:rPr>
          <w:rFonts w:hint="eastAsia" w:ascii="Times New Roman" w:hAnsi="Times New Roman" w:eastAsia="仿宋_GB2312"/>
          <w:sz w:val="32"/>
          <w:szCs w:val="32"/>
          <w:lang w:eastAsia="zh-CN"/>
        </w:rPr>
        <w:t>条</w:t>
      </w:r>
      <w:r>
        <w:rPr>
          <w:rFonts w:ascii="Times New Roman" w:hAnsi="Times New Roman" w:eastAsia="仿宋_GB2312"/>
          <w:sz w:val="32"/>
          <w:szCs w:val="32"/>
        </w:rPr>
        <w:t>，以及重点领域信息公开</w:t>
      </w:r>
      <w:r>
        <w:rPr>
          <w:rFonts w:hint="eastAsia" w:ascii="Times New Roman" w:hAnsi="Times New Roman" w:eastAsia="仿宋_GB2312"/>
          <w:sz w:val="32"/>
          <w:szCs w:val="32"/>
        </w:rPr>
        <w:t>8</w:t>
      </w:r>
      <w:r>
        <w:rPr>
          <w:rFonts w:hint="eastAsia" w:ascii="Times New Roman" w:hAnsi="Times New Roman" w:eastAsia="仿宋_GB2312"/>
          <w:sz w:val="32"/>
          <w:szCs w:val="32"/>
          <w:lang w:eastAsia="zh-CN"/>
        </w:rPr>
        <w:t>条</w:t>
      </w:r>
      <w:r>
        <w:rPr>
          <w:rFonts w:hint="eastAsia" w:ascii="Times New Roman" w:hAnsi="Times New Roman" w:eastAsia="仿宋_GB2312"/>
          <w:sz w:val="32"/>
          <w:szCs w:val="32"/>
        </w:rPr>
        <w:t>。</w:t>
      </w:r>
    </w:p>
    <w:p>
      <w:pPr>
        <w:ind w:firstLine="640" w:firstLineChars="200"/>
        <w:rPr>
          <w:rFonts w:ascii="Times New Roman" w:hAnsi="Times New Roman" w:eastAsia="仿宋_GB2312"/>
          <w:sz w:val="32"/>
          <w:szCs w:val="32"/>
        </w:rPr>
      </w:pPr>
      <w:r>
        <w:rPr>
          <w:rFonts w:hint="eastAsia" w:ascii="仿宋_GB2312" w:hAnsi="仿宋_GB2312" w:eastAsia="仿宋_GB2312" w:cs="仿宋_GB2312"/>
          <w:sz w:val="32"/>
          <w:szCs w:val="32"/>
        </w:rPr>
        <w:t>2.依申请公开工作方面。</w:t>
      </w:r>
    </w:p>
    <w:p>
      <w:pPr>
        <w:ind w:firstLine="640" w:firstLineChars="200"/>
        <w:rPr>
          <w:rFonts w:ascii="Times New Roman" w:hAnsi="Times New Roman"/>
        </w:rPr>
      </w:pPr>
      <w:r>
        <w:rPr>
          <w:rFonts w:ascii="Times New Roman" w:hAnsi="Times New Roman" w:eastAsia="仿宋_GB2312"/>
          <w:sz w:val="32"/>
          <w:szCs w:val="32"/>
        </w:rPr>
        <w:t>2023年，收到政府信息公开申请</w:t>
      </w:r>
      <w:r>
        <w:rPr>
          <w:rFonts w:hint="eastAsia" w:ascii="Times New Roman" w:hAnsi="Times New Roman" w:eastAsia="仿宋_GB2312"/>
          <w:sz w:val="32"/>
          <w:szCs w:val="32"/>
        </w:rPr>
        <w:t>1</w:t>
      </w:r>
      <w:r>
        <w:rPr>
          <w:rFonts w:ascii="Times New Roman" w:hAnsi="Times New Roman" w:eastAsia="仿宋_GB2312"/>
          <w:sz w:val="32"/>
          <w:szCs w:val="32"/>
        </w:rPr>
        <w:t>件，同比增长</w:t>
      </w:r>
      <w:r>
        <w:rPr>
          <w:rFonts w:hint="eastAsia" w:ascii="Times New Roman" w:hAnsi="Times New Roman" w:eastAsia="仿宋_GB2312"/>
          <w:sz w:val="32"/>
          <w:szCs w:val="32"/>
        </w:rPr>
        <w:t>100</w:t>
      </w:r>
      <w:r>
        <w:rPr>
          <w:rFonts w:ascii="Times New Roman" w:hAnsi="Times New Roman" w:eastAsia="仿宋_GB2312"/>
          <w:sz w:val="32"/>
          <w:szCs w:val="32"/>
        </w:rPr>
        <w:t>%，全部依法依规予以办理。因依申请公开引发的行政复议案件</w:t>
      </w:r>
      <w:r>
        <w:rPr>
          <w:rFonts w:hint="eastAsia" w:ascii="Times New Roman" w:hAnsi="Times New Roman" w:eastAsia="仿宋_GB2312"/>
          <w:sz w:val="32"/>
          <w:szCs w:val="32"/>
        </w:rPr>
        <w:t>0</w:t>
      </w:r>
      <w:r>
        <w:rPr>
          <w:rFonts w:ascii="Times New Roman" w:hAnsi="Times New Roman" w:eastAsia="仿宋_GB2312"/>
          <w:sz w:val="32"/>
          <w:szCs w:val="32"/>
        </w:rPr>
        <w:t>件，行政诉讼案件</w:t>
      </w:r>
      <w:r>
        <w:rPr>
          <w:rFonts w:hint="eastAsia" w:ascii="Times New Roman" w:hAnsi="Times New Roman" w:eastAsia="仿宋_GB2312"/>
          <w:sz w:val="32"/>
          <w:szCs w:val="32"/>
        </w:rPr>
        <w:t>0</w:t>
      </w:r>
      <w:r>
        <w:rPr>
          <w:rFonts w:ascii="Times New Roman" w:hAnsi="Times New Roman" w:eastAsia="仿宋_GB2312"/>
          <w:sz w:val="32"/>
          <w:szCs w:val="32"/>
        </w:rPr>
        <w:t>件，所有案件均按照法定程序进行了办理，较好保障了企业和群众获取政府信息的权利</w:t>
      </w:r>
      <w:r>
        <w:rPr>
          <w:rFonts w:hint="eastAsia" w:ascii="Times New Roman" w:hAnsi="Times New Roman" w:eastAsia="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3.政府信息管理方面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是推进政府网站规范优质发展。认真贯彻落实相关政策规范要求，不断完善政府网站平台功能，强化网站内容建设，增进政府信息公开深度，细化政府信息公开粒度。二是推动政务新媒体健康有序发展。加强政务新媒体监管运营，完善信息发布审核制度，持续摸底开发区政务新媒体开办情况，对不符合运营规范、难以继续运营的进行清理整合。三是推动政务公开工作健康发展。定期组织信息公开工作业务培训，提高机关人员对信息公开工作重要性的认识，强化信息公开的主动性和自觉性，努力营造推进政府信息公开、加强软环境建设的良好社会氛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4.平台建设方面</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及时调整优化政府信息公开平台栏目设置；充分发挥政务新媒体推介宣传作用，截至目前，各政务新媒体关注人数7760余人，全年发布图文、视频资料200余条。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5.监督保障方面</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一是定期对政府信息公开工作进行自查，及时发现问题，总结经验，督促整改。二是广泛搜集和听取群众对政务信息公开工作的意见，对群众反映的问题认真调查处理，不断改进政务公开工作。此外，还建立健全政务公开制度，使政务公开的各个方面、各个环节都有规可依、有章可循。</w:t>
      </w:r>
    </w:p>
    <w:p/>
    <w:p>
      <w:pPr>
        <w:pStyle w:val="6"/>
        <w:widowControl/>
        <w:shd w:val="clear" w:color="auto" w:fill="FFFFFF"/>
        <w:spacing w:before="0" w:beforeAutospacing="0" w:after="0" w:afterAutospacing="0"/>
        <w:ind w:firstLine="420"/>
        <w:jc w:val="both"/>
        <w:rPr>
          <w:rFonts w:ascii="黑体" w:hAnsi="黑体" w:eastAsia="黑体" w:cs="黑体"/>
          <w:bCs/>
          <w:color w:val="333333"/>
          <w:sz w:val="32"/>
          <w:szCs w:val="32"/>
        </w:rPr>
      </w:pPr>
      <w:r>
        <w:rPr>
          <w:rFonts w:hint="eastAsia" w:ascii="黑体" w:hAnsi="黑体" w:eastAsia="黑体" w:cs="黑体"/>
          <w:bCs/>
          <w:color w:val="333333"/>
          <w:sz w:val="32"/>
          <w:szCs w:val="32"/>
          <w:shd w:val="clear" w:color="auto" w:fill="FFFFFF"/>
        </w:rPr>
        <w:t>二、主动公开政府信息情况</w:t>
      </w:r>
    </w:p>
    <w:tbl>
      <w:tblPr>
        <w:tblStyle w:val="7"/>
        <w:tblW w:w="7500" w:type="dxa"/>
        <w:tblInd w:w="0" w:type="dxa"/>
        <w:tblLayout w:type="fixed"/>
        <w:tblCellMar>
          <w:top w:w="0" w:type="dxa"/>
          <w:left w:w="108" w:type="dxa"/>
          <w:bottom w:w="0" w:type="dxa"/>
          <w:right w:w="108" w:type="dxa"/>
        </w:tblCellMar>
      </w:tblPr>
      <w:tblGrid>
        <w:gridCol w:w="1875"/>
        <w:gridCol w:w="1875"/>
        <w:gridCol w:w="1875"/>
        <w:gridCol w:w="1875"/>
      </w:tblGrid>
      <w:tr>
        <w:tblPrEx>
          <w:tblCellMar>
            <w:top w:w="0" w:type="dxa"/>
            <w:left w:w="108" w:type="dxa"/>
            <w:bottom w:w="0" w:type="dxa"/>
            <w:right w:w="108" w:type="dxa"/>
          </w:tblCellMar>
        </w:tblPrEx>
        <w:trPr>
          <w:trHeight w:val="901" w:hRule="atLeast"/>
        </w:trPr>
        <w:tc>
          <w:tcPr>
            <w:tcW w:w="750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901" w:hRule="atLeast"/>
        </w:trPr>
        <w:tc>
          <w:tcPr>
            <w:tcW w:w="1875"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信息内容</w:t>
            </w:r>
          </w:p>
        </w:tc>
        <w:tc>
          <w:tcPr>
            <w:tcW w:w="1875"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本年制发件数</w:t>
            </w:r>
          </w:p>
        </w:tc>
        <w:tc>
          <w:tcPr>
            <w:tcW w:w="1875"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本年废止件数</w:t>
            </w:r>
          </w:p>
        </w:tc>
        <w:tc>
          <w:tcPr>
            <w:tcW w:w="1875"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现行有效件数</w:t>
            </w:r>
          </w:p>
        </w:tc>
      </w:tr>
      <w:tr>
        <w:tblPrEx>
          <w:tblCellMar>
            <w:top w:w="0" w:type="dxa"/>
            <w:left w:w="108" w:type="dxa"/>
            <w:bottom w:w="0" w:type="dxa"/>
            <w:right w:w="108" w:type="dxa"/>
          </w:tblCellMar>
        </w:tblPrEx>
        <w:trPr>
          <w:trHeight w:val="904" w:hRule="atLeast"/>
        </w:trPr>
        <w:tc>
          <w:tcPr>
            <w:tcW w:w="1875"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规章</w:t>
            </w:r>
          </w:p>
        </w:tc>
        <w:tc>
          <w:tcPr>
            <w:tcW w:w="1875"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1875"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1875" w:type="dxa"/>
            <w:tcBorders>
              <w:top w:val="nil"/>
              <w:left w:val="nil"/>
              <w:bottom w:val="single" w:color="auto" w:sz="8" w:space="0"/>
              <w:right w:val="single" w:color="auto" w:sz="8" w:space="0"/>
            </w:tcBorders>
            <w:vAlign w:val="center"/>
          </w:tcPr>
          <w:p>
            <w:pPr>
              <w:widowControl/>
              <w:jc w:val="center"/>
              <w:rPr>
                <w:rFonts w:ascii="仿宋_GB2312" w:eastAsia="仿宋_GB2312" w:cs="Calibri"/>
                <w:kern w:val="0"/>
                <w:szCs w:val="21"/>
              </w:rPr>
            </w:pPr>
            <w:r>
              <w:rPr>
                <w:rFonts w:hint="eastAsia" w:ascii="仿宋_GB2312" w:hAnsi="宋体" w:eastAsia="仿宋_GB2312" w:cs="宋体"/>
                <w:kern w:val="0"/>
                <w:szCs w:val="21"/>
              </w:rPr>
              <w:t>0</w:t>
            </w:r>
          </w:p>
        </w:tc>
      </w:tr>
      <w:tr>
        <w:tblPrEx>
          <w:tblCellMar>
            <w:top w:w="0" w:type="dxa"/>
            <w:left w:w="108" w:type="dxa"/>
            <w:bottom w:w="0" w:type="dxa"/>
            <w:right w:w="108" w:type="dxa"/>
          </w:tblCellMar>
        </w:tblPrEx>
        <w:trPr>
          <w:trHeight w:val="1028" w:hRule="atLeast"/>
        </w:trPr>
        <w:tc>
          <w:tcPr>
            <w:tcW w:w="1875" w:type="dxa"/>
            <w:tcBorders>
              <w:top w:val="nil"/>
              <w:left w:val="single" w:color="auto" w:sz="8" w:space="0"/>
              <w:bottom w:val="single" w:color="auto" w:sz="8" w:space="0"/>
              <w:right w:val="single" w:color="auto" w:sz="8" w:space="0"/>
            </w:tcBorders>
            <w:vAlign w:val="center"/>
          </w:tcPr>
          <w:p>
            <w:pPr>
              <w:widowControl/>
              <w:jc w:val="left"/>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行政规范性文件</w:t>
            </w:r>
          </w:p>
        </w:tc>
        <w:tc>
          <w:tcPr>
            <w:tcW w:w="1875"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1875"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1875" w:type="dxa"/>
            <w:tcBorders>
              <w:top w:val="nil"/>
              <w:left w:val="nil"/>
              <w:bottom w:val="single" w:color="auto" w:sz="8" w:space="0"/>
              <w:right w:val="single" w:color="auto" w:sz="8" w:space="0"/>
            </w:tcBorders>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0</w:t>
            </w:r>
          </w:p>
        </w:tc>
      </w:tr>
      <w:tr>
        <w:tblPrEx>
          <w:tblCellMar>
            <w:top w:w="0" w:type="dxa"/>
            <w:left w:w="108" w:type="dxa"/>
            <w:bottom w:w="0" w:type="dxa"/>
            <w:right w:w="108" w:type="dxa"/>
          </w:tblCellMar>
        </w:tblPrEx>
        <w:trPr>
          <w:trHeight w:val="901" w:hRule="atLeast"/>
        </w:trPr>
        <w:tc>
          <w:tcPr>
            <w:tcW w:w="750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kern w:val="0"/>
                <w:szCs w:val="21"/>
              </w:rPr>
            </w:pPr>
            <w:r>
              <w:rPr>
                <w:rFonts w:hint="eastAsia" w:ascii="黑体" w:hAnsi="黑体" w:eastAsia="黑体" w:cs="宋体"/>
                <w:kern w:val="0"/>
                <w:szCs w:val="21"/>
              </w:rPr>
              <w:t>第二十条第（五）项</w:t>
            </w:r>
          </w:p>
        </w:tc>
      </w:tr>
      <w:tr>
        <w:tblPrEx>
          <w:tblCellMar>
            <w:top w:w="0" w:type="dxa"/>
            <w:left w:w="108" w:type="dxa"/>
            <w:bottom w:w="0" w:type="dxa"/>
            <w:right w:w="108" w:type="dxa"/>
          </w:tblCellMar>
        </w:tblPrEx>
        <w:trPr>
          <w:trHeight w:val="901" w:hRule="atLeast"/>
        </w:trPr>
        <w:tc>
          <w:tcPr>
            <w:tcW w:w="1875"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信息内容</w:t>
            </w:r>
          </w:p>
        </w:tc>
        <w:tc>
          <w:tcPr>
            <w:tcW w:w="5625" w:type="dxa"/>
            <w:gridSpan w:val="3"/>
            <w:tcBorders>
              <w:top w:val="single" w:color="auto" w:sz="8" w:space="0"/>
              <w:left w:val="nil"/>
              <w:bottom w:val="single" w:color="auto" w:sz="8" w:space="0"/>
              <w:right w:val="single" w:color="000000" w:sz="8" w:space="0"/>
            </w:tcBorders>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本年处理决定数量</w:t>
            </w:r>
          </w:p>
        </w:tc>
      </w:tr>
      <w:tr>
        <w:tblPrEx>
          <w:tblCellMar>
            <w:top w:w="0" w:type="dxa"/>
            <w:left w:w="108" w:type="dxa"/>
            <w:bottom w:w="0" w:type="dxa"/>
            <w:right w:w="108" w:type="dxa"/>
          </w:tblCellMar>
        </w:tblPrEx>
        <w:trPr>
          <w:trHeight w:val="880" w:hRule="atLeast"/>
        </w:trPr>
        <w:tc>
          <w:tcPr>
            <w:tcW w:w="1875"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b/>
                <w:bCs/>
                <w:color w:val="000000"/>
                <w:kern w:val="0"/>
                <w:szCs w:val="21"/>
              </w:rPr>
              <w:t>行政许可</w:t>
            </w:r>
          </w:p>
        </w:tc>
        <w:tc>
          <w:tcPr>
            <w:tcW w:w="5625" w:type="dxa"/>
            <w:gridSpan w:val="3"/>
            <w:tcBorders>
              <w:top w:val="single" w:color="auto" w:sz="8" w:space="0"/>
              <w:left w:val="nil"/>
              <w:bottom w:val="single" w:color="auto" w:sz="8" w:space="0"/>
              <w:right w:val="single" w:color="000000" w:sz="8" w:space="0"/>
            </w:tcBorders>
            <w:vAlign w:val="center"/>
          </w:tcPr>
          <w:p>
            <w:pPr>
              <w:widowControl/>
              <w:jc w:val="center"/>
              <w:rPr>
                <w:rFonts w:ascii="仿宋_GB2312" w:eastAsia="仿宋_GB2312" w:cs="Calibri"/>
                <w:kern w:val="0"/>
                <w:szCs w:val="21"/>
              </w:rPr>
            </w:pPr>
            <w:r>
              <w:rPr>
                <w:rFonts w:hint="eastAsia" w:ascii="仿宋_GB2312" w:eastAsia="仿宋_GB2312" w:cs="Calibri"/>
                <w:kern w:val="0"/>
                <w:szCs w:val="21"/>
              </w:rPr>
              <w:t>0</w:t>
            </w:r>
          </w:p>
        </w:tc>
      </w:tr>
      <w:tr>
        <w:tblPrEx>
          <w:tblCellMar>
            <w:top w:w="0" w:type="dxa"/>
            <w:left w:w="108" w:type="dxa"/>
            <w:bottom w:w="0" w:type="dxa"/>
            <w:right w:w="108" w:type="dxa"/>
          </w:tblCellMar>
        </w:tblPrEx>
        <w:trPr>
          <w:trHeight w:val="901" w:hRule="atLeast"/>
        </w:trPr>
        <w:tc>
          <w:tcPr>
            <w:tcW w:w="750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kern w:val="0"/>
                <w:szCs w:val="21"/>
              </w:rPr>
            </w:pPr>
            <w:r>
              <w:rPr>
                <w:rFonts w:hint="eastAsia" w:ascii="黑体" w:hAnsi="黑体" w:eastAsia="黑体" w:cs="宋体"/>
                <w:kern w:val="0"/>
                <w:szCs w:val="21"/>
              </w:rPr>
              <w:t>第二十条第（六）项</w:t>
            </w:r>
          </w:p>
        </w:tc>
      </w:tr>
      <w:tr>
        <w:tblPrEx>
          <w:tblCellMar>
            <w:top w:w="0" w:type="dxa"/>
            <w:left w:w="108" w:type="dxa"/>
            <w:bottom w:w="0" w:type="dxa"/>
            <w:right w:w="108" w:type="dxa"/>
          </w:tblCellMar>
        </w:tblPrEx>
        <w:trPr>
          <w:trHeight w:val="901" w:hRule="atLeast"/>
        </w:trPr>
        <w:tc>
          <w:tcPr>
            <w:tcW w:w="1875"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信息内容</w:t>
            </w:r>
          </w:p>
        </w:tc>
        <w:tc>
          <w:tcPr>
            <w:tcW w:w="5625" w:type="dxa"/>
            <w:gridSpan w:val="3"/>
            <w:tcBorders>
              <w:top w:val="single" w:color="auto" w:sz="8" w:space="0"/>
              <w:left w:val="nil"/>
              <w:bottom w:val="single" w:color="auto" w:sz="8" w:space="0"/>
              <w:right w:val="single" w:color="000000" w:sz="8" w:space="0"/>
            </w:tcBorders>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本年处理决定数量</w:t>
            </w:r>
          </w:p>
        </w:tc>
      </w:tr>
      <w:tr>
        <w:tblPrEx>
          <w:tblCellMar>
            <w:top w:w="0" w:type="dxa"/>
            <w:left w:w="108" w:type="dxa"/>
            <w:bottom w:w="0" w:type="dxa"/>
            <w:right w:w="108" w:type="dxa"/>
          </w:tblCellMar>
        </w:tblPrEx>
        <w:trPr>
          <w:trHeight w:val="901" w:hRule="atLeast"/>
        </w:trPr>
        <w:tc>
          <w:tcPr>
            <w:tcW w:w="1875"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行政处罚</w:t>
            </w:r>
          </w:p>
        </w:tc>
        <w:tc>
          <w:tcPr>
            <w:tcW w:w="5625" w:type="dxa"/>
            <w:gridSpan w:val="3"/>
            <w:tcBorders>
              <w:top w:val="single" w:color="auto" w:sz="8" w:space="0"/>
              <w:left w:val="nil"/>
              <w:bottom w:val="single" w:color="auto" w:sz="8" w:space="0"/>
              <w:right w:val="single" w:color="000000" w:sz="8" w:space="0"/>
            </w:tcBorders>
            <w:vAlign w:val="center"/>
          </w:tcPr>
          <w:p>
            <w:pPr>
              <w:widowControl/>
              <w:jc w:val="center"/>
              <w:rPr>
                <w:rFonts w:ascii="仿宋_GB2312" w:eastAsia="仿宋_GB2312" w:cs="Calibri"/>
                <w:kern w:val="0"/>
                <w:szCs w:val="21"/>
              </w:rPr>
            </w:pPr>
            <w:r>
              <w:rPr>
                <w:rFonts w:hint="eastAsia" w:ascii="仿宋_GB2312" w:eastAsia="仿宋_GB2312" w:cs="Calibri"/>
                <w:kern w:val="0"/>
                <w:szCs w:val="21"/>
              </w:rPr>
              <w:t>0</w:t>
            </w:r>
          </w:p>
        </w:tc>
      </w:tr>
      <w:tr>
        <w:tblPrEx>
          <w:tblCellMar>
            <w:top w:w="0" w:type="dxa"/>
            <w:left w:w="108" w:type="dxa"/>
            <w:bottom w:w="0" w:type="dxa"/>
            <w:right w:w="108" w:type="dxa"/>
          </w:tblCellMar>
        </w:tblPrEx>
        <w:trPr>
          <w:trHeight w:val="901" w:hRule="atLeast"/>
        </w:trPr>
        <w:tc>
          <w:tcPr>
            <w:tcW w:w="1875"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行政强制</w:t>
            </w:r>
          </w:p>
        </w:tc>
        <w:tc>
          <w:tcPr>
            <w:tcW w:w="5625" w:type="dxa"/>
            <w:gridSpan w:val="3"/>
            <w:tcBorders>
              <w:top w:val="single" w:color="auto" w:sz="8" w:space="0"/>
              <w:left w:val="nil"/>
              <w:bottom w:val="single" w:color="auto" w:sz="8" w:space="0"/>
              <w:right w:val="single" w:color="000000" w:sz="8" w:space="0"/>
            </w:tcBorders>
            <w:vAlign w:val="center"/>
          </w:tcPr>
          <w:p>
            <w:pPr>
              <w:widowControl/>
              <w:jc w:val="center"/>
              <w:rPr>
                <w:rFonts w:ascii="仿宋_GB2312" w:eastAsia="仿宋_GB2312" w:cs="Calibri"/>
                <w:kern w:val="0"/>
                <w:szCs w:val="21"/>
              </w:rPr>
            </w:pPr>
            <w:r>
              <w:rPr>
                <w:rFonts w:hint="eastAsia" w:ascii="仿宋_GB2312" w:eastAsia="仿宋_GB2312" w:cs="Calibri"/>
                <w:kern w:val="0"/>
                <w:szCs w:val="21"/>
              </w:rPr>
              <w:t>0</w:t>
            </w:r>
          </w:p>
        </w:tc>
      </w:tr>
      <w:tr>
        <w:tblPrEx>
          <w:tblCellMar>
            <w:top w:w="0" w:type="dxa"/>
            <w:left w:w="108" w:type="dxa"/>
            <w:bottom w:w="0" w:type="dxa"/>
            <w:right w:w="108" w:type="dxa"/>
          </w:tblCellMar>
        </w:tblPrEx>
        <w:trPr>
          <w:trHeight w:val="901" w:hRule="atLeast"/>
        </w:trPr>
        <w:tc>
          <w:tcPr>
            <w:tcW w:w="750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kern w:val="0"/>
                <w:szCs w:val="21"/>
              </w:rPr>
            </w:pPr>
            <w:r>
              <w:rPr>
                <w:rFonts w:hint="eastAsia" w:ascii="黑体" w:hAnsi="黑体" w:eastAsia="黑体" w:cs="宋体"/>
                <w:kern w:val="0"/>
                <w:szCs w:val="21"/>
              </w:rPr>
              <w:t>第二十条第（八）项</w:t>
            </w:r>
          </w:p>
        </w:tc>
      </w:tr>
      <w:tr>
        <w:tblPrEx>
          <w:tblCellMar>
            <w:top w:w="0" w:type="dxa"/>
            <w:left w:w="108" w:type="dxa"/>
            <w:bottom w:w="0" w:type="dxa"/>
            <w:right w:w="108" w:type="dxa"/>
          </w:tblCellMar>
        </w:tblPrEx>
        <w:trPr>
          <w:trHeight w:val="901" w:hRule="atLeast"/>
        </w:trPr>
        <w:tc>
          <w:tcPr>
            <w:tcW w:w="1875"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信息内容</w:t>
            </w:r>
          </w:p>
        </w:tc>
        <w:tc>
          <w:tcPr>
            <w:tcW w:w="5625" w:type="dxa"/>
            <w:gridSpan w:val="3"/>
            <w:tcBorders>
              <w:top w:val="single" w:color="auto" w:sz="8" w:space="0"/>
              <w:left w:val="nil"/>
              <w:bottom w:val="single" w:color="auto" w:sz="8" w:space="0"/>
              <w:right w:val="single" w:color="000000" w:sz="8" w:space="0"/>
            </w:tcBorders>
            <w:vAlign w:val="center"/>
          </w:tcPr>
          <w:p>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本年收费金额（单位：万元）</w:t>
            </w:r>
          </w:p>
        </w:tc>
      </w:tr>
      <w:tr>
        <w:tblPrEx>
          <w:tblCellMar>
            <w:top w:w="0" w:type="dxa"/>
            <w:left w:w="108" w:type="dxa"/>
            <w:bottom w:w="0" w:type="dxa"/>
            <w:right w:w="108" w:type="dxa"/>
          </w:tblCellMar>
        </w:tblPrEx>
        <w:trPr>
          <w:trHeight w:val="1045" w:hRule="atLeast"/>
        </w:trPr>
        <w:tc>
          <w:tcPr>
            <w:tcW w:w="1875" w:type="dxa"/>
            <w:tcBorders>
              <w:top w:val="nil"/>
              <w:left w:val="single" w:color="auto" w:sz="8" w:space="0"/>
              <w:bottom w:val="single" w:color="auto" w:sz="8" w:space="0"/>
              <w:right w:val="single" w:color="auto" w:sz="8"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b/>
                <w:bCs/>
                <w:color w:val="000000"/>
                <w:kern w:val="0"/>
                <w:szCs w:val="21"/>
              </w:rPr>
              <w:t>行政事业性收费</w:t>
            </w:r>
          </w:p>
        </w:tc>
        <w:tc>
          <w:tcPr>
            <w:tcW w:w="5625" w:type="dxa"/>
            <w:gridSpan w:val="3"/>
            <w:tcBorders>
              <w:top w:val="single" w:color="auto" w:sz="8" w:space="0"/>
              <w:left w:val="nil"/>
              <w:bottom w:val="single" w:color="auto" w:sz="8" w:space="0"/>
              <w:right w:val="single" w:color="000000" w:sz="8" w:space="0"/>
            </w:tcBorders>
            <w:vAlign w:val="center"/>
          </w:tcPr>
          <w:p>
            <w:pPr>
              <w:widowControl/>
              <w:jc w:val="center"/>
              <w:rPr>
                <w:rFonts w:ascii="仿宋_GB2312" w:eastAsia="仿宋_GB2312" w:cs="Calibri"/>
                <w:kern w:val="0"/>
                <w:szCs w:val="21"/>
              </w:rPr>
            </w:pPr>
            <w:r>
              <w:rPr>
                <w:rFonts w:hint="eastAsia" w:ascii="仿宋_GB2312" w:eastAsia="仿宋_GB2312" w:cs="Calibri"/>
                <w:kern w:val="0"/>
                <w:szCs w:val="21"/>
              </w:rPr>
              <w:t>0</w:t>
            </w:r>
          </w:p>
        </w:tc>
      </w:tr>
    </w:tbl>
    <w:p>
      <w:pPr>
        <w:rPr>
          <w:rFonts w:ascii="黑体" w:hAnsi="黑体" w:eastAsia="黑体" w:cs="黑体"/>
          <w:bCs/>
          <w:color w:val="333333"/>
          <w:kern w:val="0"/>
          <w:sz w:val="32"/>
          <w:szCs w:val="32"/>
          <w:shd w:val="clear" w:color="auto" w:fill="FFFFFF"/>
          <w:lang w:bidi="ar"/>
        </w:rPr>
      </w:pPr>
      <w:r>
        <w:rPr>
          <w:rFonts w:hint="eastAsia" w:ascii="黑体" w:hAnsi="黑体" w:eastAsia="黑体" w:cs="黑体"/>
          <w:bCs/>
          <w:color w:val="333333"/>
          <w:kern w:val="0"/>
          <w:sz w:val="32"/>
          <w:szCs w:val="32"/>
          <w:shd w:val="clear" w:color="auto" w:fill="FFFFFF"/>
          <w:lang w:bidi="ar"/>
        </w:rPr>
        <w:t>三、收到和处理政府信息公开申请情况</w:t>
      </w:r>
    </w:p>
    <w:tbl>
      <w:tblPr>
        <w:tblStyle w:val="7"/>
        <w:tblW w:w="782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381"/>
        <w:gridCol w:w="736"/>
        <w:gridCol w:w="2531"/>
        <w:gridCol w:w="581"/>
        <w:gridCol w:w="488"/>
        <w:gridCol w:w="562"/>
        <w:gridCol w:w="769"/>
        <w:gridCol w:w="731"/>
        <w:gridCol w:w="500"/>
        <w:gridCol w:w="54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1" w:hRule="atLeast"/>
          <w:jc w:val="center"/>
        </w:trPr>
        <w:tc>
          <w:tcPr>
            <w:tcW w:w="3648" w:type="dxa"/>
            <w:gridSpan w:val="3"/>
            <w:vMerge w:val="restart"/>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174" w:type="dxa"/>
            <w:gridSpan w:val="7"/>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3648" w:type="dxa"/>
            <w:gridSpan w:val="3"/>
            <w:vMerge w:val="continue"/>
            <w:tcMar>
              <w:left w:w="108" w:type="dxa"/>
              <w:right w:w="108" w:type="dxa"/>
            </w:tcMar>
            <w:vAlign w:val="center"/>
          </w:tcPr>
          <w:p>
            <w:pPr>
              <w:jc w:val="center"/>
              <w:rPr>
                <w:rFonts w:ascii="仿宋_GB2312" w:hAnsi="Times New Roman" w:eastAsia="仿宋_GB2312"/>
                <w:szCs w:val="21"/>
              </w:rPr>
            </w:pPr>
          </w:p>
        </w:tc>
        <w:tc>
          <w:tcPr>
            <w:tcW w:w="581" w:type="dxa"/>
            <w:vMerge w:val="restart"/>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050" w:type="dxa"/>
            <w:gridSpan w:val="5"/>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543" w:type="dxa"/>
            <w:vMerge w:val="restart"/>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17" w:hRule="atLeast"/>
          <w:jc w:val="center"/>
        </w:trPr>
        <w:tc>
          <w:tcPr>
            <w:tcW w:w="3648" w:type="dxa"/>
            <w:gridSpan w:val="3"/>
            <w:vMerge w:val="continue"/>
            <w:tcMar>
              <w:left w:w="108" w:type="dxa"/>
              <w:right w:w="108" w:type="dxa"/>
            </w:tcMar>
            <w:vAlign w:val="center"/>
          </w:tcPr>
          <w:p>
            <w:pPr>
              <w:jc w:val="center"/>
              <w:rPr>
                <w:rFonts w:ascii="仿宋_GB2312" w:hAnsi="Times New Roman" w:eastAsia="仿宋_GB2312"/>
                <w:szCs w:val="21"/>
              </w:rPr>
            </w:pPr>
          </w:p>
        </w:tc>
        <w:tc>
          <w:tcPr>
            <w:tcW w:w="581" w:type="dxa"/>
            <w:vMerge w:val="continue"/>
            <w:tcMar>
              <w:left w:w="108" w:type="dxa"/>
              <w:right w:w="108" w:type="dxa"/>
            </w:tcMar>
            <w:vAlign w:val="center"/>
          </w:tcPr>
          <w:p>
            <w:pPr>
              <w:jc w:val="center"/>
              <w:rPr>
                <w:rFonts w:ascii="黑体" w:hAnsi="黑体" w:eastAsia="黑体"/>
                <w:szCs w:val="21"/>
              </w:rPr>
            </w:pPr>
          </w:p>
        </w:tc>
        <w:tc>
          <w:tcPr>
            <w:tcW w:w="488" w:type="dxa"/>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62" w:type="dxa"/>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769" w:type="dxa"/>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731" w:type="dxa"/>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500" w:type="dxa"/>
            <w:tcMar>
              <w:left w:w="108" w:type="dxa"/>
              <w:right w:w="108" w:type="dxa"/>
            </w:tcMar>
            <w:vAlign w:val="center"/>
          </w:tcPr>
          <w:p>
            <w:pPr>
              <w:widowControl/>
              <w:spacing w:line="360" w:lineRule="exact"/>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543" w:type="dxa"/>
            <w:vMerge w:val="continue"/>
            <w:tcMar>
              <w:left w:w="108" w:type="dxa"/>
              <w:right w:w="108" w:type="dxa"/>
            </w:tcMar>
            <w:vAlign w:val="center"/>
          </w:tcPr>
          <w:p>
            <w:pPr>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6" w:hRule="atLeast"/>
          <w:jc w:val="center"/>
        </w:trPr>
        <w:tc>
          <w:tcPr>
            <w:tcW w:w="3648" w:type="dxa"/>
            <w:gridSpan w:val="3"/>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581"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1</w:t>
            </w:r>
          </w:p>
        </w:tc>
        <w:tc>
          <w:tcPr>
            <w:tcW w:w="488"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2"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69"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31"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0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3"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06" w:hRule="atLeast"/>
          <w:jc w:val="center"/>
        </w:trPr>
        <w:tc>
          <w:tcPr>
            <w:tcW w:w="3648"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shd w:val="clear" w:color="auto" w:fill="95B3D7"/>
              </w:rPr>
              <w:t>二、上年结转政府信息公开申请数量</w:t>
            </w:r>
          </w:p>
        </w:tc>
        <w:tc>
          <w:tcPr>
            <w:tcW w:w="581" w:type="dxa"/>
            <w:shd w:val="clear" w:color="auto" w:fill="95B3D7"/>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488" w:type="dxa"/>
            <w:shd w:val="clear" w:color="auto" w:fill="95B3D7"/>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2" w:type="dxa"/>
            <w:shd w:val="clear" w:color="auto" w:fill="95B3D7"/>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69" w:type="dxa"/>
            <w:shd w:val="clear" w:color="auto" w:fill="95B3D7"/>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95B3D7"/>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00" w:type="dxa"/>
            <w:shd w:val="clear" w:color="auto" w:fill="95B3D7"/>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3" w:type="dxa"/>
            <w:shd w:val="clear" w:color="auto" w:fill="95B3D7"/>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381" w:type="dxa"/>
            <w:vMerge w:val="restart"/>
            <w:tcMar>
              <w:left w:w="108" w:type="dxa"/>
              <w:right w:w="108" w:type="dxa"/>
            </w:tcMar>
            <w:vAlign w:val="center"/>
          </w:tcPr>
          <w:p>
            <w:pPr>
              <w:widowControl/>
              <w:spacing w:after="180"/>
              <w:rPr>
                <w:rFonts w:ascii="黑体" w:hAnsi="黑体" w:eastAsia="黑体"/>
                <w:szCs w:val="21"/>
              </w:rPr>
            </w:pPr>
            <w:r>
              <w:rPr>
                <w:rFonts w:hint="eastAsia" w:ascii="黑体" w:hAnsi="黑体" w:eastAsia="黑体"/>
                <w:kern w:val="0"/>
                <w:szCs w:val="21"/>
              </w:rPr>
              <w:t>三、本年度办理结果</w:t>
            </w:r>
          </w:p>
        </w:tc>
        <w:tc>
          <w:tcPr>
            <w:tcW w:w="3267" w:type="dxa"/>
            <w:gridSpan w:val="2"/>
            <w:tcMar>
              <w:left w:w="108" w:type="dxa"/>
              <w:right w:w="108" w:type="dxa"/>
            </w:tcMar>
            <w:vAlign w:val="center"/>
          </w:tcPr>
          <w:p>
            <w:pPr>
              <w:widowControl/>
              <w:rPr>
                <w:rFonts w:ascii="黑体" w:hAnsi="黑体" w:eastAsia="黑体"/>
                <w:sz w:val="16"/>
                <w:szCs w:val="16"/>
              </w:rPr>
            </w:pPr>
            <w:r>
              <w:rPr>
                <w:rFonts w:hint="eastAsia" w:ascii="黑体" w:hAnsi="黑体" w:eastAsia="黑体"/>
                <w:kern w:val="0"/>
                <w:sz w:val="16"/>
                <w:szCs w:val="16"/>
              </w:rPr>
              <w:t>（一）予以公开</w:t>
            </w:r>
          </w:p>
        </w:tc>
        <w:tc>
          <w:tcPr>
            <w:tcW w:w="581"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1</w:t>
            </w:r>
          </w:p>
        </w:tc>
        <w:tc>
          <w:tcPr>
            <w:tcW w:w="488"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2"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69"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31"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0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3"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02" w:hRule="atLeast"/>
          <w:jc w:val="center"/>
        </w:trPr>
        <w:tc>
          <w:tcPr>
            <w:tcW w:w="381" w:type="dxa"/>
            <w:vMerge w:val="continue"/>
            <w:tcMar>
              <w:left w:w="108" w:type="dxa"/>
              <w:right w:w="108" w:type="dxa"/>
            </w:tcMar>
            <w:vAlign w:val="center"/>
          </w:tcPr>
          <w:p>
            <w:pPr>
              <w:rPr>
                <w:rFonts w:ascii="黑体" w:hAnsi="黑体" w:eastAsia="黑体"/>
                <w:szCs w:val="21"/>
              </w:rPr>
            </w:pPr>
          </w:p>
        </w:tc>
        <w:tc>
          <w:tcPr>
            <w:tcW w:w="3267" w:type="dxa"/>
            <w:gridSpan w:val="2"/>
            <w:tcMar>
              <w:left w:w="108" w:type="dxa"/>
              <w:right w:w="108" w:type="dxa"/>
            </w:tcMar>
            <w:vAlign w:val="center"/>
          </w:tcPr>
          <w:p>
            <w:pPr>
              <w:widowControl/>
              <w:rPr>
                <w:rFonts w:ascii="黑体" w:hAnsi="黑体" w:eastAsia="黑体"/>
                <w:sz w:val="16"/>
                <w:szCs w:val="16"/>
              </w:rPr>
            </w:pPr>
            <w:r>
              <w:rPr>
                <w:rFonts w:hint="eastAsia" w:ascii="黑体" w:hAnsi="黑体" w:eastAsia="黑体"/>
                <w:kern w:val="0"/>
                <w:sz w:val="16"/>
                <w:szCs w:val="16"/>
              </w:rPr>
              <w:t>（二）部分公开（</w:t>
            </w:r>
            <w:bookmarkStart w:id="1" w:name="_Hlk66973981"/>
            <w:r>
              <w:rPr>
                <w:rFonts w:hint="eastAsia" w:ascii="黑体" w:hAnsi="黑体" w:eastAsia="黑体"/>
                <w:kern w:val="0"/>
                <w:sz w:val="16"/>
                <w:szCs w:val="16"/>
              </w:rPr>
              <w:t>区分处理的，只计这一情形，不计其他情形</w:t>
            </w:r>
            <w:bookmarkEnd w:id="1"/>
            <w:r>
              <w:rPr>
                <w:rFonts w:hint="eastAsia" w:ascii="黑体" w:hAnsi="黑体" w:eastAsia="黑体"/>
                <w:kern w:val="0"/>
                <w:sz w:val="16"/>
                <w:szCs w:val="16"/>
              </w:rPr>
              <w:t>）</w:t>
            </w:r>
          </w:p>
        </w:tc>
        <w:tc>
          <w:tcPr>
            <w:tcW w:w="581"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488"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2"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69"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31"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0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3"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381" w:type="dxa"/>
            <w:vMerge w:val="continue"/>
            <w:tcMar>
              <w:left w:w="108" w:type="dxa"/>
              <w:right w:w="108" w:type="dxa"/>
            </w:tcMar>
            <w:vAlign w:val="center"/>
          </w:tcPr>
          <w:p>
            <w:pPr>
              <w:rPr>
                <w:rFonts w:ascii="黑体" w:hAnsi="黑体" w:eastAsia="黑体"/>
                <w:szCs w:val="21"/>
              </w:rPr>
            </w:pPr>
          </w:p>
        </w:tc>
        <w:tc>
          <w:tcPr>
            <w:tcW w:w="736" w:type="dxa"/>
            <w:vMerge w:val="restart"/>
            <w:tcMar>
              <w:left w:w="108" w:type="dxa"/>
              <w:right w:w="108" w:type="dxa"/>
            </w:tcMar>
            <w:vAlign w:val="center"/>
          </w:tcPr>
          <w:p>
            <w:pPr>
              <w:widowControl/>
              <w:spacing w:line="200" w:lineRule="exact"/>
              <w:ind w:left="-107" w:leftChars="-51"/>
              <w:rPr>
                <w:rFonts w:ascii="黑体" w:hAnsi="黑体" w:eastAsia="黑体"/>
                <w:sz w:val="16"/>
                <w:szCs w:val="16"/>
              </w:rPr>
            </w:pPr>
            <w:r>
              <w:rPr>
                <w:rFonts w:hint="eastAsia" w:ascii="黑体" w:hAnsi="黑体" w:eastAsia="黑体"/>
                <w:kern w:val="0"/>
                <w:sz w:val="16"/>
                <w:szCs w:val="16"/>
              </w:rPr>
              <w:t>（三）不予公开</w:t>
            </w:r>
          </w:p>
        </w:tc>
        <w:tc>
          <w:tcPr>
            <w:tcW w:w="2531" w:type="dxa"/>
            <w:tcMar>
              <w:left w:w="108" w:type="dxa"/>
              <w:right w:w="108" w:type="dxa"/>
            </w:tcMar>
            <w:vAlign w:val="center"/>
          </w:tcPr>
          <w:p>
            <w:pPr>
              <w:widowControl/>
              <w:spacing w:line="200" w:lineRule="exact"/>
              <w:rPr>
                <w:rFonts w:ascii="仿宋_GB2312" w:hAnsi="黑体" w:eastAsia="仿宋_GB2312"/>
                <w:kern w:val="0"/>
                <w:sz w:val="16"/>
                <w:szCs w:val="16"/>
              </w:rPr>
            </w:pPr>
            <w:r>
              <w:rPr>
                <w:rFonts w:hint="eastAsia" w:ascii="仿宋_GB2312" w:hAnsi="黑体" w:eastAsia="仿宋_GB2312"/>
                <w:kern w:val="0"/>
                <w:sz w:val="16"/>
                <w:szCs w:val="16"/>
              </w:rPr>
              <w:t>1.属于国家秘密</w:t>
            </w:r>
          </w:p>
        </w:tc>
        <w:tc>
          <w:tcPr>
            <w:tcW w:w="581"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488"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2"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69"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31"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0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3"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381" w:type="dxa"/>
            <w:vMerge w:val="continue"/>
            <w:tcMar>
              <w:left w:w="108" w:type="dxa"/>
              <w:right w:w="108" w:type="dxa"/>
            </w:tcMar>
            <w:vAlign w:val="center"/>
          </w:tcPr>
          <w:p>
            <w:pPr>
              <w:rPr>
                <w:rFonts w:ascii="黑体" w:hAnsi="黑体" w:eastAsia="黑体"/>
                <w:szCs w:val="21"/>
              </w:rPr>
            </w:pPr>
            <w:r>
              <w:rPr>
                <w:rFonts w:hint="eastAsia" w:ascii="黑体" w:hAnsi="黑体" w:eastAsia="黑体"/>
                <w:szCs w:val="21"/>
              </w:rPr>
              <w:t>S</w:t>
            </w:r>
          </w:p>
        </w:tc>
        <w:tc>
          <w:tcPr>
            <w:tcW w:w="736" w:type="dxa"/>
            <w:vMerge w:val="continue"/>
            <w:tcMar>
              <w:left w:w="108" w:type="dxa"/>
              <w:right w:w="108" w:type="dxa"/>
            </w:tcMar>
            <w:vAlign w:val="center"/>
          </w:tcPr>
          <w:p>
            <w:pPr>
              <w:spacing w:line="200" w:lineRule="exact"/>
              <w:rPr>
                <w:rFonts w:ascii="黑体" w:hAnsi="黑体" w:eastAsia="黑体"/>
                <w:sz w:val="16"/>
                <w:szCs w:val="16"/>
              </w:rPr>
            </w:pPr>
          </w:p>
        </w:tc>
        <w:tc>
          <w:tcPr>
            <w:tcW w:w="2531" w:type="dxa"/>
            <w:tcMar>
              <w:left w:w="108" w:type="dxa"/>
              <w:right w:w="108" w:type="dxa"/>
            </w:tcMar>
            <w:vAlign w:val="center"/>
          </w:tcPr>
          <w:p>
            <w:pPr>
              <w:widowControl/>
              <w:spacing w:line="200" w:lineRule="exact"/>
              <w:rPr>
                <w:rFonts w:ascii="仿宋_GB2312" w:hAnsi="黑体" w:eastAsia="仿宋_GB2312"/>
                <w:kern w:val="0"/>
                <w:sz w:val="16"/>
                <w:szCs w:val="16"/>
              </w:rPr>
            </w:pPr>
            <w:r>
              <w:rPr>
                <w:rFonts w:hint="eastAsia" w:ascii="仿宋_GB2312" w:hAnsi="黑体" w:eastAsia="仿宋_GB2312"/>
                <w:kern w:val="0"/>
                <w:sz w:val="16"/>
                <w:szCs w:val="16"/>
              </w:rPr>
              <w:t>2.</w:t>
            </w:r>
            <w:bookmarkStart w:id="2" w:name="_Hlk66974104"/>
            <w:r>
              <w:rPr>
                <w:rFonts w:hint="eastAsia" w:ascii="仿宋_GB2312" w:hAnsi="黑体" w:eastAsia="仿宋_GB2312"/>
                <w:kern w:val="0"/>
                <w:sz w:val="16"/>
                <w:szCs w:val="16"/>
              </w:rPr>
              <w:t>其他法律行政法规禁止公开</w:t>
            </w:r>
            <w:bookmarkEnd w:id="2"/>
          </w:p>
        </w:tc>
        <w:tc>
          <w:tcPr>
            <w:tcW w:w="581"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488"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2"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69"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31"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0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3"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381" w:type="dxa"/>
            <w:vMerge w:val="continue"/>
            <w:tcMar>
              <w:left w:w="108" w:type="dxa"/>
              <w:right w:w="108" w:type="dxa"/>
            </w:tcMar>
            <w:vAlign w:val="center"/>
          </w:tcPr>
          <w:p>
            <w:pPr>
              <w:rPr>
                <w:rFonts w:ascii="黑体" w:hAnsi="黑体" w:eastAsia="黑体"/>
                <w:szCs w:val="21"/>
              </w:rPr>
            </w:pPr>
          </w:p>
        </w:tc>
        <w:tc>
          <w:tcPr>
            <w:tcW w:w="736" w:type="dxa"/>
            <w:vMerge w:val="continue"/>
            <w:tcMar>
              <w:left w:w="108" w:type="dxa"/>
              <w:right w:w="108" w:type="dxa"/>
            </w:tcMar>
            <w:vAlign w:val="center"/>
          </w:tcPr>
          <w:p>
            <w:pPr>
              <w:spacing w:line="200" w:lineRule="exact"/>
              <w:rPr>
                <w:rFonts w:ascii="黑体" w:hAnsi="黑体" w:eastAsia="黑体"/>
                <w:sz w:val="16"/>
                <w:szCs w:val="16"/>
              </w:rPr>
            </w:pPr>
          </w:p>
        </w:tc>
        <w:tc>
          <w:tcPr>
            <w:tcW w:w="2531" w:type="dxa"/>
            <w:tcMar>
              <w:left w:w="108" w:type="dxa"/>
              <w:right w:w="108" w:type="dxa"/>
            </w:tcMar>
            <w:vAlign w:val="center"/>
          </w:tcPr>
          <w:p>
            <w:pPr>
              <w:widowControl/>
              <w:spacing w:line="200" w:lineRule="exact"/>
              <w:rPr>
                <w:rFonts w:ascii="仿宋_GB2312" w:hAnsi="黑体" w:eastAsia="仿宋_GB2312"/>
                <w:kern w:val="0"/>
                <w:sz w:val="16"/>
                <w:szCs w:val="16"/>
              </w:rPr>
            </w:pPr>
            <w:r>
              <w:rPr>
                <w:rFonts w:hint="eastAsia" w:ascii="仿宋_GB2312" w:hAnsi="黑体" w:eastAsia="仿宋_GB2312"/>
                <w:kern w:val="0"/>
                <w:sz w:val="16"/>
                <w:szCs w:val="16"/>
              </w:rPr>
              <w:t>3.危及“三安全一稳定”</w:t>
            </w:r>
          </w:p>
        </w:tc>
        <w:tc>
          <w:tcPr>
            <w:tcW w:w="581"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488"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2"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69"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31"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0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3"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381" w:type="dxa"/>
            <w:vMerge w:val="continue"/>
            <w:tcMar>
              <w:left w:w="108" w:type="dxa"/>
              <w:right w:w="108" w:type="dxa"/>
            </w:tcMar>
            <w:vAlign w:val="center"/>
          </w:tcPr>
          <w:p>
            <w:pPr>
              <w:rPr>
                <w:rFonts w:ascii="黑体" w:hAnsi="黑体" w:eastAsia="黑体"/>
                <w:szCs w:val="21"/>
              </w:rPr>
            </w:pPr>
          </w:p>
        </w:tc>
        <w:tc>
          <w:tcPr>
            <w:tcW w:w="736" w:type="dxa"/>
            <w:vMerge w:val="continue"/>
            <w:tcMar>
              <w:left w:w="108" w:type="dxa"/>
              <w:right w:w="108" w:type="dxa"/>
            </w:tcMar>
            <w:vAlign w:val="center"/>
          </w:tcPr>
          <w:p>
            <w:pPr>
              <w:spacing w:line="200" w:lineRule="exact"/>
              <w:rPr>
                <w:rFonts w:ascii="黑体" w:hAnsi="黑体" w:eastAsia="黑体"/>
                <w:sz w:val="16"/>
                <w:szCs w:val="16"/>
              </w:rPr>
            </w:pPr>
          </w:p>
        </w:tc>
        <w:tc>
          <w:tcPr>
            <w:tcW w:w="2531" w:type="dxa"/>
            <w:tcMar>
              <w:left w:w="108" w:type="dxa"/>
              <w:right w:w="108" w:type="dxa"/>
            </w:tcMar>
            <w:vAlign w:val="center"/>
          </w:tcPr>
          <w:p>
            <w:pPr>
              <w:widowControl/>
              <w:spacing w:line="200" w:lineRule="exact"/>
              <w:rPr>
                <w:rFonts w:ascii="仿宋_GB2312" w:hAnsi="黑体" w:eastAsia="仿宋_GB2312"/>
                <w:kern w:val="0"/>
                <w:sz w:val="16"/>
                <w:szCs w:val="16"/>
              </w:rPr>
            </w:pPr>
            <w:r>
              <w:rPr>
                <w:rFonts w:hint="eastAsia" w:ascii="仿宋_GB2312" w:hAnsi="黑体" w:eastAsia="仿宋_GB2312"/>
                <w:kern w:val="0"/>
                <w:sz w:val="16"/>
                <w:szCs w:val="16"/>
              </w:rPr>
              <w:t>4.</w:t>
            </w:r>
            <w:bookmarkStart w:id="3" w:name="_Hlk66974290"/>
            <w:r>
              <w:rPr>
                <w:rFonts w:hint="eastAsia" w:ascii="仿宋_GB2312" w:hAnsi="黑体" w:eastAsia="仿宋_GB2312"/>
                <w:kern w:val="0"/>
                <w:sz w:val="16"/>
                <w:szCs w:val="16"/>
              </w:rPr>
              <w:t>保护第三方合法权益</w:t>
            </w:r>
            <w:bookmarkEnd w:id="3"/>
          </w:p>
        </w:tc>
        <w:tc>
          <w:tcPr>
            <w:tcW w:w="581"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488"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2"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69"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31"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0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3"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381" w:type="dxa"/>
            <w:vMerge w:val="continue"/>
            <w:tcMar>
              <w:left w:w="108" w:type="dxa"/>
              <w:right w:w="108" w:type="dxa"/>
            </w:tcMar>
            <w:vAlign w:val="center"/>
          </w:tcPr>
          <w:p>
            <w:pPr>
              <w:rPr>
                <w:rFonts w:ascii="黑体" w:hAnsi="黑体" w:eastAsia="黑体"/>
                <w:szCs w:val="21"/>
              </w:rPr>
            </w:pPr>
          </w:p>
        </w:tc>
        <w:tc>
          <w:tcPr>
            <w:tcW w:w="736" w:type="dxa"/>
            <w:vMerge w:val="continue"/>
            <w:tcMar>
              <w:left w:w="108" w:type="dxa"/>
              <w:right w:w="108" w:type="dxa"/>
            </w:tcMar>
            <w:vAlign w:val="center"/>
          </w:tcPr>
          <w:p>
            <w:pPr>
              <w:spacing w:line="200" w:lineRule="exact"/>
              <w:rPr>
                <w:rFonts w:ascii="黑体" w:hAnsi="黑体" w:eastAsia="黑体"/>
                <w:sz w:val="16"/>
                <w:szCs w:val="16"/>
              </w:rPr>
            </w:pPr>
          </w:p>
        </w:tc>
        <w:tc>
          <w:tcPr>
            <w:tcW w:w="2531" w:type="dxa"/>
            <w:tcMar>
              <w:left w:w="108" w:type="dxa"/>
              <w:right w:w="108" w:type="dxa"/>
            </w:tcMar>
            <w:vAlign w:val="center"/>
          </w:tcPr>
          <w:p>
            <w:pPr>
              <w:widowControl/>
              <w:spacing w:line="200" w:lineRule="exact"/>
              <w:rPr>
                <w:rFonts w:ascii="仿宋_GB2312" w:hAnsi="黑体" w:eastAsia="仿宋_GB2312"/>
                <w:kern w:val="0"/>
                <w:sz w:val="16"/>
                <w:szCs w:val="16"/>
              </w:rPr>
            </w:pPr>
            <w:r>
              <w:rPr>
                <w:rFonts w:hint="eastAsia" w:ascii="仿宋_GB2312" w:hAnsi="黑体" w:eastAsia="仿宋_GB2312"/>
                <w:kern w:val="0"/>
                <w:sz w:val="16"/>
                <w:szCs w:val="16"/>
              </w:rPr>
              <w:t>5.属于三类内部事务信息</w:t>
            </w:r>
          </w:p>
        </w:tc>
        <w:tc>
          <w:tcPr>
            <w:tcW w:w="581"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488"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2"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69"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31"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0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3"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381" w:type="dxa"/>
            <w:vMerge w:val="continue"/>
            <w:tcMar>
              <w:left w:w="108" w:type="dxa"/>
              <w:right w:w="108" w:type="dxa"/>
            </w:tcMar>
            <w:vAlign w:val="center"/>
          </w:tcPr>
          <w:p>
            <w:pPr>
              <w:rPr>
                <w:rFonts w:ascii="黑体" w:hAnsi="黑体" w:eastAsia="黑体"/>
                <w:szCs w:val="21"/>
              </w:rPr>
            </w:pPr>
          </w:p>
        </w:tc>
        <w:tc>
          <w:tcPr>
            <w:tcW w:w="736" w:type="dxa"/>
            <w:vMerge w:val="continue"/>
            <w:tcMar>
              <w:left w:w="108" w:type="dxa"/>
              <w:right w:w="108" w:type="dxa"/>
            </w:tcMar>
            <w:vAlign w:val="center"/>
          </w:tcPr>
          <w:p>
            <w:pPr>
              <w:spacing w:line="200" w:lineRule="exact"/>
              <w:rPr>
                <w:rFonts w:ascii="黑体" w:hAnsi="黑体" w:eastAsia="黑体"/>
                <w:sz w:val="16"/>
                <w:szCs w:val="16"/>
              </w:rPr>
            </w:pPr>
          </w:p>
        </w:tc>
        <w:tc>
          <w:tcPr>
            <w:tcW w:w="2531" w:type="dxa"/>
            <w:tcMar>
              <w:left w:w="108" w:type="dxa"/>
              <w:right w:w="108" w:type="dxa"/>
            </w:tcMar>
            <w:vAlign w:val="center"/>
          </w:tcPr>
          <w:p>
            <w:pPr>
              <w:widowControl/>
              <w:spacing w:line="200" w:lineRule="exact"/>
              <w:rPr>
                <w:rFonts w:ascii="仿宋_GB2312" w:hAnsi="黑体" w:eastAsia="仿宋_GB2312"/>
                <w:kern w:val="0"/>
                <w:sz w:val="16"/>
                <w:szCs w:val="16"/>
              </w:rPr>
            </w:pPr>
            <w:r>
              <w:rPr>
                <w:rFonts w:hint="eastAsia" w:ascii="仿宋_GB2312" w:hAnsi="黑体" w:eastAsia="仿宋_GB2312"/>
                <w:kern w:val="0"/>
                <w:sz w:val="16"/>
                <w:szCs w:val="16"/>
              </w:rPr>
              <w:t>6.</w:t>
            </w:r>
            <w:bookmarkStart w:id="4" w:name="_Hlk66974555"/>
            <w:r>
              <w:rPr>
                <w:rFonts w:hint="eastAsia" w:ascii="仿宋_GB2312" w:hAnsi="黑体" w:eastAsia="仿宋_GB2312"/>
                <w:kern w:val="0"/>
                <w:sz w:val="16"/>
                <w:szCs w:val="16"/>
              </w:rPr>
              <w:t>属于四类过程性信息</w:t>
            </w:r>
            <w:bookmarkEnd w:id="4"/>
          </w:p>
        </w:tc>
        <w:tc>
          <w:tcPr>
            <w:tcW w:w="581"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488"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2"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69"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31"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0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3"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381" w:type="dxa"/>
            <w:vMerge w:val="continue"/>
            <w:tcMar>
              <w:left w:w="108" w:type="dxa"/>
              <w:right w:w="108" w:type="dxa"/>
            </w:tcMar>
            <w:vAlign w:val="center"/>
          </w:tcPr>
          <w:p>
            <w:pPr>
              <w:rPr>
                <w:rFonts w:ascii="黑体" w:hAnsi="黑体" w:eastAsia="黑体"/>
                <w:szCs w:val="21"/>
              </w:rPr>
            </w:pPr>
          </w:p>
        </w:tc>
        <w:tc>
          <w:tcPr>
            <w:tcW w:w="736" w:type="dxa"/>
            <w:vMerge w:val="continue"/>
            <w:tcMar>
              <w:left w:w="108" w:type="dxa"/>
              <w:right w:w="108" w:type="dxa"/>
            </w:tcMar>
            <w:vAlign w:val="center"/>
          </w:tcPr>
          <w:p>
            <w:pPr>
              <w:spacing w:line="200" w:lineRule="exact"/>
              <w:rPr>
                <w:rFonts w:ascii="黑体" w:hAnsi="黑体" w:eastAsia="黑体"/>
                <w:sz w:val="16"/>
                <w:szCs w:val="16"/>
              </w:rPr>
            </w:pPr>
          </w:p>
        </w:tc>
        <w:tc>
          <w:tcPr>
            <w:tcW w:w="2531" w:type="dxa"/>
            <w:tcMar>
              <w:left w:w="108" w:type="dxa"/>
              <w:right w:w="108" w:type="dxa"/>
            </w:tcMar>
            <w:vAlign w:val="center"/>
          </w:tcPr>
          <w:p>
            <w:pPr>
              <w:widowControl/>
              <w:spacing w:line="200" w:lineRule="exact"/>
              <w:rPr>
                <w:rFonts w:ascii="仿宋_GB2312" w:hAnsi="黑体" w:eastAsia="仿宋_GB2312"/>
                <w:kern w:val="0"/>
                <w:sz w:val="16"/>
                <w:szCs w:val="16"/>
              </w:rPr>
            </w:pPr>
            <w:r>
              <w:rPr>
                <w:rFonts w:hint="eastAsia" w:ascii="仿宋_GB2312" w:hAnsi="黑体" w:eastAsia="仿宋_GB2312"/>
                <w:kern w:val="0"/>
                <w:sz w:val="16"/>
                <w:szCs w:val="16"/>
              </w:rPr>
              <w:t>7.属于行政执法案卷</w:t>
            </w:r>
          </w:p>
        </w:tc>
        <w:tc>
          <w:tcPr>
            <w:tcW w:w="581"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488"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2"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69"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31"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0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3"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381" w:type="dxa"/>
            <w:vMerge w:val="continue"/>
            <w:tcMar>
              <w:left w:w="108" w:type="dxa"/>
              <w:right w:w="108" w:type="dxa"/>
            </w:tcMar>
            <w:vAlign w:val="center"/>
          </w:tcPr>
          <w:p>
            <w:pPr>
              <w:rPr>
                <w:rFonts w:ascii="黑体" w:hAnsi="黑体" w:eastAsia="黑体"/>
                <w:szCs w:val="21"/>
              </w:rPr>
            </w:pPr>
          </w:p>
        </w:tc>
        <w:tc>
          <w:tcPr>
            <w:tcW w:w="736" w:type="dxa"/>
            <w:vMerge w:val="continue"/>
            <w:tcMar>
              <w:left w:w="108" w:type="dxa"/>
              <w:right w:w="108" w:type="dxa"/>
            </w:tcMar>
            <w:vAlign w:val="center"/>
          </w:tcPr>
          <w:p>
            <w:pPr>
              <w:spacing w:line="200" w:lineRule="exact"/>
              <w:rPr>
                <w:rFonts w:ascii="黑体" w:hAnsi="黑体" w:eastAsia="黑体"/>
                <w:sz w:val="16"/>
                <w:szCs w:val="16"/>
              </w:rPr>
            </w:pPr>
          </w:p>
        </w:tc>
        <w:tc>
          <w:tcPr>
            <w:tcW w:w="2531" w:type="dxa"/>
            <w:tcMar>
              <w:left w:w="108" w:type="dxa"/>
              <w:right w:w="108" w:type="dxa"/>
            </w:tcMar>
            <w:vAlign w:val="center"/>
          </w:tcPr>
          <w:p>
            <w:pPr>
              <w:widowControl/>
              <w:spacing w:line="200" w:lineRule="exact"/>
              <w:rPr>
                <w:rFonts w:ascii="仿宋_GB2312" w:hAnsi="黑体" w:eastAsia="仿宋_GB2312"/>
                <w:kern w:val="0"/>
                <w:sz w:val="16"/>
                <w:szCs w:val="16"/>
              </w:rPr>
            </w:pPr>
            <w:r>
              <w:rPr>
                <w:rFonts w:hint="eastAsia" w:ascii="仿宋_GB2312" w:hAnsi="黑体" w:eastAsia="仿宋_GB2312"/>
                <w:kern w:val="0"/>
                <w:sz w:val="16"/>
                <w:szCs w:val="16"/>
              </w:rPr>
              <w:t>8.</w:t>
            </w:r>
            <w:bookmarkStart w:id="5" w:name="_Hlk66975211"/>
            <w:r>
              <w:rPr>
                <w:rFonts w:hint="eastAsia" w:ascii="仿宋_GB2312" w:hAnsi="黑体" w:eastAsia="仿宋_GB2312"/>
                <w:kern w:val="0"/>
                <w:sz w:val="16"/>
                <w:szCs w:val="16"/>
              </w:rPr>
              <w:t>属于行政查询事项</w:t>
            </w:r>
            <w:bookmarkEnd w:id="5"/>
          </w:p>
        </w:tc>
        <w:tc>
          <w:tcPr>
            <w:tcW w:w="581"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488"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2"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69"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31"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0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3"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381" w:type="dxa"/>
            <w:vMerge w:val="continue"/>
            <w:tcMar>
              <w:left w:w="108" w:type="dxa"/>
              <w:right w:w="108" w:type="dxa"/>
            </w:tcMar>
            <w:vAlign w:val="center"/>
          </w:tcPr>
          <w:p>
            <w:pPr>
              <w:rPr>
                <w:rFonts w:ascii="黑体" w:hAnsi="黑体" w:eastAsia="黑体"/>
                <w:szCs w:val="21"/>
              </w:rPr>
            </w:pPr>
          </w:p>
        </w:tc>
        <w:tc>
          <w:tcPr>
            <w:tcW w:w="736" w:type="dxa"/>
            <w:vMerge w:val="restart"/>
            <w:tcMar>
              <w:left w:w="108" w:type="dxa"/>
              <w:right w:w="108" w:type="dxa"/>
            </w:tcMar>
            <w:vAlign w:val="center"/>
          </w:tcPr>
          <w:p>
            <w:pPr>
              <w:widowControl/>
              <w:spacing w:line="200" w:lineRule="exact"/>
              <w:ind w:left="-107" w:leftChars="-51"/>
              <w:rPr>
                <w:rFonts w:ascii="黑体" w:hAnsi="黑体" w:eastAsia="黑体"/>
                <w:sz w:val="16"/>
                <w:szCs w:val="16"/>
              </w:rPr>
            </w:pPr>
            <w:r>
              <w:rPr>
                <w:rFonts w:hint="eastAsia" w:ascii="黑体" w:hAnsi="黑体" w:eastAsia="黑体"/>
                <w:kern w:val="0"/>
                <w:sz w:val="16"/>
                <w:szCs w:val="16"/>
              </w:rPr>
              <w:t>（四）无法提供</w:t>
            </w:r>
          </w:p>
        </w:tc>
        <w:tc>
          <w:tcPr>
            <w:tcW w:w="2531" w:type="dxa"/>
            <w:tcMar>
              <w:left w:w="108" w:type="dxa"/>
              <w:right w:w="108" w:type="dxa"/>
            </w:tcMar>
            <w:vAlign w:val="center"/>
          </w:tcPr>
          <w:p>
            <w:pPr>
              <w:widowControl/>
              <w:spacing w:line="200" w:lineRule="exact"/>
              <w:rPr>
                <w:rFonts w:ascii="仿宋_GB2312" w:hAnsi="黑体" w:eastAsia="仿宋_GB2312"/>
                <w:kern w:val="0"/>
                <w:sz w:val="16"/>
                <w:szCs w:val="16"/>
              </w:rPr>
            </w:pPr>
            <w:r>
              <w:rPr>
                <w:rFonts w:hint="eastAsia" w:ascii="仿宋_GB2312" w:hAnsi="黑体" w:eastAsia="仿宋_GB2312"/>
                <w:kern w:val="0"/>
                <w:sz w:val="16"/>
                <w:szCs w:val="16"/>
              </w:rPr>
              <w:t>1.本机关不掌握相关政府信息</w:t>
            </w:r>
          </w:p>
        </w:tc>
        <w:tc>
          <w:tcPr>
            <w:tcW w:w="581"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488"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2"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69"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31"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0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3"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381" w:type="dxa"/>
            <w:vMerge w:val="continue"/>
            <w:tcMar>
              <w:left w:w="108" w:type="dxa"/>
              <w:right w:w="108" w:type="dxa"/>
            </w:tcMar>
            <w:vAlign w:val="center"/>
          </w:tcPr>
          <w:p>
            <w:pPr>
              <w:rPr>
                <w:rFonts w:ascii="黑体" w:hAnsi="黑体" w:eastAsia="黑体"/>
                <w:szCs w:val="21"/>
              </w:rPr>
            </w:pPr>
          </w:p>
        </w:tc>
        <w:tc>
          <w:tcPr>
            <w:tcW w:w="736" w:type="dxa"/>
            <w:vMerge w:val="continue"/>
            <w:tcMar>
              <w:left w:w="108" w:type="dxa"/>
              <w:right w:w="108" w:type="dxa"/>
            </w:tcMar>
            <w:vAlign w:val="center"/>
          </w:tcPr>
          <w:p>
            <w:pPr>
              <w:spacing w:line="200" w:lineRule="exact"/>
              <w:ind w:left="-107" w:leftChars="-51"/>
              <w:rPr>
                <w:rFonts w:ascii="黑体" w:hAnsi="黑体" w:eastAsia="黑体"/>
                <w:sz w:val="16"/>
                <w:szCs w:val="16"/>
              </w:rPr>
            </w:pPr>
          </w:p>
        </w:tc>
        <w:tc>
          <w:tcPr>
            <w:tcW w:w="2531" w:type="dxa"/>
            <w:tcMar>
              <w:left w:w="108" w:type="dxa"/>
              <w:right w:w="108" w:type="dxa"/>
            </w:tcMar>
            <w:vAlign w:val="center"/>
          </w:tcPr>
          <w:p>
            <w:pPr>
              <w:widowControl/>
              <w:spacing w:line="200" w:lineRule="exact"/>
              <w:rPr>
                <w:rFonts w:ascii="仿宋_GB2312" w:hAnsi="黑体" w:eastAsia="仿宋_GB2312"/>
                <w:kern w:val="0"/>
                <w:sz w:val="16"/>
                <w:szCs w:val="16"/>
              </w:rPr>
            </w:pPr>
            <w:r>
              <w:rPr>
                <w:rFonts w:hint="eastAsia" w:ascii="仿宋_GB2312" w:hAnsi="黑体" w:eastAsia="仿宋_GB2312"/>
                <w:kern w:val="0"/>
                <w:sz w:val="16"/>
                <w:szCs w:val="16"/>
              </w:rPr>
              <w:t>2.</w:t>
            </w:r>
            <w:bookmarkStart w:id="6" w:name="_Hlk66975392"/>
            <w:r>
              <w:rPr>
                <w:rFonts w:hint="eastAsia" w:ascii="仿宋_GB2312" w:hAnsi="黑体" w:eastAsia="仿宋_GB2312"/>
                <w:kern w:val="0"/>
                <w:sz w:val="16"/>
                <w:szCs w:val="16"/>
              </w:rPr>
              <w:t>没有现成信息需要另行制作</w:t>
            </w:r>
            <w:bookmarkEnd w:id="6"/>
          </w:p>
        </w:tc>
        <w:tc>
          <w:tcPr>
            <w:tcW w:w="581"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488"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2"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69"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31"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0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3"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381" w:type="dxa"/>
            <w:vMerge w:val="continue"/>
            <w:tcMar>
              <w:left w:w="108" w:type="dxa"/>
              <w:right w:w="108" w:type="dxa"/>
            </w:tcMar>
            <w:vAlign w:val="center"/>
          </w:tcPr>
          <w:p>
            <w:pPr>
              <w:rPr>
                <w:rFonts w:ascii="黑体" w:hAnsi="黑体" w:eastAsia="黑体"/>
                <w:szCs w:val="21"/>
              </w:rPr>
            </w:pPr>
          </w:p>
        </w:tc>
        <w:tc>
          <w:tcPr>
            <w:tcW w:w="736" w:type="dxa"/>
            <w:vMerge w:val="continue"/>
            <w:tcMar>
              <w:left w:w="108" w:type="dxa"/>
              <w:right w:w="108" w:type="dxa"/>
            </w:tcMar>
            <w:vAlign w:val="center"/>
          </w:tcPr>
          <w:p>
            <w:pPr>
              <w:spacing w:line="200" w:lineRule="exact"/>
              <w:ind w:left="-107" w:leftChars="-51"/>
              <w:rPr>
                <w:rFonts w:ascii="黑体" w:hAnsi="黑体" w:eastAsia="黑体"/>
                <w:sz w:val="16"/>
                <w:szCs w:val="16"/>
              </w:rPr>
            </w:pPr>
          </w:p>
        </w:tc>
        <w:tc>
          <w:tcPr>
            <w:tcW w:w="2531" w:type="dxa"/>
            <w:tcMar>
              <w:left w:w="108" w:type="dxa"/>
              <w:right w:w="108" w:type="dxa"/>
            </w:tcMar>
            <w:vAlign w:val="center"/>
          </w:tcPr>
          <w:p>
            <w:pPr>
              <w:widowControl/>
              <w:spacing w:line="200" w:lineRule="exact"/>
              <w:rPr>
                <w:rFonts w:ascii="仿宋_GB2312" w:hAnsi="黑体" w:eastAsia="仿宋_GB2312"/>
                <w:kern w:val="0"/>
                <w:sz w:val="16"/>
                <w:szCs w:val="16"/>
              </w:rPr>
            </w:pPr>
            <w:r>
              <w:rPr>
                <w:rFonts w:hint="eastAsia" w:ascii="仿宋_GB2312" w:hAnsi="黑体" w:eastAsia="仿宋_GB2312"/>
                <w:kern w:val="0"/>
                <w:sz w:val="16"/>
                <w:szCs w:val="16"/>
              </w:rPr>
              <w:t>3.</w:t>
            </w:r>
            <w:bookmarkStart w:id="7" w:name="_Hlk66975466"/>
            <w:r>
              <w:rPr>
                <w:rFonts w:hint="eastAsia" w:ascii="仿宋_GB2312" w:hAnsi="黑体" w:eastAsia="仿宋_GB2312"/>
                <w:kern w:val="0"/>
                <w:sz w:val="16"/>
                <w:szCs w:val="16"/>
              </w:rPr>
              <w:t>补正后申请内容仍不明确</w:t>
            </w:r>
            <w:bookmarkEnd w:id="7"/>
          </w:p>
        </w:tc>
        <w:tc>
          <w:tcPr>
            <w:tcW w:w="581"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488"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2"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69"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31"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0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3"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381" w:type="dxa"/>
            <w:vMerge w:val="continue"/>
            <w:tcMar>
              <w:left w:w="108" w:type="dxa"/>
              <w:right w:w="108" w:type="dxa"/>
            </w:tcMar>
            <w:vAlign w:val="center"/>
          </w:tcPr>
          <w:p>
            <w:pPr>
              <w:rPr>
                <w:rFonts w:ascii="黑体" w:hAnsi="黑体" w:eastAsia="黑体"/>
                <w:szCs w:val="21"/>
              </w:rPr>
            </w:pPr>
          </w:p>
        </w:tc>
        <w:tc>
          <w:tcPr>
            <w:tcW w:w="736" w:type="dxa"/>
            <w:vMerge w:val="restart"/>
            <w:tcMar>
              <w:left w:w="108" w:type="dxa"/>
              <w:right w:w="108" w:type="dxa"/>
            </w:tcMar>
            <w:vAlign w:val="center"/>
          </w:tcPr>
          <w:p>
            <w:pPr>
              <w:widowControl/>
              <w:spacing w:line="200" w:lineRule="exact"/>
              <w:ind w:left="-107" w:leftChars="-51"/>
              <w:rPr>
                <w:rFonts w:ascii="黑体" w:hAnsi="黑体" w:eastAsia="黑体"/>
                <w:sz w:val="16"/>
                <w:szCs w:val="16"/>
              </w:rPr>
            </w:pPr>
            <w:r>
              <w:rPr>
                <w:rFonts w:hint="eastAsia" w:ascii="黑体" w:hAnsi="黑体" w:eastAsia="黑体"/>
                <w:kern w:val="0"/>
                <w:sz w:val="16"/>
                <w:szCs w:val="16"/>
              </w:rPr>
              <w:t>（五）不予处理</w:t>
            </w:r>
          </w:p>
        </w:tc>
        <w:tc>
          <w:tcPr>
            <w:tcW w:w="2531" w:type="dxa"/>
            <w:tcMar>
              <w:left w:w="108" w:type="dxa"/>
              <w:right w:w="108" w:type="dxa"/>
            </w:tcMar>
            <w:vAlign w:val="center"/>
          </w:tcPr>
          <w:p>
            <w:pPr>
              <w:widowControl/>
              <w:spacing w:line="200" w:lineRule="exact"/>
              <w:rPr>
                <w:rFonts w:ascii="仿宋_GB2312" w:hAnsi="黑体" w:eastAsia="仿宋_GB2312"/>
                <w:kern w:val="0"/>
                <w:sz w:val="16"/>
                <w:szCs w:val="16"/>
              </w:rPr>
            </w:pPr>
            <w:r>
              <w:rPr>
                <w:rFonts w:hint="eastAsia" w:ascii="仿宋_GB2312" w:hAnsi="黑体" w:eastAsia="仿宋_GB2312"/>
                <w:kern w:val="0"/>
                <w:sz w:val="16"/>
                <w:szCs w:val="16"/>
              </w:rPr>
              <w:t>1.</w:t>
            </w:r>
            <w:bookmarkStart w:id="8" w:name="_Hlk66975537"/>
            <w:r>
              <w:rPr>
                <w:rFonts w:hint="eastAsia" w:ascii="仿宋_GB2312" w:hAnsi="黑体" w:eastAsia="仿宋_GB2312"/>
                <w:kern w:val="0"/>
                <w:sz w:val="16"/>
                <w:szCs w:val="16"/>
              </w:rPr>
              <w:t>信访举报投诉类申请</w:t>
            </w:r>
            <w:bookmarkEnd w:id="8"/>
          </w:p>
        </w:tc>
        <w:tc>
          <w:tcPr>
            <w:tcW w:w="581"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488"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2"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69"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31"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0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3"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381" w:type="dxa"/>
            <w:vMerge w:val="continue"/>
            <w:tcMar>
              <w:left w:w="108" w:type="dxa"/>
              <w:right w:w="108" w:type="dxa"/>
            </w:tcMar>
            <w:vAlign w:val="center"/>
          </w:tcPr>
          <w:p>
            <w:pPr>
              <w:rPr>
                <w:rFonts w:ascii="黑体" w:hAnsi="黑体" w:eastAsia="黑体"/>
                <w:szCs w:val="21"/>
              </w:rPr>
            </w:pPr>
          </w:p>
        </w:tc>
        <w:tc>
          <w:tcPr>
            <w:tcW w:w="736" w:type="dxa"/>
            <w:vMerge w:val="continue"/>
            <w:tcMar>
              <w:left w:w="108" w:type="dxa"/>
              <w:right w:w="108" w:type="dxa"/>
            </w:tcMar>
            <w:vAlign w:val="center"/>
          </w:tcPr>
          <w:p>
            <w:pPr>
              <w:spacing w:line="200" w:lineRule="exact"/>
              <w:rPr>
                <w:rFonts w:ascii="黑体" w:hAnsi="黑体" w:eastAsia="黑体"/>
                <w:sz w:val="16"/>
                <w:szCs w:val="16"/>
              </w:rPr>
            </w:pPr>
          </w:p>
        </w:tc>
        <w:tc>
          <w:tcPr>
            <w:tcW w:w="2531" w:type="dxa"/>
            <w:tcMar>
              <w:left w:w="108" w:type="dxa"/>
              <w:right w:w="108" w:type="dxa"/>
            </w:tcMar>
            <w:vAlign w:val="center"/>
          </w:tcPr>
          <w:p>
            <w:pPr>
              <w:widowControl/>
              <w:spacing w:line="200" w:lineRule="exact"/>
              <w:rPr>
                <w:rFonts w:ascii="仿宋_GB2312" w:hAnsi="黑体" w:eastAsia="仿宋_GB2312"/>
                <w:kern w:val="0"/>
                <w:sz w:val="16"/>
                <w:szCs w:val="16"/>
              </w:rPr>
            </w:pPr>
            <w:r>
              <w:rPr>
                <w:rFonts w:hint="eastAsia" w:ascii="仿宋_GB2312" w:hAnsi="黑体" w:eastAsia="仿宋_GB2312"/>
                <w:kern w:val="0"/>
                <w:sz w:val="16"/>
                <w:szCs w:val="16"/>
              </w:rPr>
              <w:t>2.重复申请</w:t>
            </w:r>
          </w:p>
        </w:tc>
        <w:tc>
          <w:tcPr>
            <w:tcW w:w="581"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488"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2"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69"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31"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0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3"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31" w:hRule="exact"/>
          <w:jc w:val="center"/>
        </w:trPr>
        <w:tc>
          <w:tcPr>
            <w:tcW w:w="381" w:type="dxa"/>
            <w:vMerge w:val="continue"/>
            <w:tcMar>
              <w:left w:w="108" w:type="dxa"/>
              <w:right w:w="108" w:type="dxa"/>
            </w:tcMar>
            <w:vAlign w:val="center"/>
          </w:tcPr>
          <w:p>
            <w:pPr>
              <w:rPr>
                <w:rFonts w:ascii="黑体" w:hAnsi="黑体" w:eastAsia="黑体"/>
                <w:szCs w:val="21"/>
              </w:rPr>
            </w:pPr>
          </w:p>
        </w:tc>
        <w:tc>
          <w:tcPr>
            <w:tcW w:w="736" w:type="dxa"/>
            <w:vMerge w:val="continue"/>
            <w:tcMar>
              <w:left w:w="108" w:type="dxa"/>
              <w:right w:w="108" w:type="dxa"/>
            </w:tcMar>
            <w:vAlign w:val="center"/>
          </w:tcPr>
          <w:p>
            <w:pPr>
              <w:spacing w:line="200" w:lineRule="exact"/>
              <w:rPr>
                <w:rFonts w:ascii="黑体" w:hAnsi="黑体" w:eastAsia="黑体"/>
                <w:sz w:val="16"/>
                <w:szCs w:val="16"/>
              </w:rPr>
            </w:pPr>
          </w:p>
        </w:tc>
        <w:tc>
          <w:tcPr>
            <w:tcW w:w="2531" w:type="dxa"/>
            <w:tcMar>
              <w:left w:w="108" w:type="dxa"/>
              <w:right w:w="108" w:type="dxa"/>
            </w:tcMar>
            <w:vAlign w:val="center"/>
          </w:tcPr>
          <w:p>
            <w:pPr>
              <w:widowControl/>
              <w:spacing w:line="200" w:lineRule="exact"/>
              <w:rPr>
                <w:rFonts w:ascii="仿宋_GB2312" w:hAnsi="黑体" w:eastAsia="仿宋_GB2312"/>
                <w:sz w:val="16"/>
                <w:szCs w:val="16"/>
              </w:rPr>
            </w:pPr>
            <w:r>
              <w:rPr>
                <w:rFonts w:hint="eastAsia" w:ascii="仿宋_GB2312" w:hAnsi="黑体" w:eastAsia="仿宋_GB2312"/>
                <w:kern w:val="0"/>
                <w:sz w:val="16"/>
                <w:szCs w:val="16"/>
              </w:rPr>
              <w:t>3.要求提供公开出版物</w:t>
            </w:r>
          </w:p>
        </w:tc>
        <w:tc>
          <w:tcPr>
            <w:tcW w:w="581"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488"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2"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69"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31"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0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3"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77" w:hRule="exact"/>
          <w:jc w:val="center"/>
        </w:trPr>
        <w:tc>
          <w:tcPr>
            <w:tcW w:w="381" w:type="dxa"/>
            <w:vMerge w:val="continue"/>
            <w:tcMar>
              <w:left w:w="108" w:type="dxa"/>
              <w:right w:w="108" w:type="dxa"/>
            </w:tcMar>
            <w:vAlign w:val="center"/>
          </w:tcPr>
          <w:p>
            <w:pPr>
              <w:rPr>
                <w:rFonts w:ascii="黑体" w:hAnsi="黑体" w:eastAsia="黑体"/>
                <w:szCs w:val="21"/>
              </w:rPr>
            </w:pPr>
          </w:p>
        </w:tc>
        <w:tc>
          <w:tcPr>
            <w:tcW w:w="736" w:type="dxa"/>
            <w:vMerge w:val="continue"/>
            <w:tcMar>
              <w:left w:w="108" w:type="dxa"/>
              <w:right w:w="108" w:type="dxa"/>
            </w:tcMar>
            <w:vAlign w:val="center"/>
          </w:tcPr>
          <w:p>
            <w:pPr>
              <w:spacing w:line="200" w:lineRule="exact"/>
              <w:rPr>
                <w:rFonts w:ascii="黑体" w:hAnsi="黑体" w:eastAsia="黑体"/>
                <w:sz w:val="16"/>
                <w:szCs w:val="16"/>
              </w:rPr>
            </w:pPr>
          </w:p>
        </w:tc>
        <w:tc>
          <w:tcPr>
            <w:tcW w:w="2531" w:type="dxa"/>
            <w:tcMar>
              <w:left w:w="108" w:type="dxa"/>
              <w:right w:w="108" w:type="dxa"/>
            </w:tcMar>
            <w:vAlign w:val="center"/>
          </w:tcPr>
          <w:p>
            <w:pPr>
              <w:widowControl/>
              <w:spacing w:line="200" w:lineRule="exact"/>
              <w:rPr>
                <w:rFonts w:ascii="仿宋_GB2312" w:hAnsi="黑体" w:eastAsia="仿宋_GB2312"/>
                <w:sz w:val="16"/>
                <w:szCs w:val="16"/>
              </w:rPr>
            </w:pPr>
            <w:r>
              <w:rPr>
                <w:rFonts w:hint="eastAsia" w:ascii="仿宋_GB2312" w:hAnsi="黑体" w:eastAsia="仿宋_GB2312"/>
                <w:kern w:val="0"/>
                <w:sz w:val="16"/>
                <w:szCs w:val="16"/>
              </w:rPr>
              <w:t>4.无正当理由大量反复申请</w:t>
            </w:r>
          </w:p>
        </w:tc>
        <w:tc>
          <w:tcPr>
            <w:tcW w:w="581"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488"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2"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69"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31"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0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3"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79" w:hRule="atLeast"/>
          <w:jc w:val="center"/>
        </w:trPr>
        <w:tc>
          <w:tcPr>
            <w:tcW w:w="381" w:type="dxa"/>
            <w:vMerge w:val="continue"/>
            <w:tcMar>
              <w:left w:w="108" w:type="dxa"/>
              <w:right w:w="108" w:type="dxa"/>
            </w:tcMar>
            <w:vAlign w:val="center"/>
          </w:tcPr>
          <w:p>
            <w:pPr>
              <w:rPr>
                <w:rFonts w:ascii="黑体" w:hAnsi="黑体" w:eastAsia="黑体"/>
                <w:szCs w:val="21"/>
              </w:rPr>
            </w:pPr>
          </w:p>
        </w:tc>
        <w:tc>
          <w:tcPr>
            <w:tcW w:w="736" w:type="dxa"/>
            <w:vMerge w:val="continue"/>
            <w:tcMar>
              <w:left w:w="108" w:type="dxa"/>
              <w:right w:w="108" w:type="dxa"/>
            </w:tcMar>
            <w:vAlign w:val="center"/>
          </w:tcPr>
          <w:p>
            <w:pPr>
              <w:spacing w:line="200" w:lineRule="exact"/>
              <w:rPr>
                <w:rFonts w:ascii="黑体" w:hAnsi="黑体" w:eastAsia="黑体"/>
                <w:sz w:val="16"/>
                <w:szCs w:val="16"/>
              </w:rPr>
            </w:pPr>
          </w:p>
        </w:tc>
        <w:tc>
          <w:tcPr>
            <w:tcW w:w="2531" w:type="dxa"/>
            <w:tcMar>
              <w:left w:w="108" w:type="dxa"/>
              <w:right w:w="108" w:type="dxa"/>
            </w:tcMar>
            <w:vAlign w:val="center"/>
          </w:tcPr>
          <w:p>
            <w:pPr>
              <w:widowControl/>
              <w:spacing w:line="300" w:lineRule="exact"/>
              <w:rPr>
                <w:rFonts w:ascii="仿宋_GB2312" w:hAnsi="黑体" w:eastAsia="仿宋_GB2312"/>
                <w:kern w:val="0"/>
                <w:sz w:val="16"/>
                <w:szCs w:val="16"/>
              </w:rPr>
            </w:pPr>
            <w:r>
              <w:rPr>
                <w:rFonts w:hint="eastAsia" w:ascii="仿宋_GB2312" w:hAnsi="黑体" w:eastAsia="仿宋_GB2312"/>
                <w:kern w:val="0"/>
                <w:sz w:val="16"/>
                <w:szCs w:val="16"/>
              </w:rPr>
              <w:t>5.要求行政机关确认或重新</w:t>
            </w:r>
          </w:p>
          <w:p>
            <w:pPr>
              <w:widowControl/>
              <w:spacing w:line="300" w:lineRule="exact"/>
              <w:ind w:firstLine="160" w:firstLineChars="100"/>
              <w:rPr>
                <w:rFonts w:ascii="仿宋_GB2312" w:hAnsi="黑体" w:eastAsia="仿宋_GB2312"/>
                <w:sz w:val="16"/>
                <w:szCs w:val="16"/>
              </w:rPr>
            </w:pPr>
            <w:r>
              <w:rPr>
                <w:rFonts w:hint="eastAsia" w:ascii="仿宋_GB2312" w:hAnsi="黑体" w:eastAsia="仿宋_GB2312"/>
                <w:kern w:val="0"/>
                <w:sz w:val="16"/>
                <w:szCs w:val="16"/>
              </w:rPr>
              <w:t>出具已获取信息</w:t>
            </w:r>
          </w:p>
        </w:tc>
        <w:tc>
          <w:tcPr>
            <w:tcW w:w="581"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488"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2"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69"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31"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0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3"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95" w:hRule="atLeast"/>
          <w:jc w:val="center"/>
        </w:trPr>
        <w:tc>
          <w:tcPr>
            <w:tcW w:w="381" w:type="dxa"/>
            <w:vMerge w:val="continue"/>
            <w:tcMar>
              <w:left w:w="108" w:type="dxa"/>
              <w:right w:w="108" w:type="dxa"/>
            </w:tcMar>
            <w:vAlign w:val="center"/>
          </w:tcPr>
          <w:p>
            <w:pPr>
              <w:rPr>
                <w:rFonts w:ascii="黑体" w:hAnsi="黑体" w:eastAsia="黑体"/>
                <w:szCs w:val="21"/>
              </w:rPr>
            </w:pPr>
          </w:p>
        </w:tc>
        <w:tc>
          <w:tcPr>
            <w:tcW w:w="736" w:type="dxa"/>
            <w:vMerge w:val="restart"/>
            <w:tcMar>
              <w:left w:w="108" w:type="dxa"/>
              <w:right w:w="108" w:type="dxa"/>
            </w:tcMar>
            <w:vAlign w:val="center"/>
          </w:tcPr>
          <w:p>
            <w:pPr>
              <w:widowControl/>
              <w:spacing w:line="300" w:lineRule="exact"/>
              <w:rPr>
                <w:rFonts w:ascii="黑体" w:hAnsi="黑体" w:eastAsia="黑体"/>
                <w:kern w:val="0"/>
                <w:sz w:val="16"/>
                <w:szCs w:val="16"/>
              </w:rPr>
            </w:pPr>
            <w:r>
              <w:rPr>
                <w:rFonts w:hint="eastAsia" w:ascii="黑体" w:hAnsi="黑体" w:eastAsia="黑体"/>
                <w:kern w:val="0"/>
                <w:sz w:val="16"/>
                <w:szCs w:val="16"/>
              </w:rPr>
              <w:t>（六）其他处理</w:t>
            </w:r>
          </w:p>
        </w:tc>
        <w:tc>
          <w:tcPr>
            <w:tcW w:w="2531" w:type="dxa"/>
            <w:vAlign w:val="center"/>
          </w:tcPr>
          <w:p>
            <w:pPr>
              <w:widowControl/>
              <w:spacing w:line="300" w:lineRule="exact"/>
              <w:rPr>
                <w:rFonts w:ascii="仿宋_GB2312" w:hAnsi="楷体" w:eastAsia="仿宋_GB2312"/>
                <w:sz w:val="16"/>
                <w:szCs w:val="18"/>
              </w:rPr>
            </w:pPr>
            <w:r>
              <w:rPr>
                <w:rFonts w:hint="eastAsia" w:ascii="仿宋_GB2312" w:hAnsi="楷体" w:eastAsia="仿宋_GB2312"/>
                <w:sz w:val="16"/>
                <w:szCs w:val="18"/>
              </w:rPr>
              <w:t>1.申请人无正当理由逾期……</w:t>
            </w:r>
          </w:p>
        </w:tc>
        <w:tc>
          <w:tcPr>
            <w:tcW w:w="581"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488"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2"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69"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31"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0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3"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49" w:hRule="atLeast"/>
          <w:jc w:val="center"/>
        </w:trPr>
        <w:tc>
          <w:tcPr>
            <w:tcW w:w="381" w:type="dxa"/>
            <w:vMerge w:val="continue"/>
            <w:tcMar>
              <w:left w:w="108" w:type="dxa"/>
              <w:right w:w="108" w:type="dxa"/>
            </w:tcMar>
            <w:vAlign w:val="center"/>
          </w:tcPr>
          <w:p>
            <w:pPr>
              <w:rPr>
                <w:rFonts w:ascii="黑体" w:hAnsi="黑体" w:eastAsia="黑体"/>
                <w:szCs w:val="21"/>
              </w:rPr>
            </w:pPr>
          </w:p>
        </w:tc>
        <w:tc>
          <w:tcPr>
            <w:tcW w:w="736" w:type="dxa"/>
            <w:vMerge w:val="continue"/>
            <w:tcMar>
              <w:left w:w="108" w:type="dxa"/>
              <w:right w:w="108" w:type="dxa"/>
            </w:tcMar>
            <w:vAlign w:val="center"/>
          </w:tcPr>
          <w:p>
            <w:pPr>
              <w:widowControl/>
              <w:spacing w:line="300" w:lineRule="exact"/>
              <w:rPr>
                <w:rFonts w:ascii="黑体" w:hAnsi="黑体" w:eastAsia="黑体"/>
                <w:kern w:val="0"/>
                <w:sz w:val="16"/>
                <w:szCs w:val="16"/>
              </w:rPr>
            </w:pPr>
          </w:p>
        </w:tc>
        <w:tc>
          <w:tcPr>
            <w:tcW w:w="2531" w:type="dxa"/>
            <w:vAlign w:val="center"/>
          </w:tcPr>
          <w:p>
            <w:pPr>
              <w:widowControl/>
              <w:spacing w:line="300" w:lineRule="exact"/>
              <w:rPr>
                <w:rFonts w:ascii="仿宋_GB2312" w:hAnsi="黑体" w:eastAsia="仿宋_GB2312"/>
                <w:kern w:val="0"/>
                <w:sz w:val="16"/>
                <w:szCs w:val="16"/>
              </w:rPr>
            </w:pPr>
            <w:r>
              <w:rPr>
                <w:rFonts w:hint="eastAsia" w:ascii="仿宋_GB2312" w:hAnsi="楷体" w:eastAsia="仿宋_GB2312"/>
                <w:sz w:val="16"/>
                <w:szCs w:val="18"/>
              </w:rPr>
              <w:t>2.申请人逾期未按收费通知……</w:t>
            </w:r>
          </w:p>
        </w:tc>
        <w:tc>
          <w:tcPr>
            <w:tcW w:w="581"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488"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2"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69"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31"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0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3"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95" w:hRule="atLeast"/>
          <w:jc w:val="center"/>
        </w:trPr>
        <w:tc>
          <w:tcPr>
            <w:tcW w:w="381" w:type="dxa"/>
            <w:vMerge w:val="continue"/>
            <w:tcMar>
              <w:left w:w="108" w:type="dxa"/>
              <w:right w:w="108" w:type="dxa"/>
            </w:tcMar>
            <w:vAlign w:val="center"/>
          </w:tcPr>
          <w:p>
            <w:pPr>
              <w:rPr>
                <w:rFonts w:ascii="黑体" w:hAnsi="黑体" w:eastAsia="黑体"/>
                <w:szCs w:val="21"/>
              </w:rPr>
            </w:pPr>
          </w:p>
        </w:tc>
        <w:tc>
          <w:tcPr>
            <w:tcW w:w="736" w:type="dxa"/>
            <w:vMerge w:val="continue"/>
            <w:tcMar>
              <w:left w:w="108" w:type="dxa"/>
              <w:right w:w="108" w:type="dxa"/>
            </w:tcMar>
            <w:vAlign w:val="center"/>
          </w:tcPr>
          <w:p>
            <w:pPr>
              <w:widowControl/>
              <w:spacing w:line="300" w:lineRule="exact"/>
              <w:rPr>
                <w:rFonts w:ascii="黑体" w:hAnsi="黑体" w:eastAsia="黑体"/>
                <w:kern w:val="0"/>
                <w:sz w:val="16"/>
                <w:szCs w:val="16"/>
              </w:rPr>
            </w:pPr>
          </w:p>
        </w:tc>
        <w:tc>
          <w:tcPr>
            <w:tcW w:w="2531" w:type="dxa"/>
            <w:vAlign w:val="center"/>
          </w:tcPr>
          <w:p>
            <w:pPr>
              <w:widowControl/>
              <w:spacing w:line="300" w:lineRule="exact"/>
              <w:rPr>
                <w:rFonts w:ascii="仿宋_GB2312" w:hAnsi="黑体" w:eastAsia="仿宋_GB2312"/>
                <w:kern w:val="0"/>
                <w:sz w:val="16"/>
                <w:szCs w:val="16"/>
              </w:rPr>
            </w:pPr>
            <w:r>
              <w:rPr>
                <w:rFonts w:hint="eastAsia" w:ascii="仿宋_GB2312" w:hAnsi="楷体" w:eastAsia="仿宋_GB2312"/>
                <w:sz w:val="16"/>
                <w:szCs w:val="18"/>
              </w:rPr>
              <w:t>3.其他</w:t>
            </w:r>
          </w:p>
        </w:tc>
        <w:tc>
          <w:tcPr>
            <w:tcW w:w="581"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488"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2"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69"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31"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0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3"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95" w:hRule="atLeast"/>
          <w:jc w:val="center"/>
        </w:trPr>
        <w:tc>
          <w:tcPr>
            <w:tcW w:w="381" w:type="dxa"/>
            <w:vMerge w:val="continue"/>
            <w:tcMar>
              <w:left w:w="108" w:type="dxa"/>
              <w:right w:w="108" w:type="dxa"/>
            </w:tcMar>
            <w:vAlign w:val="center"/>
          </w:tcPr>
          <w:p>
            <w:pPr>
              <w:rPr>
                <w:rFonts w:ascii="黑体" w:hAnsi="黑体" w:eastAsia="黑体"/>
                <w:szCs w:val="21"/>
              </w:rPr>
            </w:pPr>
          </w:p>
        </w:tc>
        <w:tc>
          <w:tcPr>
            <w:tcW w:w="3267" w:type="dxa"/>
            <w:gridSpan w:val="2"/>
            <w:tcMar>
              <w:left w:w="108" w:type="dxa"/>
              <w:right w:w="108" w:type="dxa"/>
            </w:tcMar>
            <w:vAlign w:val="center"/>
          </w:tcPr>
          <w:p>
            <w:pPr>
              <w:widowControl/>
              <w:spacing w:line="300" w:lineRule="exact"/>
              <w:rPr>
                <w:rFonts w:ascii="黑体" w:hAnsi="黑体" w:eastAsia="黑体"/>
                <w:kern w:val="0"/>
                <w:sz w:val="16"/>
                <w:szCs w:val="16"/>
              </w:rPr>
            </w:pPr>
            <w:r>
              <w:rPr>
                <w:rFonts w:hint="eastAsia" w:ascii="黑体" w:hAnsi="黑体" w:eastAsia="黑体"/>
                <w:kern w:val="0"/>
                <w:sz w:val="16"/>
                <w:szCs w:val="16"/>
              </w:rPr>
              <w:t>（七）总计</w:t>
            </w:r>
          </w:p>
        </w:tc>
        <w:tc>
          <w:tcPr>
            <w:tcW w:w="581"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1</w:t>
            </w:r>
          </w:p>
        </w:tc>
        <w:tc>
          <w:tcPr>
            <w:tcW w:w="488"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2"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69"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31"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0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3"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ascii="仿宋_GB2312" w:hAnsi="Times New Roman" w:eastAsia="仿宋_GB2312"/>
                <w:szCs w:val="21"/>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4" w:hRule="atLeast"/>
          <w:jc w:val="center"/>
        </w:trPr>
        <w:tc>
          <w:tcPr>
            <w:tcW w:w="3648" w:type="dxa"/>
            <w:gridSpan w:val="3"/>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581"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488"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62"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69"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731"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00"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c>
          <w:tcPr>
            <w:tcW w:w="543" w:type="dxa"/>
            <w:tcMar>
              <w:left w:w="108" w:type="dxa"/>
              <w:right w:w="108" w:type="dxa"/>
            </w:tcMar>
            <w:vAlign w:val="center"/>
          </w:tcPr>
          <w:p>
            <w:pPr>
              <w:widowControl/>
              <w:spacing w:line="240" w:lineRule="exact"/>
              <w:jc w:val="center"/>
              <w:rPr>
                <w:rFonts w:ascii="仿宋_GB2312" w:hAnsi="Times New Roman" w:eastAsia="仿宋_GB2312"/>
                <w:szCs w:val="21"/>
              </w:rPr>
            </w:pPr>
            <w:r>
              <w:rPr>
                <w:rFonts w:hint="eastAsia" w:ascii="仿宋_GB2312" w:hAnsi="Times New Roman" w:eastAsia="仿宋_GB2312"/>
                <w:szCs w:val="21"/>
              </w:rPr>
              <w:t>0</w:t>
            </w:r>
          </w:p>
        </w:tc>
      </w:tr>
    </w:tbl>
    <w:p>
      <w:pPr>
        <w:rPr>
          <w:rFonts w:ascii="黑体" w:hAnsi="黑体" w:eastAsia="黑体" w:cs="黑体"/>
          <w:bCs/>
          <w:color w:val="333333"/>
          <w:kern w:val="0"/>
          <w:sz w:val="32"/>
          <w:szCs w:val="32"/>
          <w:shd w:val="clear" w:color="auto" w:fill="FFFFFF"/>
          <w:lang w:bidi="ar"/>
        </w:rPr>
      </w:pPr>
    </w:p>
    <w:p>
      <w:pPr>
        <w:rPr>
          <w:rFonts w:ascii="黑体" w:hAnsi="黑体" w:eastAsia="黑体" w:cs="黑体"/>
          <w:bCs/>
          <w:color w:val="333333"/>
          <w:kern w:val="0"/>
          <w:sz w:val="32"/>
          <w:szCs w:val="32"/>
          <w:shd w:val="clear" w:color="auto" w:fill="FFFFFF"/>
          <w:lang w:bidi="ar"/>
        </w:rPr>
      </w:pPr>
    </w:p>
    <w:p>
      <w:pPr>
        <w:rPr>
          <w:rFonts w:ascii="仿宋_GB2312" w:eastAsia="仿宋_GB2312"/>
          <w:sz w:val="32"/>
          <w:szCs w:val="32"/>
        </w:rPr>
      </w:pPr>
      <w:r>
        <w:rPr>
          <w:rFonts w:hint="eastAsia" w:ascii="黑体" w:hAnsi="黑体" w:eastAsia="黑体" w:cs="黑体"/>
          <w:bCs/>
          <w:color w:val="333333"/>
          <w:kern w:val="0"/>
          <w:sz w:val="32"/>
          <w:szCs w:val="32"/>
          <w:shd w:val="clear" w:color="auto" w:fill="FFFFFF"/>
          <w:lang w:bidi="ar"/>
        </w:rPr>
        <w:t>四、政府信息公开行政复议、行政诉讼情况</w:t>
      </w:r>
    </w:p>
    <w:tbl>
      <w:tblPr>
        <w:tblStyle w:val="7"/>
        <w:tblpPr w:leftFromText="180" w:rightFromText="180" w:vertAnchor="text" w:horzAnchor="page" w:tblpX="1537" w:tblpY="619"/>
        <w:tblOverlap w:val="never"/>
        <w:tblW w:w="9071"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trPr>
        <w:tc>
          <w:tcPr>
            <w:tcW w:w="3074"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trPr>
        <w:tc>
          <w:tcPr>
            <w:tcW w:w="604"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ind w:left="-149" w:leftChars="-71" w:right="-170" w:rightChars="-81"/>
              <w:jc w:val="center"/>
              <w:rPr>
                <w:rFonts w:ascii="黑体" w:hAnsi="黑体" w:eastAsia="黑体"/>
                <w:kern w:val="0"/>
                <w:sz w:val="20"/>
                <w:szCs w:val="20"/>
              </w:rPr>
            </w:pPr>
            <w:r>
              <w:rPr>
                <w:rFonts w:ascii="黑体" w:hAnsi="黑体" w:eastAsia="黑体"/>
                <w:kern w:val="0"/>
                <w:sz w:val="20"/>
                <w:szCs w:val="20"/>
              </w:rPr>
              <w:t>结果</w:t>
            </w:r>
          </w:p>
          <w:p>
            <w:pPr>
              <w:widowControl/>
              <w:ind w:left="-149" w:leftChars="-71" w:right="-170"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tcMar>
              <w:left w:w="108" w:type="dxa"/>
              <w:right w:w="108" w:type="dxa"/>
            </w:tcMar>
            <w:vAlign w:val="center"/>
          </w:tcPr>
          <w:p>
            <w:pPr>
              <w:widowControl/>
              <w:ind w:left="-43" w:leftChars="-21" w:right="-132"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widowControl/>
              <w:ind w:left="-82" w:leftChars="-39" w:right="-97"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widowControl/>
              <w:ind w:left="-118" w:leftChars="-56" w:right="-118" w:rightChars="-56"/>
              <w:jc w:val="center"/>
              <w:rPr>
                <w:rFonts w:ascii="黑体" w:hAnsi="黑体" w:eastAsia="黑体"/>
                <w:kern w:val="0"/>
                <w:sz w:val="20"/>
                <w:szCs w:val="20"/>
              </w:rPr>
            </w:pPr>
            <w:r>
              <w:rPr>
                <w:rFonts w:ascii="黑体" w:hAnsi="黑体" w:eastAsia="黑体"/>
                <w:kern w:val="0"/>
                <w:sz w:val="20"/>
                <w:szCs w:val="20"/>
              </w:rPr>
              <w:t>尚未</w:t>
            </w:r>
          </w:p>
          <w:p>
            <w:pPr>
              <w:widowControl/>
              <w:ind w:left="-118" w:leftChars="-56" w:right="-118"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黑体" w:hAnsi="黑体" w:eastAsia="黑体"/>
              </w:rPr>
            </w:pPr>
            <w:bookmarkStart w:id="9" w:name="_Hlk67039688"/>
            <w:r>
              <w:rPr>
                <w:rFonts w:ascii="黑体" w:hAnsi="黑体" w:eastAsia="黑体"/>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trPr>
        <w:tc>
          <w:tcPr>
            <w:tcW w:w="604"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黑体" w:hAnsi="黑体" w:eastAsia="黑体"/>
                <w:sz w:val="24"/>
              </w:rPr>
            </w:pPr>
          </w:p>
        </w:tc>
        <w:tc>
          <w:tcPr>
            <w:tcW w:w="604" w:type="dxa"/>
            <w:vMerge w:val="continue"/>
            <w:tcBorders>
              <w:top w:val="nil"/>
              <w:left w:val="nil"/>
              <w:bottom w:val="single" w:color="auto" w:sz="8" w:space="0"/>
              <w:right w:val="single" w:color="auto" w:sz="8" w:space="0"/>
            </w:tcBorders>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rPr>
                <w:rFonts w:ascii="黑体" w:hAnsi="黑体" w:eastAsia="黑体"/>
                <w:sz w:val="24"/>
              </w:rPr>
            </w:pPr>
          </w:p>
        </w:tc>
        <w:tc>
          <w:tcPr>
            <w:tcW w:w="550" w:type="dxa"/>
            <w:tcBorders>
              <w:top w:val="nil"/>
              <w:left w:val="nil"/>
              <w:bottom w:val="single" w:color="auto" w:sz="8" w:space="0"/>
              <w:right w:val="single" w:color="auto" w:sz="8" w:space="0"/>
            </w:tcBorders>
            <w:tcMar>
              <w:left w:w="108" w:type="dxa"/>
              <w:right w:w="108" w:type="dxa"/>
            </w:tcMar>
            <w:vAlign w:val="center"/>
          </w:tcPr>
          <w:p>
            <w:pPr>
              <w:widowControl/>
              <w:ind w:left="-105" w:leftChars="-50" w:right="-126"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ind w:left="-86" w:leftChars="-41" w:right="-88"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ind w:left="-126" w:leftChars="-60" w:right="-136" w:rightChars="-65"/>
              <w:jc w:val="center"/>
              <w:rPr>
                <w:rFonts w:ascii="黑体" w:hAnsi="黑体" w:eastAsia="黑体"/>
                <w:kern w:val="0"/>
                <w:sz w:val="20"/>
                <w:szCs w:val="20"/>
              </w:rPr>
            </w:pPr>
            <w:r>
              <w:rPr>
                <w:rFonts w:ascii="黑体" w:hAnsi="黑体" w:eastAsia="黑体"/>
                <w:kern w:val="0"/>
                <w:sz w:val="20"/>
                <w:szCs w:val="20"/>
              </w:rPr>
              <w:t>其他</w:t>
            </w:r>
          </w:p>
          <w:p>
            <w:pPr>
              <w:widowControl/>
              <w:ind w:left="-126" w:leftChars="-60" w:right="-136"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ind w:left="-164" w:leftChars="-78" w:right="-153" w:rightChars="-73"/>
              <w:jc w:val="center"/>
              <w:rPr>
                <w:rFonts w:ascii="黑体" w:hAnsi="黑体" w:eastAsia="黑体"/>
                <w:kern w:val="0"/>
                <w:sz w:val="20"/>
                <w:szCs w:val="20"/>
              </w:rPr>
            </w:pPr>
            <w:r>
              <w:rPr>
                <w:rFonts w:ascii="黑体" w:hAnsi="黑体" w:eastAsia="黑体"/>
                <w:kern w:val="0"/>
                <w:sz w:val="20"/>
                <w:szCs w:val="20"/>
              </w:rPr>
              <w:t>尚未</w:t>
            </w:r>
          </w:p>
          <w:p>
            <w:pPr>
              <w:widowControl/>
              <w:ind w:left="-164" w:leftChars="-78" w:right="-153"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ind w:left="-99" w:leftChars="-47" w:right="-78"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ind w:left="-136" w:leftChars="-65" w:right="-124" w:rightChars="-59"/>
              <w:jc w:val="center"/>
              <w:rPr>
                <w:rFonts w:ascii="黑体" w:hAnsi="黑体" w:eastAsia="黑体"/>
                <w:kern w:val="0"/>
                <w:sz w:val="20"/>
                <w:szCs w:val="20"/>
              </w:rPr>
            </w:pPr>
            <w:r>
              <w:rPr>
                <w:rFonts w:ascii="黑体" w:hAnsi="黑体" w:eastAsia="黑体"/>
                <w:kern w:val="0"/>
                <w:sz w:val="20"/>
                <w:szCs w:val="20"/>
              </w:rPr>
              <w:t>结果</w:t>
            </w:r>
          </w:p>
          <w:p>
            <w:pPr>
              <w:widowControl/>
              <w:ind w:left="-136" w:leftChars="-65" w:right="-124"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tcMar>
              <w:left w:w="108" w:type="dxa"/>
              <w:right w:w="108" w:type="dxa"/>
            </w:tcMar>
            <w:vAlign w:val="center"/>
          </w:tcPr>
          <w:p>
            <w:pPr>
              <w:widowControl/>
              <w:ind w:left="-173" w:leftChars="-83" w:right="-134"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ind w:left="-173" w:leftChars="-83" w:right="-134"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tcMar>
              <w:left w:w="108" w:type="dxa"/>
              <w:right w:w="108" w:type="dxa"/>
            </w:tcMar>
            <w:vAlign w:val="center"/>
          </w:tcPr>
          <w:p>
            <w:pPr>
              <w:widowControl/>
              <w:ind w:left="-67" w:leftChars="-33" w:right="-105" w:rightChars="-50" w:hanging="2" w:hangingChars="1"/>
              <w:jc w:val="center"/>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04"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c>
          <w:tcPr>
            <w:tcW w:w="60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c>
          <w:tcPr>
            <w:tcW w:w="60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c>
          <w:tcPr>
            <w:tcW w:w="604"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c>
          <w:tcPr>
            <w:tcW w:w="658"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c>
          <w:tcPr>
            <w:tcW w:w="550"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rPr>
                <w:rFonts w:ascii="Times New Roman" w:hAnsi="Times New Roman"/>
              </w:rPr>
            </w:pPr>
            <w:r>
              <w:rPr>
                <w:rFonts w:hint="eastAsia" w:ascii="Times New Roman" w:hAnsi="Times New Roman"/>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c>
          <w:tcPr>
            <w:tcW w:w="605"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c>
          <w:tcPr>
            <w:tcW w:w="606"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c>
          <w:tcPr>
            <w:tcW w:w="606" w:type="dxa"/>
            <w:tcBorders>
              <w:top w:val="nil"/>
              <w:left w:val="nil"/>
              <w:bottom w:val="single" w:color="auto" w:sz="8" w:space="0"/>
              <w:right w:val="single" w:color="auto" w:sz="8" w:space="0"/>
            </w:tcBorders>
            <w:tcMar>
              <w:left w:w="108" w:type="dxa"/>
              <w:right w:w="108" w:type="dxa"/>
            </w:tcMar>
            <w:vAlign w:val="center"/>
          </w:tcPr>
          <w:p>
            <w:pPr>
              <w:widowControl/>
              <w:spacing w:after="180"/>
              <w:jc w:val="center"/>
              <w:rPr>
                <w:rFonts w:ascii="Times New Roman" w:hAnsi="Times New Roman"/>
              </w:rPr>
            </w:pPr>
            <w:r>
              <w:rPr>
                <w:rFonts w:hint="eastAsia" w:ascii="Times New Roman" w:hAnsi="Times New Roman"/>
              </w:rPr>
              <w:t>0</w:t>
            </w:r>
          </w:p>
        </w:tc>
      </w:tr>
    </w:tbl>
    <w:p>
      <w:pPr>
        <w:pStyle w:val="6"/>
        <w:widowControl/>
        <w:shd w:val="clear" w:color="auto" w:fill="FFFFFF"/>
        <w:spacing w:before="0" w:beforeAutospacing="0" w:after="0" w:afterAutospacing="0"/>
        <w:ind w:firstLine="420"/>
        <w:jc w:val="both"/>
        <w:rPr>
          <w:rFonts w:ascii="黑体" w:hAnsi="黑体" w:eastAsia="黑体" w:cs="黑体"/>
          <w:bCs/>
          <w:color w:val="333333"/>
          <w:sz w:val="32"/>
          <w:szCs w:val="32"/>
          <w:shd w:val="clear" w:color="auto" w:fill="FFFFFF"/>
          <w:lang w:bidi="ar"/>
        </w:rPr>
      </w:pPr>
      <w:r>
        <w:rPr>
          <w:rFonts w:hint="eastAsia" w:ascii="黑体" w:hAnsi="黑体" w:eastAsia="黑体" w:cs="黑体"/>
          <w:bCs/>
          <w:color w:val="333333"/>
          <w:sz w:val="32"/>
          <w:szCs w:val="32"/>
          <w:shd w:val="clear" w:color="auto" w:fill="FFFFFF"/>
          <w:lang w:bidi="ar"/>
        </w:rPr>
        <w:t>五、存在的主要问题及改进情况</w:t>
      </w:r>
    </w:p>
    <w:p>
      <w:pPr>
        <w:pStyle w:val="6"/>
        <w:widowControl/>
        <w:shd w:val="clear" w:color="auto" w:fill="FFFFFF"/>
        <w:spacing w:before="0" w:beforeAutospacing="0" w:after="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一）存在的主要问题。一是政府信息公开的广度和深度不够，少数部门对政务公开工作的重要性认识不到位，主动性不强，导致部分可公开信息未主动公开；二是依申请公开政府信息的社会知晓度还不高，宣传手段还不够丰富。</w:t>
      </w:r>
    </w:p>
    <w:p>
      <w:pPr>
        <w:pStyle w:val="6"/>
        <w:widowControl/>
        <w:shd w:val="clear" w:color="auto" w:fill="FFFFFF"/>
        <w:spacing w:before="0" w:beforeAutospacing="0" w:after="0" w:afterAutospacing="0" w:line="56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改进措施。一是加强对《中华人民共和国政府信息公开条例》的学习和贯彻力度，积极组织工作人员参加信息公开业务培训，主动加强沟通学习，进一步提高信息公开业务操作水平，明确信息公开有关内容。二是加大对政务公开督促检查力度，实行有效监督，严格责任追究，确保政务公开真实、全面、及时，全面提高政务公开工作的质量。三是扩大公开范围。围绕群众关心、涉及群众切身利益的事项，主动提供多种形式的服务，扩大公开内容和范围，提升信息服务质量。</w:t>
      </w:r>
    </w:p>
    <w:p>
      <w:pPr>
        <w:pStyle w:val="6"/>
        <w:widowControl/>
        <w:shd w:val="clear" w:color="auto" w:fill="FFFFFF"/>
        <w:spacing w:before="0" w:beforeAutospacing="0" w:after="0" w:afterAutospacing="0"/>
        <w:ind w:firstLine="420"/>
        <w:jc w:val="both"/>
        <w:rPr>
          <w:rFonts w:ascii="仿宋_GB2312" w:hAnsi="仿宋_GB2312" w:eastAsia="仿宋_GB2312" w:cs="仿宋_GB2312"/>
          <w:color w:val="FF0000"/>
          <w:kern w:val="2"/>
          <w:sz w:val="32"/>
          <w:szCs w:val="32"/>
        </w:rPr>
      </w:pPr>
      <w:r>
        <w:rPr>
          <w:rFonts w:hint="eastAsia" w:ascii="黑体" w:hAnsi="黑体" w:eastAsia="黑体" w:cs="黑体"/>
          <w:bCs/>
          <w:color w:val="333333"/>
          <w:sz w:val="32"/>
          <w:szCs w:val="32"/>
          <w:shd w:val="clear" w:color="auto" w:fill="FFFFFF"/>
          <w:lang w:bidi="ar"/>
        </w:rPr>
        <w:t>六、其他需要报告的事项</w:t>
      </w:r>
    </w:p>
    <w:p>
      <w:pPr>
        <w:widowControl/>
        <w:shd w:val="clear" w:color="auto" w:fill="FFFFFF"/>
        <w:spacing w:line="560" w:lineRule="exact"/>
        <w:ind w:firstLine="64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32"/>
          <w:szCs w:val="32"/>
          <w:shd w:val="clear" w:color="auto" w:fill="FFFFFF"/>
        </w:rPr>
        <w:t>1、</w:t>
      </w:r>
      <w:r>
        <w:rPr>
          <w:rFonts w:hint="eastAsia" w:ascii="仿宋_GB2312" w:hAnsi="仿宋_GB2312" w:eastAsia="仿宋_GB2312" w:cs="仿宋_GB2312"/>
          <w:kern w:val="0"/>
          <w:sz w:val="32"/>
          <w:szCs w:val="32"/>
        </w:rPr>
        <w:t>收取信息处理费情况。</w:t>
      </w:r>
      <w:r>
        <w:rPr>
          <w:rFonts w:hint="eastAsia" w:ascii="仿宋_GB2312" w:hAnsi="仿宋_GB2312" w:eastAsia="仿宋_GB2312" w:cs="仿宋_GB2312"/>
          <w:kern w:val="0"/>
          <w:sz w:val="32"/>
          <w:szCs w:val="32"/>
          <w:shd w:val="clear" w:color="auto" w:fill="FFFFFF"/>
        </w:rPr>
        <w:t>按照《国务院办公厅关于印发&lt;政府信息公开信息处理费管理办法&gt;的通知》（国办函〔2020〕109号）和《山东省人民政府办公厅关于做好政府信息公开信息处理费管理工作有关事项的通知》（鲁政办字〔2020〕179号）收取信息处理费。2023年，本机关依申请公开政府信息未收取任何费用。</w:t>
      </w:r>
    </w:p>
    <w:p>
      <w:pPr>
        <w:widowControl/>
        <w:shd w:val="clear" w:color="auto" w:fill="FFFFFF"/>
        <w:spacing w:line="560" w:lineRule="exact"/>
        <w:ind w:firstLine="64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32"/>
          <w:szCs w:val="32"/>
        </w:rPr>
        <w:t>2、落实上级年度政务公开工作要点情况。2023年，淄川经济开发区严格按照上级部署、要求，制定并公开了《淄川经济开发区政务公开工作任务台账》，重点围绕社会关切和群众关心开展政务公开工作，更好地发挥以公开促落实、促规范、促服务作用。</w:t>
      </w:r>
    </w:p>
    <w:p>
      <w:pPr>
        <w:widowControl/>
        <w:shd w:val="clear" w:color="auto" w:fill="FFFFFF"/>
        <w:spacing w:line="560" w:lineRule="exact"/>
        <w:ind w:firstLine="6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3、人大代表建议和政协委员提案办理结果公开情况。2023年开发区管委未收到建议、提案。2023年未有上级建议提案办理任务。</w:t>
      </w:r>
    </w:p>
    <w:p>
      <w:pPr>
        <w:widowControl/>
        <w:shd w:val="clear" w:color="auto" w:fill="FFFFFF"/>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rPr>
        <w:t>4、</w:t>
      </w:r>
      <w:r>
        <w:rPr>
          <w:rFonts w:hint="eastAsia" w:ascii="仿宋_GB2312" w:hAnsi="仿宋_GB2312" w:eastAsia="仿宋_GB2312" w:cs="仿宋_GB2312"/>
          <w:kern w:val="0"/>
          <w:sz w:val="32"/>
          <w:szCs w:val="32"/>
        </w:rPr>
        <w:t>政务公开工作创新情况。</w:t>
      </w:r>
      <w:r>
        <w:rPr>
          <w:rFonts w:hint="eastAsia" w:ascii="仿宋_GB2312" w:hAnsi="仿宋_GB2312" w:eastAsia="仿宋_GB2312" w:cs="仿宋_GB2312"/>
          <w:kern w:val="0"/>
          <w:sz w:val="32"/>
          <w:szCs w:val="32"/>
          <w:shd w:val="clear" w:color="auto" w:fill="FFFFFF"/>
        </w:rPr>
        <w:t>无。</w:t>
      </w:r>
    </w:p>
    <w:p>
      <w:pPr>
        <w:widowControl/>
        <w:shd w:val="clear" w:color="auto" w:fill="FFFFFF"/>
        <w:spacing w:line="560" w:lineRule="exact"/>
        <w:ind w:firstLine="640"/>
        <w:jc w:val="left"/>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sz w:val="32"/>
        </w:rPr>
        <w:t>5、</w:t>
      </w:r>
      <w:r>
        <w:rPr>
          <w:rFonts w:hint="eastAsia" w:ascii="仿宋_GB2312" w:hAnsi="仿宋_GB2312" w:eastAsia="仿宋_GB2312" w:cs="仿宋_GB2312"/>
          <w:kern w:val="0"/>
          <w:sz w:val="32"/>
          <w:szCs w:val="32"/>
        </w:rPr>
        <w:t>政府信息公开工作年度报告数据统计需要。</w:t>
      </w:r>
      <w:r>
        <w:rPr>
          <w:rFonts w:hint="eastAsia" w:ascii="仿宋_GB2312" w:hAnsi="仿宋_GB2312" w:eastAsia="仿宋_GB2312" w:cs="仿宋_GB2312"/>
          <w:kern w:val="0"/>
          <w:sz w:val="32"/>
          <w:szCs w:val="32"/>
          <w:shd w:val="clear" w:color="auto" w:fill="FFFFFF"/>
        </w:rPr>
        <w:t>无。</w:t>
      </w:r>
    </w:p>
    <w:p>
      <w:pPr>
        <w:widowControl/>
        <w:shd w:val="clear" w:color="auto" w:fill="FFFFFF"/>
        <w:spacing w:line="560" w:lineRule="exact"/>
        <w:ind w:firstLine="640"/>
        <w:jc w:val="left"/>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rPr>
        <w:t>6、本行政机关认为需要报告的其他事项。</w:t>
      </w:r>
      <w:r>
        <w:rPr>
          <w:rFonts w:hint="eastAsia" w:ascii="仿宋_GB2312" w:hAnsi="仿宋_GB2312" w:eastAsia="仿宋_GB2312" w:cs="仿宋_GB2312"/>
          <w:kern w:val="0"/>
          <w:sz w:val="32"/>
          <w:szCs w:val="32"/>
          <w:shd w:val="clear" w:color="auto" w:fill="FFFFFF"/>
        </w:rPr>
        <w:t>无。</w:t>
      </w:r>
    </w:p>
    <w:p>
      <w:pPr>
        <w:widowControl/>
        <w:shd w:val="clear" w:color="auto" w:fill="FFFFFF"/>
        <w:spacing w:line="560" w:lineRule="exact"/>
        <w:ind w:firstLine="640"/>
        <w:jc w:val="left"/>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rPr>
        <w:t>7、其他有关文件专门要求通过政府信息公开工作年度报告予以报告的事项。</w:t>
      </w:r>
      <w:r>
        <w:rPr>
          <w:rFonts w:hint="eastAsia" w:ascii="仿宋_GB2312" w:hAnsi="仿宋_GB2312" w:eastAsia="仿宋_GB2312" w:cs="仿宋_GB2312"/>
          <w:kern w:val="0"/>
          <w:sz w:val="32"/>
          <w:szCs w:val="32"/>
          <w:shd w:val="clear" w:color="auto" w:fill="FFFFFF"/>
        </w:rPr>
        <w:t>无。</w:t>
      </w:r>
    </w:p>
    <w:p>
      <w:pPr>
        <w:ind w:firstLine="640" w:firstLineChars="200"/>
        <w:rPr>
          <w:rFonts w:hint="eastAsia" w:ascii="仿宋_GB2312" w:hAnsi="仿宋_GB2312" w:eastAsia="仿宋_GB2312" w:cs="仿宋_GB2312"/>
          <w:sz w:val="32"/>
          <w:szCs w:val="32"/>
        </w:rPr>
      </w:pPr>
      <w:bookmarkStart w:id="10" w:name="_GoBack"/>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5YTM3NmI4MWRkYmQwMWNmYzJkNTc4NmU1ZWM3MTEifQ=="/>
  </w:docVars>
  <w:rsids>
    <w:rsidRoot w:val="6B441348"/>
    <w:rsid w:val="00417280"/>
    <w:rsid w:val="00421519"/>
    <w:rsid w:val="00427EBA"/>
    <w:rsid w:val="11A74530"/>
    <w:rsid w:val="503B3E1B"/>
    <w:rsid w:val="6B4413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3">
    <w:name w:val="heading 3"/>
    <w:basedOn w:val="1"/>
    <w:next w:val="1"/>
    <w:unhideWhenUsed/>
    <w:qFormat/>
    <w:uiPriority w:val="0"/>
    <w:pPr>
      <w:spacing w:before="100" w:beforeAutospacing="1" w:after="100" w:afterAutospacing="1"/>
      <w:jc w:val="left"/>
      <w:outlineLvl w:val="2"/>
    </w:pPr>
    <w:rPr>
      <w:rFonts w:hint="eastAsia" w:ascii="宋体" w:hAnsi="宋体"/>
      <w:b/>
      <w:kern w:val="0"/>
      <w:sz w:val="27"/>
      <w:szCs w:val="27"/>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footer"/>
    <w:basedOn w:val="1"/>
    <w:link w:val="10"/>
    <w:uiPriority w:val="0"/>
    <w:pPr>
      <w:tabs>
        <w:tab w:val="center" w:pos="4153"/>
        <w:tab w:val="right" w:pos="8306"/>
      </w:tabs>
      <w:snapToGrid w:val="0"/>
      <w:jc w:val="left"/>
    </w:pPr>
    <w:rPr>
      <w:sz w:val="18"/>
      <w:szCs w:val="18"/>
    </w:rPr>
  </w:style>
  <w:style w:type="paragraph" w:styleId="5">
    <w:name w:val="header"/>
    <w:basedOn w:val="1"/>
    <w:link w:val="9"/>
    <w:uiPriority w:val="0"/>
    <w:pP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kern w:val="0"/>
      <w:sz w:val="24"/>
    </w:rPr>
  </w:style>
  <w:style w:type="character" w:customStyle="1" w:styleId="9">
    <w:name w:val="页眉 字符"/>
    <w:basedOn w:val="8"/>
    <w:link w:val="5"/>
    <w:uiPriority w:val="0"/>
    <w:rPr>
      <w:rFonts w:ascii="Calibri" w:hAnsi="Calibri"/>
      <w:kern w:val="2"/>
      <w:sz w:val="18"/>
      <w:szCs w:val="18"/>
    </w:rPr>
  </w:style>
  <w:style w:type="character" w:customStyle="1" w:styleId="10">
    <w:name w:val="页脚 字符"/>
    <w:basedOn w:val="8"/>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457</Words>
  <Characters>2609</Characters>
  <Lines>21</Lines>
  <Paragraphs>6</Paragraphs>
  <TotalTime>14</TotalTime>
  <ScaleCrop>false</ScaleCrop>
  <LinksUpToDate>false</LinksUpToDate>
  <CharactersWithSpaces>3060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2024-01-19T07:10:00Z</dcterms:created>
  <dc:creator>ZJ</dc:creator>
  <cp:lastModifiedBy>银杏果</cp:lastModifiedBy>
  <dcterms:modified xsi:type="dcterms:W3CDTF">2024-01-30T02:14:29Z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3D059C571F1E4E6186353671E164F011_11</vt:lpwstr>
  </property>
</Properties>
</file>