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8"/>
        <w:gridCol w:w="1731"/>
        <w:gridCol w:w="168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8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val="en-US" w:eastAsia="zh-CN" w:bidi="ar"/>
              </w:rPr>
              <w:t>2021年将军路街道办事处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val="en-US" w:eastAsia="zh-CN" w:bidi="ar"/>
              </w:rPr>
              <w:t>一般公共预算收入草案表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8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       目</w:t>
            </w:r>
          </w:p>
        </w:tc>
        <w:tc>
          <w:tcPr>
            <w:tcW w:w="17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2020年执行数</w:t>
            </w:r>
          </w:p>
        </w:tc>
        <w:tc>
          <w:tcPr>
            <w:tcW w:w="36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一、税收收入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10807 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11974 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10.80 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增值税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6092 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6802 </w:t>
            </w:r>
            <w:bookmarkStart w:id="0" w:name="_GoBack"/>
            <w:bookmarkEnd w:id="0"/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11.65 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企业所得税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1234 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1357 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9.97 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个人所得税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8.80 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资源税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城市维护建设税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792 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877 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10.73 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房产税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9.70 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印花税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435 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10.13 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城镇土地使用税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899 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988 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9.90 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土地增值税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608 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653 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7.40 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车船税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耕地占用税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契税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其他税收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9.80 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二、非税收入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专项收入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行政事业性收费收入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罚没收入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国有资本经营收入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国有资源(资产)有偿使用收入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其他收入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本年收入合计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10807 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11974 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10.80 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转移性收入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1406 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1523 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地方政府新增一般债券收入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税收返还性收入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上级一般性转移支付收入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上级专项转移支付收入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1096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1183 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调入资金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上年结转及结余收入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收入总计</w:t>
            </w:r>
          </w:p>
        </w:tc>
        <w:tc>
          <w:tcPr>
            <w:tcW w:w="1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12213 </w:t>
            </w:r>
          </w:p>
        </w:tc>
        <w:tc>
          <w:tcPr>
            <w:tcW w:w="1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13497 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10.80 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5A0C"/>
    <w:rsid w:val="668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2021-12-22T12:48:00Z</dcterms:created>
  <dc:creator>Administrator</dc:creator>
  <cp:lastModifiedBy>Administrator</cp:lastModifiedBy>
  <dcterms:modified xsi:type="dcterms:W3CDTF">2021-12-22T12:51:05Z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