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0" w:beforeAutospacing="0" w:after="0" w:afterAutospacing="0" w:line="560" w:lineRule="exact"/>
        <w:jc w:val="center"/>
        <w:rPr>
          <w:rFonts w:ascii="Times New Roman" w:hAnsi="Times New Roman" w:eastAsia="方正小标宋简体"/>
          <w:bCs/>
          <w:color w:val="333333"/>
          <w:spacing w:val="-17"/>
          <w:sz w:val="44"/>
          <w:szCs w:val="44"/>
          <w:shd w:val="clear" w:color="auto" w:fill="FFFFFF"/>
        </w:rPr>
      </w:pPr>
      <w:bookmarkStart w:id="10" w:name="_GoBack"/>
      <w:r>
        <w:rPr>
          <w:rFonts w:hint="eastAsia" w:ascii="Times New Roman" w:hAnsi="Times New Roman" w:eastAsia="方正小标宋简体"/>
          <w:bCs/>
          <w:color w:val="333333"/>
          <w:spacing w:val="-17"/>
          <w:sz w:val="44"/>
          <w:szCs w:val="44"/>
          <w:shd w:val="clear" w:color="auto" w:fill="FFFFFF"/>
        </w:rPr>
        <w:t>淄博市淄川区将军路街道办事处</w:t>
      </w:r>
    </w:p>
    <w:p>
      <w:pPr>
        <w:pStyle w:val="4"/>
        <w:widowControl/>
        <w:shd w:val="clear" w:color="auto" w:fill="FFFFFF"/>
        <w:spacing w:before="0" w:beforeAutospacing="0" w:after="0" w:afterAutospacing="0" w:line="560" w:lineRule="exact"/>
        <w:jc w:val="center"/>
        <w:rPr>
          <w:rFonts w:ascii="Times New Roman" w:hAnsi="Times New Roman" w:eastAsia="方正小标宋简体"/>
          <w:bCs/>
          <w:color w:val="333333"/>
          <w:sz w:val="44"/>
          <w:szCs w:val="44"/>
          <w:shd w:val="clear" w:color="auto" w:fill="FFFFFF"/>
        </w:rPr>
      </w:pPr>
      <w:r>
        <w:rPr>
          <w:rFonts w:hint="eastAsia" w:ascii="Times New Roman" w:hAnsi="Times New Roman" w:eastAsia="方正小标宋简体"/>
          <w:bCs/>
          <w:color w:val="333333"/>
          <w:spacing w:val="-17"/>
          <w:sz w:val="44"/>
          <w:szCs w:val="44"/>
          <w:shd w:val="clear" w:color="auto" w:fill="FFFFFF"/>
        </w:rPr>
        <w:t>2023年政府信息公开工作年度报告</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sz w:val="32"/>
          <w:szCs w:val="32"/>
        </w:rPr>
      </w:pP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sz w:val="32"/>
          <w:szCs w:val="32"/>
          <w:u w:val="none"/>
        </w:rPr>
      </w:pPr>
      <w:r>
        <w:rPr>
          <w:rFonts w:ascii="Times New Roman" w:hAnsi="Times New Roman" w:eastAsia="仿宋_GB2312"/>
          <w:color w:val="000000"/>
          <w:sz w:val="32"/>
          <w:szCs w:val="32"/>
        </w:rPr>
        <w:t>本年度报告中所列数据的统计期限自2023年1月1日起，至2023年12月31日止。如对报告内容有疑问，请与</w:t>
      </w:r>
      <w:r>
        <w:rPr>
          <w:rFonts w:hint="eastAsia" w:ascii="Times New Roman" w:hAnsi="Times New Roman" w:eastAsia="仿宋_GB2312"/>
          <w:color w:val="000000"/>
          <w:sz w:val="32"/>
          <w:szCs w:val="32"/>
        </w:rPr>
        <w:t>淄川区将军路街道办事处</w:t>
      </w:r>
      <w:r>
        <w:rPr>
          <w:rFonts w:ascii="Times New Roman" w:hAnsi="Times New Roman" w:eastAsia="仿宋_GB2312"/>
          <w:color w:val="000000"/>
          <w:sz w:val="32"/>
          <w:szCs w:val="32"/>
        </w:rPr>
        <w:t>联系（地址：</w:t>
      </w:r>
      <w:r>
        <w:rPr>
          <w:rFonts w:hint="eastAsia" w:ascii="Times New Roman" w:hAnsi="Times New Roman" w:eastAsia="仿宋_GB2312"/>
          <w:color w:val="000000"/>
          <w:sz w:val="32"/>
          <w:szCs w:val="32"/>
        </w:rPr>
        <w:t>山东省淄博市淄川区将军东路36号</w:t>
      </w:r>
      <w:r>
        <w:rPr>
          <w:rFonts w:ascii="Times New Roman" w:hAnsi="Times New Roman" w:eastAsia="仿宋_GB2312"/>
          <w:color w:val="000000"/>
          <w:sz w:val="32"/>
          <w:szCs w:val="32"/>
        </w:rPr>
        <w:t>；邮编：</w:t>
      </w:r>
      <w:r>
        <w:rPr>
          <w:rFonts w:hint="eastAsia" w:ascii="Times New Roman" w:hAnsi="Times New Roman" w:eastAsia="仿宋_GB2312"/>
          <w:color w:val="000000"/>
          <w:sz w:val="32"/>
          <w:szCs w:val="32"/>
        </w:rPr>
        <w:t>255100</w:t>
      </w:r>
      <w:r>
        <w:rPr>
          <w:rFonts w:ascii="Times New Roman" w:hAnsi="Times New Roman" w:eastAsia="仿宋_GB2312"/>
          <w:color w:val="000000"/>
          <w:sz w:val="32"/>
          <w:szCs w:val="32"/>
        </w:rPr>
        <w:t>；电话：0533-</w:t>
      </w:r>
      <w:r>
        <w:rPr>
          <w:rFonts w:hint="eastAsia" w:ascii="Times New Roman" w:hAnsi="Times New Roman" w:eastAsia="仿宋_GB2312"/>
          <w:color w:val="000000"/>
          <w:sz w:val="32"/>
          <w:szCs w:val="32"/>
        </w:rPr>
        <w:t>5750006</w:t>
      </w:r>
      <w:r>
        <w:rPr>
          <w:rFonts w:ascii="Times New Roman" w:hAnsi="Times New Roman" w:eastAsia="仿宋_GB2312"/>
          <w:color w:val="000000"/>
          <w:sz w:val="32"/>
          <w:szCs w:val="32"/>
        </w:rPr>
        <w:t>；电子邮箱：</w:t>
      </w:r>
      <w:r>
        <w:rPr>
          <w:rFonts w:ascii="Times New Roman" w:hAnsi="Times New Roman" w:eastAsia="仿宋_GB2312"/>
          <w:color w:val="000000"/>
          <w:sz w:val="32"/>
          <w:szCs w:val="32"/>
          <w:u w:val="none"/>
        </w:rPr>
        <w:t>jiangjunlujiedao@zb.shandong.cn</w:t>
      </w:r>
      <w:r>
        <w:rPr>
          <w:rFonts w:hint="eastAsia" w:ascii="Times New Roman" w:hAnsi="Times New Roman" w:eastAsia="仿宋_GB2312"/>
          <w:color w:val="000000"/>
          <w:sz w:val="32"/>
          <w:szCs w:val="32"/>
          <w:u w:val="none"/>
        </w:rPr>
        <w:t>）。</w:t>
      </w:r>
    </w:p>
    <w:p>
      <w:pPr>
        <w:pStyle w:val="4"/>
        <w:widowControl/>
        <w:shd w:val="clear" w:color="auto" w:fill="FFFFFF"/>
        <w:spacing w:before="0" w:beforeAutospacing="0" w:after="0" w:afterAutospacing="0"/>
        <w:ind w:firstLine="420"/>
        <w:jc w:val="both"/>
        <w:rPr>
          <w:rFonts w:ascii="黑体" w:hAnsi="黑体" w:eastAsia="黑体" w:cs="黑体"/>
          <w:color w:val="333333"/>
          <w:sz w:val="32"/>
          <w:szCs w:val="32"/>
        </w:rPr>
      </w:pPr>
      <w:r>
        <w:rPr>
          <w:rFonts w:hint="eastAsia" w:ascii="黑体" w:hAnsi="黑体" w:eastAsia="黑体" w:cs="黑体"/>
          <w:b/>
          <w:color w:val="333333"/>
          <w:sz w:val="32"/>
          <w:szCs w:val="32"/>
          <w:shd w:val="clear" w:color="auto" w:fill="FFFFFF"/>
        </w:rPr>
        <w:t>一、总体情况</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2023年</w:t>
      </w:r>
      <w:r>
        <w:rPr>
          <w:rFonts w:hint="eastAsia" w:ascii="Times New Roman" w:hAnsi="Times New Roman" w:eastAsia="仿宋_GB2312"/>
          <w:color w:val="000000"/>
          <w:sz w:val="32"/>
          <w:szCs w:val="32"/>
        </w:rPr>
        <w:t>将军路街道办事处</w:t>
      </w:r>
      <w:r>
        <w:rPr>
          <w:rFonts w:ascii="Times New Roman" w:hAnsi="Times New Roman" w:eastAsia="仿宋_GB2312"/>
          <w:color w:val="000000"/>
          <w:sz w:val="32"/>
          <w:szCs w:val="32"/>
        </w:rPr>
        <w:t>全面贯彻落实党的二十大精神，坚持围绕中心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深入落实区委、区政府关于信息公开工作的各项决策部署，认真做好政府信息主动公开和依申请公开工作，完善制度规范，全面推进决策、执行、管理、服务、结果公开，创新公开方式，增强公开实效，信息公开工作取得了良好成效。</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1.主动公开方面</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2023年，</w:t>
      </w:r>
      <w:r>
        <w:rPr>
          <w:rFonts w:hint="eastAsia" w:ascii="Times New Roman" w:hAnsi="Times New Roman" w:eastAsia="仿宋_GB2312"/>
          <w:color w:val="000000"/>
          <w:sz w:val="32"/>
          <w:szCs w:val="32"/>
        </w:rPr>
        <w:t>将军路街道办事处高度重视政务公开标准化规范化工作，为保证工作顺利开展，由主要领导牵头，明确分管负责人调度，具办人员落实，确保全面推进基层政务决策公开、执行公开、管理公开、服务公开、结果公开，推动基层政务公开全覆盖，切实保障人民群众的知情权、参与权、表达权、监督权。</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年主动公开信息数</w:t>
      </w:r>
      <w:r>
        <w:rPr>
          <w:rFonts w:hint="eastAsia" w:ascii="Times New Roman" w:hAnsi="Times New Roman" w:eastAsia="仿宋_GB2312"/>
          <w:color w:val="000000"/>
          <w:sz w:val="32"/>
          <w:szCs w:val="32"/>
        </w:rPr>
        <w:t>45</w:t>
      </w:r>
      <w:r>
        <w:rPr>
          <w:rFonts w:ascii="Times New Roman" w:hAnsi="Times New Roman" w:eastAsia="仿宋_GB2312"/>
          <w:color w:val="000000"/>
          <w:sz w:val="32"/>
          <w:szCs w:val="32"/>
        </w:rPr>
        <w:t>条。</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2.依申请公开工作方面。</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2023年，收到政府信息公开申请</w:t>
      </w:r>
      <w:r>
        <w:rPr>
          <w:rFonts w:hint="eastAsia" w:ascii="Times New Roman" w:hAnsi="Times New Roman" w:eastAsia="仿宋_GB2312"/>
          <w:color w:val="000000" w:themeColor="text1"/>
          <w:sz w:val="32"/>
          <w:szCs w:val="32"/>
          <w14:textFill>
            <w14:solidFill>
              <w14:schemeClr w14:val="tx1"/>
            </w14:solidFill>
          </w14:textFill>
        </w:rPr>
        <w:t>12</w:t>
      </w:r>
      <w:r>
        <w:rPr>
          <w:rFonts w:ascii="Times New Roman" w:hAnsi="Times New Roman" w:eastAsia="仿宋_GB2312"/>
          <w:color w:val="000000" w:themeColor="text1"/>
          <w:sz w:val="32"/>
          <w:szCs w:val="32"/>
          <w14:textFill>
            <w14:solidFill>
              <w14:schemeClr w14:val="tx1"/>
            </w14:solidFill>
          </w14:textFill>
        </w:rPr>
        <w:t>件，全部依法依规予以办理。未发生因政府信息公开工作被申请行政复议、提起行政诉讼情况。</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3.政府信息管理方面</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按照政务公开工作的原则和要求，我们不断规范政务公开的内容。坚持公开为常态，不公开为例外，全面推进政务公开。一是公开政府各项活动。包括各类政策性文件通知、各项政府决策等。二是公开各项重点民生项目。三是公开群众普遍关心、涉及切身利益的热点问题、焦点问题及其他问题。</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4.平台建设方面</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加强政务新媒体管理，强化“实干将军路”微信公众号建设管理，2023年“实干将军路”公众号发布信息698条。推动政务新媒体与门户网站协同联动、融合发展。通过政府信息公开平台，尽最大限度地把各方面的政策、法规、新闻动态及时通过平台对外公布。</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5.监督保障方面</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明确政府信息公开工作分管领导和工作机构，落实分工，细化责任，强化工作人员信息公开意识，严格按照政府信息公开发布制度和流程，保障政府信息公开工作的顺利推进。</w:t>
      </w:r>
    </w:p>
    <w:p>
      <w:pPr>
        <w:pStyle w:val="4"/>
        <w:widowControl/>
        <w:shd w:val="clear" w:color="auto" w:fill="FFFFFF"/>
        <w:spacing w:before="0" w:beforeAutospacing="0" w:after="0" w:afterAutospacing="0"/>
        <w:ind w:firstLine="420"/>
        <w:jc w:val="both"/>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二、主动公开政府信息情况</w:t>
      </w:r>
    </w:p>
    <w:tbl>
      <w:tblPr>
        <w:tblStyle w:val="5"/>
        <w:tblW w:w="7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875"/>
        <w:gridCol w:w="187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500" w:type="dxa"/>
            <w:gridSpan w:val="4"/>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本年制发件数</w:t>
            </w:r>
          </w:p>
        </w:tc>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本年废止件数</w:t>
            </w:r>
          </w:p>
        </w:tc>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规章</w:t>
            </w:r>
          </w:p>
        </w:tc>
        <w:tc>
          <w:tcPr>
            <w:tcW w:w="1875"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1875"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1875" w:type="dxa"/>
            <w:vAlign w:val="center"/>
          </w:tcPr>
          <w:p>
            <w:pPr>
              <w:widowControl/>
              <w:jc w:val="center"/>
              <w:rPr>
                <w:rFonts w:ascii="仿宋_GB2312"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875" w:type="dxa"/>
            <w:vAlign w:val="center"/>
          </w:tcPr>
          <w:p>
            <w:pPr>
              <w:widowControl/>
              <w:jc w:val="left"/>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行政规范性文件</w:t>
            </w:r>
          </w:p>
        </w:tc>
        <w:tc>
          <w:tcPr>
            <w:tcW w:w="1875"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1875"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1875"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500" w:type="dxa"/>
            <w:gridSpan w:val="4"/>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75"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行政许可</w:t>
            </w:r>
          </w:p>
        </w:tc>
        <w:tc>
          <w:tcPr>
            <w:tcW w:w="5625" w:type="dxa"/>
            <w:gridSpan w:val="3"/>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500" w:type="dxa"/>
            <w:gridSpan w:val="4"/>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行政处罚</w:t>
            </w:r>
          </w:p>
        </w:tc>
        <w:tc>
          <w:tcPr>
            <w:tcW w:w="5625" w:type="dxa"/>
            <w:gridSpan w:val="3"/>
            <w:vAlign w:val="center"/>
          </w:tcPr>
          <w:p>
            <w:pPr>
              <w:widowControl/>
              <w:jc w:val="center"/>
              <w:rPr>
                <w:rFonts w:ascii="仿宋_GB2312" w:eastAsia="仿宋_GB2312" w:cs="Calibri"/>
                <w:color w:val="000000" w:themeColor="text1"/>
                <w:kern w:val="0"/>
                <w:szCs w:val="21"/>
                <w14:textFill>
                  <w14:solidFill>
                    <w14:schemeClr w14:val="tx1"/>
                  </w14:solidFill>
                </w14:textFill>
              </w:rPr>
            </w:pPr>
            <w:r>
              <w:rPr>
                <w:rFonts w:hint="eastAsia" w:ascii="仿宋_GB2312" w:eastAsia="仿宋_GB2312" w:cs="Calibri"/>
                <w:color w:val="000000" w:themeColor="text1"/>
                <w:kern w:val="0"/>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行政强制</w:t>
            </w:r>
          </w:p>
        </w:tc>
        <w:tc>
          <w:tcPr>
            <w:tcW w:w="5625" w:type="dxa"/>
            <w:gridSpan w:val="3"/>
            <w:vAlign w:val="center"/>
          </w:tcPr>
          <w:p>
            <w:pPr>
              <w:widowControl/>
              <w:jc w:val="center"/>
              <w:rPr>
                <w:rFonts w:ascii="仿宋_GB2312" w:eastAsia="仿宋_GB2312" w:cs="Calibri"/>
                <w:color w:val="000000" w:themeColor="text1"/>
                <w:kern w:val="0"/>
                <w:szCs w:val="21"/>
                <w14:textFill>
                  <w14:solidFill>
                    <w14:schemeClr w14:val="tx1"/>
                  </w14:solidFill>
                </w14:textFill>
              </w:rPr>
            </w:pPr>
            <w:r>
              <w:rPr>
                <w:rFonts w:hint="eastAsia" w:ascii="仿宋_GB2312" w:eastAsia="仿宋_GB2312" w:cs="Calibri"/>
                <w:color w:val="000000" w:themeColor="text1"/>
                <w:kern w:val="0"/>
                <w:szCs w:val="21"/>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500" w:type="dxa"/>
            <w:gridSpan w:val="4"/>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875" w:type="dxa"/>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信息内容</w:t>
            </w:r>
          </w:p>
        </w:tc>
        <w:tc>
          <w:tcPr>
            <w:tcW w:w="5625" w:type="dxa"/>
            <w:gridSpan w:val="3"/>
            <w:vAlign w:val="center"/>
          </w:tcPr>
          <w:p>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875" w:type="dxa"/>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b/>
                <w:bCs/>
                <w:color w:val="000000"/>
                <w:kern w:val="0"/>
                <w:szCs w:val="21"/>
              </w:rPr>
              <w:t>行政事业性收费</w:t>
            </w:r>
          </w:p>
        </w:tc>
        <w:tc>
          <w:tcPr>
            <w:tcW w:w="5625" w:type="dxa"/>
            <w:gridSpan w:val="3"/>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themeColor="text1"/>
                <w:kern w:val="0"/>
                <w:szCs w:val="21"/>
                <w14:textFill>
                  <w14:solidFill>
                    <w14:schemeClr w14:val="tx1"/>
                  </w14:solidFill>
                </w14:textFill>
              </w:rPr>
              <w:t>0</w:t>
            </w:r>
          </w:p>
        </w:tc>
      </w:tr>
    </w:tbl>
    <w:p>
      <w:pPr>
        <w:rPr>
          <w:rFonts w:ascii="黑体" w:hAnsi="黑体" w:eastAsia="黑体" w:cs="黑体"/>
          <w:bCs/>
          <w:color w:val="333333"/>
          <w:kern w:val="0"/>
          <w:sz w:val="32"/>
          <w:szCs w:val="32"/>
          <w:shd w:val="clear" w:color="auto" w:fill="FFFFFF"/>
          <w:lang w:bidi="ar"/>
        </w:rPr>
      </w:pPr>
      <w:r>
        <w:rPr>
          <w:rFonts w:hint="eastAsia" w:ascii="黑体" w:hAnsi="黑体" w:eastAsia="黑体" w:cs="黑体"/>
          <w:bCs/>
          <w:color w:val="333333"/>
          <w:kern w:val="0"/>
          <w:sz w:val="32"/>
          <w:szCs w:val="32"/>
          <w:shd w:val="clear" w:color="auto" w:fill="FFFFFF"/>
          <w:lang w:bidi="ar"/>
        </w:rPr>
        <w:t>三、收到和处理政府信息公开申请情况</w:t>
      </w:r>
    </w:p>
    <w:tbl>
      <w:tblPr>
        <w:tblStyle w:val="5"/>
        <w:tblW w:w="78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81"/>
        <w:gridCol w:w="736"/>
        <w:gridCol w:w="2531"/>
        <w:gridCol w:w="581"/>
        <w:gridCol w:w="488"/>
        <w:gridCol w:w="562"/>
        <w:gridCol w:w="769"/>
        <w:gridCol w:w="731"/>
        <w:gridCol w:w="500"/>
        <w:gridCol w:w="5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3648" w:type="dxa"/>
            <w:gridSpan w:val="3"/>
            <w:vMerge w:val="restart"/>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174" w:type="dxa"/>
            <w:gridSpan w:val="7"/>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3648" w:type="dxa"/>
            <w:gridSpan w:val="3"/>
            <w:vMerge w:val="continue"/>
            <w:tcMar>
              <w:left w:w="108" w:type="dxa"/>
              <w:right w:w="108" w:type="dxa"/>
            </w:tcMar>
            <w:vAlign w:val="center"/>
          </w:tcPr>
          <w:p>
            <w:pPr>
              <w:jc w:val="center"/>
              <w:rPr>
                <w:rFonts w:ascii="仿宋_GB2312" w:hAnsi="Times New Roman" w:eastAsia="仿宋_GB2312"/>
                <w:szCs w:val="21"/>
              </w:rPr>
            </w:pPr>
          </w:p>
        </w:tc>
        <w:tc>
          <w:tcPr>
            <w:tcW w:w="581"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50" w:type="dxa"/>
            <w:gridSpan w:val="5"/>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543" w:type="dxa"/>
            <w:vMerge w:val="restart"/>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7" w:hRule="atLeast"/>
          <w:jc w:val="center"/>
        </w:trPr>
        <w:tc>
          <w:tcPr>
            <w:tcW w:w="3648" w:type="dxa"/>
            <w:gridSpan w:val="3"/>
            <w:vMerge w:val="continue"/>
            <w:tcMar>
              <w:left w:w="108" w:type="dxa"/>
              <w:right w:w="108" w:type="dxa"/>
            </w:tcMar>
            <w:vAlign w:val="center"/>
          </w:tcPr>
          <w:p>
            <w:pPr>
              <w:jc w:val="center"/>
              <w:rPr>
                <w:rFonts w:ascii="仿宋_GB2312" w:hAnsi="Times New Roman" w:eastAsia="仿宋_GB2312"/>
                <w:szCs w:val="21"/>
              </w:rPr>
            </w:pPr>
          </w:p>
        </w:tc>
        <w:tc>
          <w:tcPr>
            <w:tcW w:w="581" w:type="dxa"/>
            <w:vMerge w:val="continue"/>
            <w:tcMar>
              <w:left w:w="108" w:type="dxa"/>
              <w:right w:w="108" w:type="dxa"/>
            </w:tcMar>
            <w:vAlign w:val="center"/>
          </w:tcPr>
          <w:p>
            <w:pPr>
              <w:jc w:val="center"/>
              <w:rPr>
                <w:rFonts w:ascii="黑体" w:hAnsi="黑体" w:eastAsia="黑体"/>
                <w:szCs w:val="21"/>
              </w:rPr>
            </w:pPr>
          </w:p>
        </w:tc>
        <w:tc>
          <w:tcPr>
            <w:tcW w:w="488"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2"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69" w:type="dxa"/>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31" w:type="dxa"/>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00" w:type="dxa"/>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543" w:type="dxa"/>
            <w:vMerge w:val="continue"/>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12</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6" w:hRule="atLeast"/>
          <w:jc w:val="center"/>
        </w:trPr>
        <w:tc>
          <w:tcPr>
            <w:tcW w:w="3648"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581"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488"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shd w:val="clear" w:color="auto" w:fill="FFFFFF" w:themeFill="background1"/>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381" w:type="dxa"/>
            <w:vMerge w:val="restart"/>
            <w:tcMar>
              <w:left w:w="108" w:type="dxa"/>
              <w:right w:w="108" w:type="dxa"/>
            </w:tcMar>
            <w:vAlign w:val="center"/>
          </w:tcPr>
          <w:p>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3267" w:type="dxa"/>
            <w:gridSpan w:val="2"/>
            <w:tcMar>
              <w:left w:w="108" w:type="dxa"/>
              <w:right w:w="108" w:type="dxa"/>
            </w:tcMar>
            <w:vAlign w:val="center"/>
          </w:tcPr>
          <w:p>
            <w:pPr>
              <w:widowControl/>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（一）予以公开</w:t>
            </w:r>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ascii="仿宋_GB2312" w:hAnsi="Times New Roman" w:eastAsia="仿宋_GB2312"/>
                <w:color w:val="000000" w:themeColor="text1"/>
                <w:szCs w:val="21"/>
                <w14:textFill>
                  <w14:solidFill>
                    <w14:schemeClr w14:val="tx1"/>
                  </w14:solidFill>
                </w14:textFill>
              </w:rPr>
              <w:t>12</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ascii="仿宋_GB2312" w:hAnsi="Times New Roman" w:eastAsia="仿宋_GB2312"/>
                <w:color w:val="000000" w:themeColor="text1"/>
                <w:szCs w:val="21"/>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atLeast"/>
          <w:jc w:val="center"/>
        </w:trPr>
        <w:tc>
          <w:tcPr>
            <w:tcW w:w="381" w:type="dxa"/>
            <w:vMerge w:val="continue"/>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3267" w:type="dxa"/>
            <w:gridSpan w:val="2"/>
            <w:tcMar>
              <w:left w:w="108" w:type="dxa"/>
              <w:right w:w="108" w:type="dxa"/>
            </w:tcMar>
            <w:vAlign w:val="center"/>
          </w:tcPr>
          <w:p>
            <w:pPr>
              <w:widowControl/>
              <w:rPr>
                <w:rFonts w:ascii="黑体" w:hAnsi="黑体" w:eastAsia="黑体"/>
                <w:color w:val="000000" w:themeColor="text1"/>
                <w:sz w:val="16"/>
                <w:szCs w:val="16"/>
                <w14:textFill>
                  <w14:solidFill>
                    <w14:schemeClr w14:val="tx1"/>
                  </w14:solidFill>
                </w14:textFill>
              </w:rPr>
            </w:pPr>
            <w:r>
              <w:rPr>
                <w:rFonts w:hint="eastAsia" w:ascii="黑体" w:hAnsi="黑体" w:eastAsia="黑体"/>
                <w:color w:val="000000" w:themeColor="text1"/>
                <w:kern w:val="0"/>
                <w:sz w:val="16"/>
                <w:szCs w:val="16"/>
                <w14:textFill>
                  <w14:solidFill>
                    <w14:schemeClr w14:val="tx1"/>
                  </w14:solidFill>
                </w14:textFill>
              </w:rPr>
              <w:t>（二）部分公开（</w:t>
            </w:r>
            <w:bookmarkStart w:id="1" w:name="_Hlk66973981"/>
            <w:r>
              <w:rPr>
                <w:rFonts w:hint="eastAsia" w:ascii="黑体" w:hAnsi="黑体" w:eastAsia="黑体"/>
                <w:color w:val="000000" w:themeColor="text1"/>
                <w:kern w:val="0"/>
                <w:sz w:val="16"/>
                <w:szCs w:val="16"/>
                <w14:textFill>
                  <w14:solidFill>
                    <w14:schemeClr w14:val="tx1"/>
                  </w14:solidFill>
                </w14:textFill>
              </w:rPr>
              <w:t>区分处理的，只计这一情形，不计其他情形</w:t>
            </w:r>
            <w:bookmarkEnd w:id="1"/>
            <w:r>
              <w:rPr>
                <w:rFonts w:hint="eastAsia" w:ascii="黑体" w:hAnsi="黑体" w:eastAsia="黑体"/>
                <w:color w:val="000000" w:themeColor="text1"/>
                <w:kern w:val="0"/>
                <w:sz w:val="16"/>
                <w:szCs w:val="16"/>
                <w14:textFill>
                  <w14:solidFill>
                    <w14:schemeClr w14:val="tx1"/>
                  </w14:solidFill>
                </w14:textFill>
              </w:rPr>
              <w:t>）</w:t>
            </w:r>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（三）不予公开</w:t>
            </w: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1.属于国家秘密</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r>
              <w:rPr>
                <w:rFonts w:hint="eastAsia" w:ascii="黑体" w:hAnsi="黑体" w:eastAsia="黑体"/>
                <w:szCs w:val="21"/>
              </w:rPr>
              <w:t>S</w:t>
            </w: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2" w:name="_Hlk66974104"/>
            <w:r>
              <w:rPr>
                <w:rFonts w:hint="eastAsia" w:ascii="仿宋_GB2312" w:hAnsi="黑体" w:eastAsia="仿宋_GB2312"/>
                <w:kern w:val="0"/>
                <w:sz w:val="16"/>
                <w:szCs w:val="16"/>
              </w:rPr>
              <w:t>其他法律行政法规禁止公开</w:t>
            </w:r>
            <w:bookmarkEnd w:id="2"/>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3.危及“三安全一稳定”</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4.</w:t>
            </w:r>
            <w:bookmarkStart w:id="3" w:name="_Hlk66974290"/>
            <w:r>
              <w:rPr>
                <w:rFonts w:hint="eastAsia" w:ascii="仿宋_GB2312" w:hAnsi="黑体" w:eastAsia="仿宋_GB2312"/>
                <w:kern w:val="0"/>
                <w:sz w:val="16"/>
                <w:szCs w:val="16"/>
              </w:rPr>
              <w:t>保护第三方合法权益</w:t>
            </w:r>
            <w:bookmarkEnd w:id="3"/>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5.属于三类内部事务信息</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6.</w:t>
            </w:r>
            <w:bookmarkStart w:id="4" w:name="_Hlk66974555"/>
            <w:r>
              <w:rPr>
                <w:rFonts w:hint="eastAsia" w:ascii="仿宋_GB2312" w:hAnsi="黑体" w:eastAsia="仿宋_GB2312"/>
                <w:kern w:val="0"/>
                <w:sz w:val="16"/>
                <w:szCs w:val="16"/>
              </w:rPr>
              <w:t>属于四类过程性信息</w:t>
            </w:r>
            <w:bookmarkEnd w:id="4"/>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7.属于行政执法案卷</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8.</w:t>
            </w:r>
            <w:bookmarkStart w:id="5" w:name="_Hlk66975211"/>
            <w:r>
              <w:rPr>
                <w:rFonts w:hint="eastAsia" w:ascii="仿宋_GB2312" w:hAnsi="黑体" w:eastAsia="仿宋_GB2312"/>
                <w:kern w:val="0"/>
                <w:sz w:val="16"/>
                <w:szCs w:val="16"/>
              </w:rPr>
              <w:t>属于行政查询事项</w:t>
            </w:r>
            <w:bookmarkEnd w:id="5"/>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（四）无法提供</w:t>
            </w: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1.本机关不掌握相关政府信息</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ind w:left="-107" w:leftChars="-51"/>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w:t>
            </w:r>
            <w:bookmarkStart w:id="6" w:name="_Hlk66975392"/>
            <w:r>
              <w:rPr>
                <w:rFonts w:hint="eastAsia" w:ascii="仿宋_GB2312" w:hAnsi="黑体" w:eastAsia="仿宋_GB2312"/>
                <w:kern w:val="0"/>
                <w:sz w:val="16"/>
                <w:szCs w:val="16"/>
              </w:rPr>
              <w:t>没有现成信息需要另行制作</w:t>
            </w:r>
            <w:bookmarkEnd w:id="6"/>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ind w:left="-107" w:leftChars="-51"/>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3.</w:t>
            </w:r>
            <w:bookmarkStart w:id="7" w:name="_Hlk66975466"/>
            <w:r>
              <w:rPr>
                <w:rFonts w:hint="eastAsia" w:ascii="仿宋_GB2312" w:hAnsi="黑体" w:eastAsia="仿宋_GB2312"/>
                <w:kern w:val="0"/>
                <w:sz w:val="16"/>
                <w:szCs w:val="16"/>
              </w:rPr>
              <w:t>补正后申请内容仍不明确</w:t>
            </w:r>
            <w:bookmarkEnd w:id="7"/>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200" w:lineRule="exact"/>
              <w:ind w:left="-107" w:leftChars="-51"/>
              <w:rPr>
                <w:rFonts w:ascii="黑体" w:hAnsi="黑体" w:eastAsia="黑体"/>
                <w:sz w:val="16"/>
                <w:szCs w:val="16"/>
              </w:rPr>
            </w:pPr>
            <w:r>
              <w:rPr>
                <w:rFonts w:hint="eastAsia" w:ascii="黑体" w:hAnsi="黑体" w:eastAsia="黑体"/>
                <w:kern w:val="0"/>
                <w:sz w:val="16"/>
                <w:szCs w:val="16"/>
              </w:rPr>
              <w:t>（五）不予处理</w:t>
            </w: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1.</w:t>
            </w:r>
            <w:bookmarkStart w:id="8" w:name="_Hlk66975537"/>
            <w:r>
              <w:rPr>
                <w:rFonts w:hint="eastAsia" w:ascii="仿宋_GB2312" w:hAnsi="黑体" w:eastAsia="仿宋_GB2312"/>
                <w:kern w:val="0"/>
                <w:sz w:val="16"/>
                <w:szCs w:val="16"/>
              </w:rPr>
              <w:t>信访举报投诉类申请</w:t>
            </w:r>
            <w:bookmarkEnd w:id="8"/>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kern w:val="0"/>
                <w:sz w:val="16"/>
                <w:szCs w:val="16"/>
              </w:rPr>
            </w:pPr>
            <w:r>
              <w:rPr>
                <w:rFonts w:hint="eastAsia" w:ascii="仿宋_GB2312" w:hAnsi="黑体" w:eastAsia="仿宋_GB2312"/>
                <w:kern w:val="0"/>
                <w:sz w:val="16"/>
                <w:szCs w:val="16"/>
              </w:rPr>
              <w:t>2.重复申请</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1"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3.要求提供公开出版物</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7" w:hRule="exac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200" w:lineRule="exact"/>
              <w:rPr>
                <w:rFonts w:ascii="仿宋_GB2312" w:hAnsi="黑体" w:eastAsia="仿宋_GB2312"/>
                <w:sz w:val="16"/>
                <w:szCs w:val="16"/>
              </w:rPr>
            </w:pPr>
            <w:r>
              <w:rPr>
                <w:rFonts w:hint="eastAsia" w:ascii="仿宋_GB2312" w:hAnsi="黑体" w:eastAsia="仿宋_GB2312"/>
                <w:kern w:val="0"/>
                <w:sz w:val="16"/>
                <w:szCs w:val="16"/>
              </w:rPr>
              <w:t>4.无正当理由大量反复申请</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spacing w:line="200" w:lineRule="exact"/>
              <w:rPr>
                <w:rFonts w:ascii="黑体" w:hAnsi="黑体" w:eastAsia="黑体"/>
                <w:sz w:val="16"/>
                <w:szCs w:val="16"/>
              </w:rPr>
            </w:pPr>
          </w:p>
        </w:tc>
        <w:tc>
          <w:tcPr>
            <w:tcW w:w="2531" w:type="dxa"/>
            <w:tcMar>
              <w:left w:w="108" w:type="dxa"/>
              <w:right w:w="108" w:type="dxa"/>
            </w:tcMar>
            <w:vAlign w:val="center"/>
          </w:tcPr>
          <w:p>
            <w:pPr>
              <w:widowControl/>
              <w:spacing w:line="300" w:lineRule="exact"/>
              <w:rPr>
                <w:rFonts w:ascii="仿宋_GB2312" w:hAnsi="黑体" w:eastAsia="仿宋_GB2312"/>
                <w:kern w:val="0"/>
                <w:sz w:val="16"/>
                <w:szCs w:val="16"/>
              </w:rPr>
            </w:pPr>
            <w:r>
              <w:rPr>
                <w:rFonts w:hint="eastAsia" w:ascii="仿宋_GB2312" w:hAnsi="黑体" w:eastAsia="仿宋_GB2312"/>
                <w:kern w:val="0"/>
                <w:sz w:val="16"/>
                <w:szCs w:val="16"/>
              </w:rPr>
              <w:t>5.要求行政机关确认或重新</w:t>
            </w:r>
          </w:p>
          <w:p>
            <w:pPr>
              <w:widowControl/>
              <w:spacing w:line="300" w:lineRule="exact"/>
              <w:ind w:firstLine="160" w:firstLineChars="100"/>
              <w:rPr>
                <w:rFonts w:ascii="仿宋_GB2312" w:hAnsi="黑体" w:eastAsia="仿宋_GB2312"/>
                <w:sz w:val="16"/>
                <w:szCs w:val="16"/>
              </w:rPr>
            </w:pPr>
            <w:r>
              <w:rPr>
                <w:rFonts w:hint="eastAsia" w:ascii="仿宋_GB2312" w:hAnsi="黑体" w:eastAsia="仿宋_GB2312"/>
                <w:kern w:val="0"/>
                <w:sz w:val="16"/>
                <w:szCs w:val="16"/>
              </w:rPr>
              <w:t>出具已获取信息</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restart"/>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（六）其他处理</w:t>
            </w:r>
          </w:p>
        </w:tc>
        <w:tc>
          <w:tcPr>
            <w:tcW w:w="2531" w:type="dxa"/>
            <w:vAlign w:val="center"/>
          </w:tcPr>
          <w:p>
            <w:pPr>
              <w:widowControl/>
              <w:spacing w:line="300" w:lineRule="exact"/>
              <w:rPr>
                <w:rFonts w:ascii="仿宋_GB2312" w:hAnsi="楷体" w:eastAsia="仿宋_GB2312"/>
                <w:sz w:val="16"/>
                <w:szCs w:val="18"/>
              </w:rPr>
            </w:pPr>
            <w:r>
              <w:rPr>
                <w:rFonts w:hint="eastAsia" w:ascii="仿宋_GB2312" w:hAnsi="楷体" w:eastAsia="仿宋_GB2312"/>
                <w:sz w:val="16"/>
                <w:szCs w:val="18"/>
              </w:rPr>
              <w:t>1.申请人无正当理由逾期……</w:t>
            </w:r>
          </w:p>
        </w:tc>
        <w:tc>
          <w:tcPr>
            <w:tcW w:w="58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szCs w:val="21"/>
              </w:rPr>
            </w:pPr>
            <w:r>
              <w:rPr>
                <w:rFonts w:hint="eastAsia" w:ascii="仿宋_GB2312" w:hAnsi="Times New Roman"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widowControl/>
              <w:spacing w:line="300" w:lineRule="exact"/>
              <w:rPr>
                <w:rFonts w:ascii="黑体" w:hAnsi="黑体" w:eastAsia="黑体"/>
                <w:kern w:val="0"/>
                <w:sz w:val="16"/>
                <w:szCs w:val="16"/>
              </w:rPr>
            </w:pPr>
          </w:p>
        </w:tc>
        <w:tc>
          <w:tcPr>
            <w:tcW w:w="2531" w:type="dxa"/>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2.申请人逾期未按收费通知……</w:t>
            </w:r>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tcMar>
              <w:left w:w="108" w:type="dxa"/>
              <w:right w:w="108" w:type="dxa"/>
            </w:tcMar>
            <w:vAlign w:val="center"/>
          </w:tcPr>
          <w:p>
            <w:pPr>
              <w:rPr>
                <w:rFonts w:ascii="黑体" w:hAnsi="黑体" w:eastAsia="黑体"/>
                <w:szCs w:val="21"/>
              </w:rPr>
            </w:pPr>
          </w:p>
        </w:tc>
        <w:tc>
          <w:tcPr>
            <w:tcW w:w="736" w:type="dxa"/>
            <w:vMerge w:val="continue"/>
            <w:tcMar>
              <w:left w:w="108" w:type="dxa"/>
              <w:right w:w="108" w:type="dxa"/>
            </w:tcMar>
            <w:vAlign w:val="center"/>
          </w:tcPr>
          <w:p>
            <w:pPr>
              <w:widowControl/>
              <w:spacing w:line="300" w:lineRule="exact"/>
              <w:rPr>
                <w:rFonts w:ascii="黑体" w:hAnsi="黑体" w:eastAsia="黑体"/>
                <w:kern w:val="0"/>
                <w:sz w:val="16"/>
                <w:szCs w:val="16"/>
              </w:rPr>
            </w:pPr>
          </w:p>
        </w:tc>
        <w:tc>
          <w:tcPr>
            <w:tcW w:w="2531" w:type="dxa"/>
            <w:vAlign w:val="center"/>
          </w:tcPr>
          <w:p>
            <w:pPr>
              <w:widowControl/>
              <w:spacing w:line="300" w:lineRule="exact"/>
              <w:rPr>
                <w:rFonts w:ascii="仿宋_GB2312" w:hAnsi="黑体" w:eastAsia="仿宋_GB2312"/>
                <w:kern w:val="0"/>
                <w:sz w:val="16"/>
                <w:szCs w:val="16"/>
              </w:rPr>
            </w:pPr>
            <w:r>
              <w:rPr>
                <w:rFonts w:hint="eastAsia" w:ascii="仿宋_GB2312" w:hAnsi="楷体" w:eastAsia="仿宋_GB2312"/>
                <w:sz w:val="16"/>
                <w:szCs w:val="18"/>
              </w:rPr>
              <w:t>3.其他</w:t>
            </w:r>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381" w:type="dxa"/>
            <w:vMerge w:val="continue"/>
            <w:tcMar>
              <w:left w:w="108" w:type="dxa"/>
              <w:right w:w="108" w:type="dxa"/>
            </w:tcMar>
            <w:vAlign w:val="center"/>
          </w:tcPr>
          <w:p>
            <w:pPr>
              <w:rPr>
                <w:rFonts w:ascii="黑体" w:hAnsi="黑体" w:eastAsia="黑体"/>
                <w:szCs w:val="21"/>
              </w:rPr>
            </w:pPr>
          </w:p>
        </w:tc>
        <w:tc>
          <w:tcPr>
            <w:tcW w:w="3267" w:type="dxa"/>
            <w:gridSpan w:val="2"/>
            <w:tcMar>
              <w:left w:w="108" w:type="dxa"/>
              <w:right w:w="108" w:type="dxa"/>
            </w:tcMar>
            <w:vAlign w:val="center"/>
          </w:tcPr>
          <w:p>
            <w:pPr>
              <w:widowControl/>
              <w:spacing w:line="300" w:lineRule="exact"/>
              <w:rPr>
                <w:rFonts w:ascii="黑体" w:hAnsi="黑体" w:eastAsia="黑体"/>
                <w:kern w:val="0"/>
                <w:sz w:val="16"/>
                <w:szCs w:val="16"/>
              </w:rPr>
            </w:pPr>
            <w:r>
              <w:rPr>
                <w:rFonts w:hint="eastAsia" w:ascii="黑体" w:hAnsi="黑体" w:eastAsia="黑体"/>
                <w:kern w:val="0"/>
                <w:sz w:val="16"/>
                <w:szCs w:val="16"/>
              </w:rPr>
              <w:t>（七）总计</w:t>
            </w:r>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12</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648" w:type="dxa"/>
            <w:gridSpan w:val="3"/>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58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488"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62"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69"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731"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00"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c>
          <w:tcPr>
            <w:tcW w:w="543" w:type="dxa"/>
            <w:tcMar>
              <w:left w:w="108" w:type="dxa"/>
              <w:right w:w="108" w:type="dxa"/>
            </w:tcMar>
            <w:vAlign w:val="center"/>
          </w:tcPr>
          <w:p>
            <w:pPr>
              <w:widowControl/>
              <w:spacing w:line="240" w:lineRule="exact"/>
              <w:jc w:val="center"/>
              <w:rPr>
                <w:rFonts w:ascii="仿宋_GB2312" w:hAnsi="Times New Roman" w:eastAsia="仿宋_GB2312"/>
                <w:color w:val="000000" w:themeColor="text1"/>
                <w:szCs w:val="21"/>
                <w14:textFill>
                  <w14:solidFill>
                    <w14:schemeClr w14:val="tx1"/>
                  </w14:solidFill>
                </w14:textFill>
              </w:rPr>
            </w:pPr>
            <w:r>
              <w:rPr>
                <w:rFonts w:hint="eastAsia" w:ascii="仿宋_GB2312" w:hAnsi="Times New Roman" w:eastAsia="仿宋_GB2312"/>
                <w:color w:val="000000" w:themeColor="text1"/>
                <w:szCs w:val="21"/>
                <w14:textFill>
                  <w14:solidFill>
                    <w14:schemeClr w14:val="tx1"/>
                  </w14:solidFill>
                </w14:textFill>
              </w:rPr>
              <w:t>0</w:t>
            </w:r>
          </w:p>
        </w:tc>
      </w:tr>
    </w:tbl>
    <w:p>
      <w:pPr>
        <w:rPr>
          <w:rFonts w:ascii="黑体" w:hAnsi="黑体" w:eastAsia="黑体" w:cs="黑体"/>
          <w:bCs/>
          <w:color w:val="333333"/>
          <w:kern w:val="0"/>
          <w:sz w:val="32"/>
          <w:szCs w:val="32"/>
          <w:shd w:val="clear" w:color="auto" w:fill="FFFFFF"/>
          <w:lang w:bidi="ar"/>
        </w:rPr>
      </w:pPr>
    </w:p>
    <w:p>
      <w:pPr>
        <w:ind w:firstLine="640" w:firstLineChars="200"/>
        <w:rPr>
          <w:rFonts w:ascii="仿宋_GB2312" w:eastAsia="仿宋_GB2312"/>
          <w:sz w:val="32"/>
          <w:szCs w:val="32"/>
        </w:rPr>
      </w:pPr>
      <w:r>
        <w:rPr>
          <w:rFonts w:hint="eastAsia" w:ascii="黑体" w:hAnsi="黑体" w:eastAsia="黑体" w:cs="黑体"/>
          <w:bCs/>
          <w:color w:val="333333"/>
          <w:kern w:val="0"/>
          <w:sz w:val="32"/>
          <w:szCs w:val="32"/>
          <w:shd w:val="clear" w:color="auto" w:fill="FFFFFF"/>
          <w:lang w:bidi="ar"/>
        </w:rPr>
        <w:t>四、政府信息公开行政复议、行政诉讼情况</w:t>
      </w:r>
    </w:p>
    <w:tbl>
      <w:tblPr>
        <w:tblStyle w:val="5"/>
        <w:tblpPr w:leftFromText="180" w:rightFromText="180" w:vertAnchor="text" w:horzAnchor="page" w:tblpX="1580" w:tblpY="193"/>
        <w:tblOverlap w:val="never"/>
        <w:tblW w:w="9071"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07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5" w:hRule="atLeast"/>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2" w:hRule="atLeast"/>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after="180"/>
              <w:jc w:val="center"/>
              <w:rPr>
                <w:rFonts w:ascii="Times New Roman" w:hAnsi="Times New Roman"/>
              </w:rPr>
            </w:pPr>
            <w:r>
              <w:rPr>
                <w:rFonts w:hint="eastAsia" w:ascii="Times New Roman" w:hAnsi="Times New Roman"/>
              </w:rPr>
              <w:t>0</w:t>
            </w:r>
          </w:p>
        </w:tc>
      </w:tr>
    </w:tbl>
    <w:p>
      <w:pPr>
        <w:pStyle w:val="4"/>
        <w:widowControl/>
        <w:shd w:val="clear" w:color="auto" w:fill="FFFFFF"/>
        <w:spacing w:before="0" w:beforeAutospacing="0" w:after="0" w:afterAutospacing="0" w:line="560" w:lineRule="exact"/>
        <w:ind w:firstLine="640" w:firstLineChars="200"/>
        <w:jc w:val="both"/>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五、存在的主要问题及改进情况</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存在问题：</w:t>
      </w:r>
      <w:r>
        <w:rPr>
          <w:rFonts w:ascii="Times New Roman" w:hAnsi="Times New Roman" w:eastAsia="仿宋_GB2312"/>
          <w:color w:val="000000" w:themeColor="text1"/>
          <w:sz w:val="32"/>
          <w:szCs w:val="32"/>
          <w14:textFill>
            <w14:solidFill>
              <w14:schemeClr w14:val="tx1"/>
            </w14:solidFill>
          </w14:textFill>
        </w:rPr>
        <w:t>一是政府文件格式规范性问题，政务公开平台的文件格式与公文格式存在一定差异，在上传时可能存在格式调整不到位的现象。二是政务公开平台更新时效性问题，例如社会救助、部门会议等栏目更新不及时。</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整改措施：制定政务公开平台规范格式参考，以便上传文件时可以及时对照修改格式；同时针对更新时效性问题，对接区政务公开办，按照上级部门要求及时更新。</w:t>
      </w:r>
    </w:p>
    <w:p>
      <w:pPr>
        <w:pStyle w:val="4"/>
        <w:widowControl/>
        <w:shd w:val="clear" w:color="auto" w:fill="FFFFFF"/>
        <w:spacing w:before="0" w:beforeAutospacing="0" w:after="0" w:afterAutospacing="0" w:line="560" w:lineRule="exact"/>
        <w:ind w:firstLine="640" w:firstLineChars="200"/>
        <w:jc w:val="both"/>
        <w:rPr>
          <w:rFonts w:ascii="黑体" w:hAnsi="黑体" w:eastAsia="黑体" w:cs="黑体"/>
          <w:bCs/>
          <w:color w:val="333333"/>
          <w:sz w:val="32"/>
          <w:szCs w:val="32"/>
          <w:shd w:val="clear" w:color="auto" w:fill="FFFFFF"/>
          <w:lang w:bidi="ar"/>
        </w:rPr>
      </w:pPr>
      <w:r>
        <w:rPr>
          <w:rFonts w:hint="eastAsia" w:ascii="黑体" w:hAnsi="黑体" w:eastAsia="黑体" w:cs="黑体"/>
          <w:bCs/>
          <w:color w:val="333333"/>
          <w:sz w:val="32"/>
          <w:szCs w:val="32"/>
          <w:shd w:val="clear" w:color="auto" w:fill="FFFFFF"/>
          <w:lang w:bidi="ar"/>
        </w:rPr>
        <w:t>六、其他需要报告的事项</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1、收取信息处理费情况。按照《国务院办公厅关于印发&lt;政府信息公开信息处理费管理办法&gt;的通知》（国办函〔2020〕109号）。和《山东省人民政府办公厅关于做好政府信息公开信息处理费管理工作有关事项的通知》（鲁政办字〔2020〕179号）收取信息处理费。2023年本机关依申请公开政府信息未收取任何费用</w:t>
      </w:r>
      <w:r>
        <w:rPr>
          <w:rFonts w:hint="eastAsia" w:ascii="Times New Roman" w:hAnsi="Times New Roman" w:eastAsia="仿宋_GB2312"/>
          <w:color w:val="000000" w:themeColor="text1"/>
          <w:sz w:val="32"/>
          <w:szCs w:val="32"/>
          <w14:textFill>
            <w14:solidFill>
              <w14:schemeClr w14:val="tx1"/>
            </w14:solidFill>
          </w14:textFill>
        </w:rPr>
        <w:t>。</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2、落实上级年度政务公开工作要点情况。</w:t>
      </w:r>
      <w:r>
        <w:rPr>
          <w:rFonts w:ascii="Times New Roman" w:hAnsi="Times New Roman" w:eastAsia="仿宋_GB2312"/>
          <w:color w:val="000000" w:themeColor="text1"/>
          <w:sz w:val="32"/>
          <w:szCs w:val="32"/>
          <w14:textFill>
            <w14:solidFill>
              <w14:schemeClr w14:val="tx1"/>
            </w14:solidFill>
          </w14:textFill>
        </w:rPr>
        <w:t>按照上级政务公开工作要求，迅速对</w:t>
      </w:r>
      <w:r>
        <w:rPr>
          <w:rFonts w:hint="eastAsia" w:ascii="Times New Roman" w:hAnsi="Times New Roman" w:eastAsia="仿宋_GB2312"/>
          <w:color w:val="000000" w:themeColor="text1"/>
          <w:sz w:val="32"/>
          <w:szCs w:val="32"/>
          <w14:textFill>
            <w14:solidFill>
              <w14:schemeClr w14:val="tx1"/>
            </w14:solidFill>
          </w14:textFill>
        </w:rPr>
        <w:t>2023年政务公开重点工作进行分工，形成责任分工表，将责任具体到科室，加强公开信息的主动性和规范性，紧紧围绕乡村振兴、社会救助等与群众密切相关的内容，真正做到服务于民。同时及时梳理公开事项，确保栏目及时更新。</w:t>
      </w:r>
    </w:p>
    <w:p>
      <w:pPr>
        <w:pStyle w:val="4"/>
        <w:widowControl/>
        <w:shd w:val="clear" w:color="auto" w:fill="FFFFFF"/>
        <w:spacing w:before="0" w:beforeAutospacing="0" w:after="0" w:afterAutospacing="0" w:line="560" w:lineRule="exact"/>
        <w:ind w:firstLine="640" w:firstLineChars="200"/>
        <w:jc w:val="both"/>
        <w:rPr>
          <w:rFonts w:hint="eastAsia"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3、人大代表和政协提案办理结果公开情况。2023年，将军路街道办事处共办理</w:t>
      </w:r>
      <w:r>
        <w:rPr>
          <w:rFonts w:hint="eastAsia" w:ascii="Times New Roman" w:hAnsi="Times New Roman" w:eastAsia="仿宋_GB2312"/>
          <w:color w:val="000000" w:themeColor="text1"/>
          <w:sz w:val="32"/>
          <w:szCs w:val="32"/>
          <w14:textFill>
            <w14:solidFill>
              <w14:schemeClr w14:val="tx1"/>
            </w14:solidFill>
          </w14:textFill>
        </w:rPr>
        <w:t>并公开</w:t>
      </w:r>
      <w:r>
        <w:rPr>
          <w:rFonts w:ascii="Times New Roman" w:hAnsi="Times New Roman" w:eastAsia="仿宋_GB2312"/>
          <w:color w:val="000000" w:themeColor="text1"/>
          <w:sz w:val="32"/>
          <w:szCs w:val="32"/>
          <w14:textFill>
            <w14:solidFill>
              <w14:schemeClr w14:val="tx1"/>
            </w14:solidFill>
          </w14:textFill>
        </w:rPr>
        <w:t>建议提案10件，未有上级建议提案任务</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均圆满完成承办的建议提案，按时办结率、态度满意率均为100%</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按法定程序面复代表，面复率100%，办复率100%。</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4、政务公开工作创新情况。</w:t>
      </w:r>
      <w:r>
        <w:rPr>
          <w:rFonts w:ascii="Times New Roman" w:hAnsi="Times New Roman" w:eastAsia="仿宋_GB2312"/>
          <w:color w:val="000000" w:themeColor="text1"/>
          <w:sz w:val="32"/>
          <w:szCs w:val="32"/>
          <w14:textFill>
            <w14:solidFill>
              <w14:schemeClr w14:val="tx1"/>
            </w14:solidFill>
          </w14:textFill>
        </w:rPr>
        <w:t>将军路街道积极拓展政务公开新途径，上线“一线将军路”政务平台，通过开展政务直播方式，推动基层政务公开工作扎实稳步进行</w:t>
      </w:r>
      <w:r>
        <w:rPr>
          <w:rFonts w:hint="eastAsia" w:ascii="Times New Roman" w:hAnsi="Times New Roman" w:eastAsia="仿宋_GB2312"/>
          <w:color w:val="000000" w:themeColor="text1"/>
          <w:sz w:val="32"/>
          <w:szCs w:val="32"/>
          <w14:textFill>
            <w14:solidFill>
              <w14:schemeClr w14:val="tx1"/>
            </w14:solidFill>
          </w14:textFill>
        </w:rPr>
        <w:t>。</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5、政府信息公开工作年度报告数据统计需要说明的事项。无。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6、本行政机关认为需要报告的其他事项。无。</w:t>
      </w:r>
    </w:p>
    <w:p>
      <w:pPr>
        <w:pStyle w:val="4"/>
        <w:widowControl/>
        <w:shd w:val="clear" w:color="auto" w:fill="FFFFFF"/>
        <w:spacing w:before="0" w:beforeAutospacing="0" w:after="0" w:afterAutospacing="0" w:line="56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7、其他有关文件专门要求通过政府信息公开工作年度报告予以报告的事项。无。</w:t>
      </w:r>
    </w:p>
    <w:bookmarkEnd w:id="10"/>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-247650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9.5pt;height:144pt;width:144pt;mso-position-horizontal:outside;mso-position-horizontal-relative:margin;mso-wrap-style:none;z-index:251659264;mso-width-relative:page;mso-height-relative:page;" filled="f" stroked="f" coordsize="21600,21600" o:gfxdata="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dHdNQAAAAIAQAADwAAAAAAAAABACAAAAAi&#10;AAAAZHJzL2Rvd25yZXYueG1sUEsBAhQAFAAAAAgAh07iQPpO5poOAgAABwQAAA4AAAAAAAAAAQAg&#10;AAAAIwEAAGRycy9lMm9Eb2MueG1sUEsFBgAAAAAGAAYAWQEAAKMFAAAAAA==&#10;">
              <v:fill on="f" focussize="0,0"/>
              <v:stroke on="f" weight="0.5pt"/>
              <v:imagedata o:title=""/>
              <o:lock v:ext="edit" aspectratio="f"/>
              <v:textbox inset="0mm,0mm,0mm,0mm" style="mso-fit-shape-to-text:t;">
                <w:txbxContent>
                  <w:p>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808E6"/>
    <w:rsid w:val="004C0BEF"/>
    <w:rsid w:val="00A61BE5"/>
    <w:rsid w:val="00F140A4"/>
    <w:rsid w:val="18096C4F"/>
    <w:rsid w:val="1E1B3E7D"/>
    <w:rsid w:val="284808E6"/>
    <w:rsid w:val="576D7080"/>
    <w:rsid w:val="65D70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449</Words>
  <Characters>2561</Characters>
  <Lines>21</Lines>
  <Paragraphs>6</Paragraphs>
  <TotalTime>104</TotalTime>
  <ScaleCrop>false</ScaleCrop>
  <LinksUpToDate>false</LinksUpToDate>
  <CharactersWithSpaces>3004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2024-01-10T08:03:00Z</dcterms:created>
  <dc:creator>Administrator</dc:creator>
  <cp:lastModifiedBy>银杏果</cp:lastModifiedBy>
  <dcterms:modified xsi:type="dcterms:W3CDTF">2024-01-29T06:16:13Z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