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i w:val="0"/>
          <w:iCs w:val="0"/>
          <w:color w:val="000000"/>
          <w:kern w:val="0"/>
          <w:sz w:val="36"/>
          <w:szCs w:val="36"/>
          <w:u w:val="none"/>
          <w:lang w:val="en-US" w:eastAsia="zh-CN" w:bidi="ar"/>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淄川区</w:t>
      </w:r>
      <w:bookmarkStart w:id="0" w:name="_GoBack"/>
      <w:bookmarkEnd w:id="0"/>
      <w:r>
        <w:rPr>
          <w:rFonts w:hint="eastAsia" w:ascii="方正小标宋简体" w:hAnsi="方正小标宋简体" w:eastAsia="方正小标宋简体" w:cs="方正小标宋简体"/>
          <w:i w:val="0"/>
          <w:iCs w:val="0"/>
          <w:color w:val="000000"/>
          <w:kern w:val="0"/>
          <w:sz w:val="36"/>
          <w:szCs w:val="36"/>
          <w:u w:val="none"/>
          <w:lang w:val="en-US" w:eastAsia="zh-CN" w:bidi="ar"/>
        </w:rPr>
        <w:t>交通运输局2022年“双随机、一公开”检查计划</w:t>
      </w:r>
    </w:p>
    <w:tbl>
      <w:tblPr>
        <w:tblStyle w:val="4"/>
        <w:tblW w:w="1412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5"/>
        <w:gridCol w:w="1812"/>
        <w:gridCol w:w="1740"/>
        <w:gridCol w:w="1755"/>
        <w:gridCol w:w="1770"/>
        <w:gridCol w:w="1890"/>
        <w:gridCol w:w="1215"/>
        <w:gridCol w:w="5"/>
        <w:gridCol w:w="5"/>
        <w:gridCol w:w="1475"/>
        <w:gridCol w:w="42"/>
        <w:gridCol w:w="17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序号</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权责清单事项</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抽查事项</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检查对象</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事项类别</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抽查比例及频次</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检查时间</w:t>
            </w:r>
          </w:p>
        </w:tc>
        <w:tc>
          <w:tcPr>
            <w:tcW w:w="14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发起单位</w:t>
            </w: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配合或协同单位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对公路工程质量的监督检查和对公路工程造价的监督检查</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公路建设市场督查</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重点公路建设项目从业单位和从业人员</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重点检查事项</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全年抽查重点公路工程项目比例不低于10%，每年抽查2次</w:t>
            </w:r>
          </w:p>
        </w:tc>
        <w:tc>
          <w:tcPr>
            <w:tcW w:w="121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7月、9月</w:t>
            </w:r>
          </w:p>
        </w:tc>
        <w:tc>
          <w:tcPr>
            <w:tcW w:w="1485"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区运输服务中心</w:t>
            </w: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区交通运输监察大队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对道路运输的监督检查</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车辆维修企业经营情况的检查</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汽车维修企业</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一般检查事项</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全年抽查比例不低于5%，抽查频次根据监管需要确定</w:t>
            </w:r>
          </w:p>
        </w:tc>
        <w:tc>
          <w:tcPr>
            <w:tcW w:w="122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根据工作需要</w:t>
            </w:r>
          </w:p>
        </w:tc>
        <w:tc>
          <w:tcPr>
            <w:tcW w:w="1522"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sz w:val="24"/>
                <w:szCs w:val="24"/>
                <w:u w:val="none"/>
                <w:lang w:val="en-US" w:eastAsia="zh-CN"/>
              </w:rPr>
              <w:t>区运输服务中心</w:t>
            </w:r>
          </w:p>
        </w:tc>
        <w:tc>
          <w:tcPr>
            <w:tcW w:w="177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区交通运输监察大队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对道路运输的监督检查</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网约车平台公司的检查</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网约车平台公司</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一般检查事项</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全年抽查比例不低于5%，抽查频次根据监管需要确定</w:t>
            </w:r>
          </w:p>
        </w:tc>
        <w:tc>
          <w:tcPr>
            <w:tcW w:w="1225"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z w:val="24"/>
                <w:szCs w:val="24"/>
                <w:u w:val="none"/>
                <w:lang w:val="en-US" w:eastAsia="zh-CN"/>
              </w:rPr>
              <w:t>根据工作需要</w:t>
            </w:r>
          </w:p>
        </w:tc>
        <w:tc>
          <w:tcPr>
            <w:tcW w:w="1517"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sz w:val="24"/>
                <w:szCs w:val="24"/>
                <w:u w:val="none"/>
                <w:lang w:val="en-US" w:eastAsia="zh-CN"/>
              </w:rPr>
              <w:t>区运输服务中心</w:t>
            </w:r>
          </w:p>
        </w:tc>
        <w:tc>
          <w:tcPr>
            <w:tcW w:w="177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区交通运输监察大队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对城市公共汽（电）车客运经营（含线路经营）的监督检查</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城市公共汽电车客运企业（含线路经营）监督检查</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城市公共汽电车客运经营企业（含线路经营）</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一般检查事项</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全年抽查比例不低于30%，每年不低于2次</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6月、</w:t>
            </w:r>
            <w:r>
              <w:rPr>
                <w:rStyle w:val="8"/>
                <w:lang w:val="en-US" w:eastAsia="zh-CN" w:bidi="ar"/>
              </w:rPr>
              <w:t>9月</w:t>
            </w:r>
          </w:p>
        </w:tc>
        <w:tc>
          <w:tcPr>
            <w:tcW w:w="14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z w:val="24"/>
                <w:szCs w:val="24"/>
                <w:u w:val="none"/>
                <w:lang w:val="en-US" w:eastAsia="zh-CN"/>
              </w:rPr>
              <w:t>区运输服务中心</w:t>
            </w: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区交通运输监察大队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对巡游出租汽车客运经营的监督检查</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巡游出租汽车客运监督检查</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巡游出租汽车客运经营企业</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一般检查事项</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全年抽查比例不低于30%，每年不低于2次</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6月、</w:t>
            </w:r>
            <w:r>
              <w:rPr>
                <w:rStyle w:val="8"/>
                <w:lang w:val="en-US" w:eastAsia="zh-CN" w:bidi="ar"/>
              </w:rPr>
              <w:t>9月</w:t>
            </w:r>
          </w:p>
        </w:tc>
        <w:tc>
          <w:tcPr>
            <w:tcW w:w="14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z w:val="24"/>
                <w:szCs w:val="24"/>
                <w:u w:val="none"/>
                <w:lang w:val="en-US" w:eastAsia="zh-CN"/>
              </w:rPr>
              <w:t>区运输服务中心</w:t>
            </w: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区交通运输监察大队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对公路的监督检查</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对涉路工程建设项目的抽查</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区级许可的涉路工程建设单位</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一般检查事项</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全年抽查比例不低于10%，每年抽查5次</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视许可时间确定</w:t>
            </w:r>
          </w:p>
        </w:tc>
        <w:tc>
          <w:tcPr>
            <w:tcW w:w="14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z w:val="24"/>
                <w:szCs w:val="24"/>
                <w:u w:val="none"/>
                <w:lang w:val="en-US" w:eastAsia="zh-CN"/>
              </w:rPr>
              <w:t>区运输服务中心</w:t>
            </w: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区交通运输监察大队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对公路的监督检查</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对非公路标志设置的抽查</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区级许可的利用跨越公路设施及在公路用地范围内设置的非公路标志所有人</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一般检查事项</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全年抽查比例不低于10%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视许可时间确定</w:t>
            </w:r>
          </w:p>
        </w:tc>
        <w:tc>
          <w:tcPr>
            <w:tcW w:w="14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z w:val="24"/>
                <w:szCs w:val="24"/>
                <w:u w:val="none"/>
                <w:lang w:val="en-US" w:eastAsia="zh-CN"/>
              </w:rPr>
              <w:t>区运输服务中心</w:t>
            </w: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区交通运输监察大队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8</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对道路运输的监督检查</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道路危险货物运输企业检查</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道路危险货物运输企业</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一般检查事项</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全年抽查比例不低于5%，抽查频次根据监管需要确定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z w:val="24"/>
                <w:szCs w:val="24"/>
                <w:u w:val="none"/>
                <w:lang w:val="en-US" w:eastAsia="zh-CN"/>
              </w:rPr>
              <w:t>根据工作需要</w:t>
            </w:r>
          </w:p>
        </w:tc>
        <w:tc>
          <w:tcPr>
            <w:tcW w:w="14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z w:val="24"/>
                <w:szCs w:val="24"/>
                <w:u w:val="none"/>
                <w:lang w:val="en-US" w:eastAsia="zh-CN"/>
              </w:rPr>
              <w:t>区运输服务中心</w:t>
            </w: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区交通运输监察大队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9</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对道路运输的监督检查</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旅游包车客运企业的监督抽查</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旅游包车客运企业</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重点检查事项</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全年抽查比例不低于10%，每年抽查2次，每次2家</w:t>
            </w:r>
          </w:p>
        </w:tc>
        <w:tc>
          <w:tcPr>
            <w:tcW w:w="121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4月、9月</w:t>
            </w:r>
          </w:p>
        </w:tc>
        <w:tc>
          <w:tcPr>
            <w:tcW w:w="1485"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z w:val="24"/>
                <w:szCs w:val="24"/>
                <w:u w:val="none"/>
                <w:lang w:val="en-US" w:eastAsia="zh-CN"/>
              </w:rPr>
              <w:t>区运输服务中心</w:t>
            </w: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区交通运输监察大队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10</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对道路运输的监督检查</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对道路普通货物运输企业的检查</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道路普通货物运输企业</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一般检查事项</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全年抽查比例不低于5%，抽查频次根据监管需要确定</w:t>
            </w:r>
          </w:p>
        </w:tc>
        <w:tc>
          <w:tcPr>
            <w:tcW w:w="122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z w:val="24"/>
                <w:szCs w:val="24"/>
                <w:u w:val="none"/>
                <w:lang w:val="en-US" w:eastAsia="zh-CN"/>
              </w:rPr>
              <w:t>根据工作需要</w:t>
            </w:r>
          </w:p>
        </w:tc>
        <w:tc>
          <w:tcPr>
            <w:tcW w:w="1480"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sz w:val="24"/>
                <w:szCs w:val="24"/>
                <w:u w:val="none"/>
                <w:lang w:val="en-US" w:eastAsia="zh-CN"/>
              </w:rPr>
              <w:t>区运输服务中心</w:t>
            </w:r>
          </w:p>
        </w:tc>
        <w:tc>
          <w:tcPr>
            <w:tcW w:w="181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区交通运输监察大队</w:t>
            </w:r>
          </w:p>
        </w:tc>
      </w:tr>
    </w:tbl>
    <w:p>
      <w:pPr>
        <w:ind w:firstLine="56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kern w:val="0"/>
          <w:sz w:val="28"/>
          <w:szCs w:val="28"/>
          <w:u w:val="none"/>
          <w:lang w:val="en-US" w:eastAsia="zh-CN" w:bidi="ar"/>
        </w:rPr>
        <w:t>备注：</w:t>
      </w:r>
      <w:r>
        <w:rPr>
          <w:rFonts w:hint="eastAsia" w:ascii="仿宋_GB2312" w:hAnsi="仿宋_GB2312" w:eastAsia="仿宋_GB2312" w:cs="仿宋_GB2312"/>
          <w:sz w:val="28"/>
          <w:szCs w:val="28"/>
          <w:lang w:val="en-US" w:eastAsia="zh-CN"/>
        </w:rPr>
        <w:t>请结合</w:t>
      </w:r>
      <w:r>
        <w:rPr>
          <w:rFonts w:hint="eastAsia" w:ascii="仿宋_GB2312" w:hAnsi="仿宋_GB2312" w:eastAsia="仿宋_GB2312" w:cs="仿宋_GB2312"/>
          <w:sz w:val="28"/>
          <w:szCs w:val="28"/>
          <w:highlight w:val="none"/>
          <w:lang w:eastAsia="zh-CN"/>
        </w:rPr>
        <w:t>质量信誉考核、</w:t>
      </w:r>
      <w:r>
        <w:rPr>
          <w:rFonts w:hint="eastAsia" w:ascii="仿宋_GB2312" w:hAnsi="仿宋_GB2312" w:eastAsia="仿宋_GB2312" w:cs="仿宋_GB2312"/>
          <w:spacing w:val="12"/>
          <w:sz w:val="28"/>
          <w:szCs w:val="28"/>
          <w:highlight w:val="none"/>
          <w:shd w:val="clear" w:color="auto" w:fill="FFFFFF"/>
          <w:lang w:eastAsia="zh-CN"/>
        </w:rPr>
        <w:t>安全生产信用评价结果</w:t>
      </w:r>
      <w:r>
        <w:rPr>
          <w:rFonts w:hint="eastAsia" w:ascii="仿宋_GB2312" w:hAnsi="仿宋_GB2312" w:eastAsia="仿宋_GB2312" w:cs="仿宋_GB2312"/>
          <w:sz w:val="28"/>
          <w:szCs w:val="28"/>
          <w:lang w:val="en-US" w:eastAsia="zh-CN"/>
        </w:rPr>
        <w:t>，对不同市场主体实行分级分类监管。</w:t>
      </w:r>
    </w:p>
    <w:sectPr>
      <w:type w:val="continuous"/>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83BF3C35-72C3-4C40-9D4E-A3710367E50A}"/>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1EBB4820-C2E9-4AB9-A7F3-72FE13A28F1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5F6A15"/>
    <w:rsid w:val="0CF70F90"/>
    <w:rsid w:val="0E417EED"/>
    <w:rsid w:val="0EDA5AAC"/>
    <w:rsid w:val="196A15D4"/>
    <w:rsid w:val="1C8975E6"/>
    <w:rsid w:val="1D3A72CE"/>
    <w:rsid w:val="1E581C6D"/>
    <w:rsid w:val="1F202861"/>
    <w:rsid w:val="24BC729A"/>
    <w:rsid w:val="301A03CC"/>
    <w:rsid w:val="348B4839"/>
    <w:rsid w:val="36873967"/>
    <w:rsid w:val="39BF7C4A"/>
    <w:rsid w:val="3AA347CF"/>
    <w:rsid w:val="3CC908AE"/>
    <w:rsid w:val="418B44FE"/>
    <w:rsid w:val="6F2A332E"/>
    <w:rsid w:val="7CE03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1"/>
      <w:lang w:val="en-US" w:eastAsia="zh-CN" w:bidi="ar"/>
    </w:rPr>
  </w:style>
  <w:style w:type="paragraph" w:styleId="3">
    <w:name w:val="footer"/>
    <w:basedOn w:val="1"/>
    <w:qFormat/>
    <w:uiPriority w:val="0"/>
    <w:pPr>
      <w:tabs>
        <w:tab w:val="center" w:pos="4153"/>
        <w:tab w:val="right" w:pos="8306"/>
      </w:tabs>
      <w:snapToGrid w:val="0"/>
      <w:jc w:val="left"/>
    </w:pPr>
    <w:rPr>
      <w:kern w:val="2"/>
      <w:sz w:val="18"/>
      <w:szCs w:val="18"/>
    </w:rPr>
  </w:style>
  <w:style w:type="character" w:customStyle="1" w:styleId="6">
    <w:name w:val="font31"/>
    <w:basedOn w:val="5"/>
    <w:qFormat/>
    <w:uiPriority w:val="0"/>
    <w:rPr>
      <w:rFonts w:hint="eastAsia" w:ascii="仿宋_GB2312" w:eastAsia="仿宋_GB2312" w:cs="仿宋_GB2312"/>
      <w:color w:val="000000"/>
      <w:sz w:val="24"/>
      <w:szCs w:val="24"/>
      <w:u w:val="none"/>
    </w:rPr>
  </w:style>
  <w:style w:type="character" w:customStyle="1" w:styleId="7">
    <w:name w:val="font41"/>
    <w:basedOn w:val="5"/>
    <w:qFormat/>
    <w:uiPriority w:val="0"/>
    <w:rPr>
      <w:rFonts w:hint="eastAsia" w:ascii="仿宋_GB2312" w:eastAsia="仿宋_GB2312" w:cs="仿宋_GB2312"/>
      <w:color w:val="000000"/>
      <w:sz w:val="24"/>
      <w:szCs w:val="24"/>
      <w:u w:val="none"/>
    </w:rPr>
  </w:style>
  <w:style w:type="character" w:customStyle="1" w:styleId="8">
    <w:name w:val="font11"/>
    <w:basedOn w:val="5"/>
    <w:qFormat/>
    <w:uiPriority w:val="0"/>
    <w:rPr>
      <w:rFonts w:hint="eastAsia" w:ascii="宋体" w:hAnsi="宋体" w:eastAsia="宋体" w:cs="宋体"/>
      <w:color w:val="000000"/>
      <w:sz w:val="20"/>
      <w:szCs w:val="20"/>
      <w:u w:val="none"/>
    </w:rPr>
  </w:style>
  <w:style w:type="character" w:customStyle="1" w:styleId="9">
    <w:name w:val="font21"/>
    <w:basedOn w:val="5"/>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2022-02-18T03:12:00Z</dcterms:created>
  <dc:creator>Administrator.PC-20200930LMHJ</dc:creator>
  <cp:lastModifiedBy>hp</cp:lastModifiedBy>
  <cp:lastPrinted>2022-02-22T07:29:00Z</cp:lastPrinted>
  <dcterms:modified xsi:type="dcterms:W3CDTF">2022-03-28T07:12:38Z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F2EAF54B30AA45A89C5895C7C3C1A915</vt:lpwstr>
  </property>
</Properties>
</file>