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pPr>
    </w:p>
    <w:p>
      <w:pPr>
        <w:spacing w:line="620" w:lineRule="exact"/>
      </w:pPr>
    </w:p>
    <w:p>
      <w:pPr>
        <w:pStyle w:val="3"/>
        <w:spacing w:line="620" w:lineRule="exact"/>
        <w:rPr>
          <w:rFonts w:hint="default"/>
          <w:sz w:val="32"/>
          <w:szCs w:val="32"/>
        </w:rPr>
      </w:pPr>
    </w:p>
    <w:p>
      <w:pPr>
        <w:spacing w:line="620" w:lineRule="exact"/>
      </w:pPr>
    </w:p>
    <w:p>
      <w:pPr>
        <w:pStyle w:val="3"/>
        <w:spacing w:line="620" w:lineRule="exact"/>
        <w:jc w:val="center"/>
        <w:rPr>
          <w:rFonts w:hint="default" w:ascii="方正小标宋简体" w:hAnsi="方正小标宋简体" w:eastAsia="方正小标宋简体"/>
          <w:b w:val="0"/>
          <w:sz w:val="44"/>
          <w:szCs w:val="44"/>
        </w:rPr>
      </w:pPr>
      <w:r>
        <w:rPr>
          <w:rFonts w:ascii="方正小标宋简体" w:hAnsi="方正小标宋简体" w:eastAsia="方正小标宋简体"/>
          <w:b w:val="0"/>
          <w:sz w:val="44"/>
          <w:szCs w:val="44"/>
        </w:rPr>
        <w:t>淄川区交通运输局“双随机、一公开”</w:t>
      </w:r>
    </w:p>
    <w:p>
      <w:pPr>
        <w:pStyle w:val="3"/>
        <w:spacing w:line="620" w:lineRule="exact"/>
        <w:jc w:val="center"/>
        <w:rPr>
          <w:rFonts w:hint="default" w:ascii="方正小标宋简体" w:hAnsi="方正小标宋简体" w:eastAsia="方正小标宋简体"/>
          <w:b w:val="0"/>
          <w:sz w:val="44"/>
          <w:szCs w:val="44"/>
        </w:rPr>
      </w:pPr>
      <w:r>
        <w:rPr>
          <w:rFonts w:ascii="方正小标宋简体" w:hAnsi="方正小标宋简体" w:eastAsia="方正小标宋简体"/>
          <w:b w:val="0"/>
          <w:sz w:val="44"/>
          <w:szCs w:val="44"/>
        </w:rPr>
        <w:t>抽查工作指引汇编</w:t>
      </w:r>
    </w:p>
    <w:p>
      <w:pPr>
        <w:spacing w:line="620" w:lineRule="exact"/>
      </w:pPr>
    </w:p>
    <w:p>
      <w:pPr>
        <w:spacing w:line="620" w:lineRule="exact"/>
      </w:pPr>
    </w:p>
    <w:p>
      <w:pPr>
        <w:pStyle w:val="3"/>
        <w:spacing w:line="620" w:lineRule="exact"/>
        <w:rPr>
          <w:rFonts w:hint="default"/>
          <w:sz w:val="32"/>
          <w:szCs w:val="32"/>
        </w:rPr>
      </w:pPr>
    </w:p>
    <w:p>
      <w:pPr>
        <w:spacing w:line="620" w:lineRule="exact"/>
      </w:pPr>
    </w:p>
    <w:p>
      <w:pPr>
        <w:pStyle w:val="3"/>
        <w:spacing w:line="620" w:lineRule="exact"/>
        <w:rPr>
          <w:rFonts w:hint="default"/>
          <w:sz w:val="32"/>
          <w:szCs w:val="32"/>
        </w:rPr>
      </w:pPr>
    </w:p>
    <w:p>
      <w:pPr>
        <w:pStyle w:val="3"/>
        <w:spacing w:line="620" w:lineRule="exact"/>
        <w:rPr>
          <w:rFonts w:hint="default"/>
          <w:sz w:val="32"/>
          <w:szCs w:val="32"/>
        </w:rPr>
      </w:pPr>
    </w:p>
    <w:p>
      <w:pPr>
        <w:pStyle w:val="3"/>
        <w:spacing w:line="620" w:lineRule="exact"/>
        <w:jc w:val="center"/>
        <w:rPr>
          <w:rFonts w:hint="default" w:ascii="楷体" w:hAnsi="楷体" w:eastAsia="楷体"/>
          <w:sz w:val="32"/>
          <w:szCs w:val="32"/>
        </w:rPr>
      </w:pPr>
      <w:r>
        <w:rPr>
          <w:rFonts w:ascii="楷体" w:hAnsi="楷体" w:eastAsia="楷体"/>
          <w:sz w:val="32"/>
          <w:szCs w:val="32"/>
        </w:rPr>
        <w:t>淄川区交通运输局</w:t>
      </w:r>
    </w:p>
    <w:p>
      <w:pPr>
        <w:spacing w:line="620" w:lineRule="exact"/>
        <w:jc w:val="center"/>
        <w:rPr>
          <w:rFonts w:ascii="楷体" w:hAnsi="楷体" w:eastAsia="楷体"/>
        </w:rPr>
      </w:pPr>
      <w:r>
        <w:rPr>
          <w:rFonts w:hint="eastAsia" w:ascii="楷体" w:hAnsi="楷体" w:eastAsia="楷体"/>
        </w:rPr>
        <w:t>202</w:t>
      </w:r>
      <w:r>
        <w:rPr>
          <w:rFonts w:hint="eastAsia" w:ascii="楷体" w:hAnsi="楷体" w:eastAsia="楷体"/>
          <w:lang w:val="en-US" w:eastAsia="zh-CN"/>
        </w:rPr>
        <w:t>4</w:t>
      </w:r>
      <w:bookmarkStart w:id="26" w:name="_GoBack"/>
      <w:bookmarkEnd w:id="26"/>
      <w:r>
        <w:rPr>
          <w:rFonts w:hint="eastAsia" w:ascii="楷体" w:hAnsi="楷体" w:eastAsia="楷体"/>
        </w:rPr>
        <w:t>年3月</w:t>
      </w:r>
    </w:p>
    <w:p>
      <w:pPr>
        <w:spacing w:line="620" w:lineRule="exact"/>
        <w:rPr>
          <w:rFonts w:ascii="楷体" w:hAnsi="楷体" w:eastAsia="楷体"/>
        </w:rPr>
      </w:pPr>
      <w:r>
        <w:rPr>
          <w:rFonts w:hint="eastAsia" w:ascii="楷体" w:hAnsi="楷体" w:eastAsia="楷体"/>
        </w:rPr>
        <w:br w:type="page"/>
      </w:r>
    </w:p>
    <w:p>
      <w:pPr>
        <w:pStyle w:val="2"/>
        <w:spacing w:line="620" w:lineRule="exact"/>
      </w:pPr>
    </w:p>
    <w:sdt>
      <w:sdtPr>
        <w:rPr>
          <w:rFonts w:ascii="宋体" w:hAnsi="宋体" w:eastAsia="宋体"/>
        </w:rPr>
        <w:id w:val="147479176"/>
        <w15:color w:val="DBDBDB"/>
        <w:docPartObj>
          <w:docPartGallery w:val="Table of Contents"/>
          <w:docPartUnique/>
        </w:docPartObj>
      </w:sdtPr>
      <w:sdtEndPr>
        <w:rPr>
          <w:rFonts w:hint="eastAsia" w:ascii="Calibri" w:hAnsi="Calibri" w:eastAsia="仿宋_GB2312"/>
        </w:rPr>
      </w:sdtEndPr>
      <w:sdtContent>
        <w:p>
          <w:pPr>
            <w:spacing w:line="620" w:lineRule="exact"/>
            <w:jc w:val="center"/>
            <w:rPr>
              <w:rFonts w:ascii="宋体" w:hAnsi="宋体" w:eastAsia="宋体"/>
              <w:b/>
              <w:bCs/>
            </w:rPr>
          </w:pPr>
          <w:r>
            <w:rPr>
              <w:rFonts w:ascii="宋体" w:hAnsi="宋体" w:eastAsia="宋体"/>
              <w:b/>
              <w:bCs/>
            </w:rPr>
            <w:t>目录</w:t>
          </w:r>
        </w:p>
        <w:p>
          <w:pPr>
            <w:pStyle w:val="2"/>
            <w:spacing w:line="620" w:lineRule="exact"/>
          </w:pPr>
        </w:p>
        <w:p>
          <w:pPr>
            <w:pStyle w:val="2"/>
            <w:tabs>
              <w:tab w:val="right" w:leader="dot" w:pos="8730"/>
            </w:tabs>
            <w:spacing w:line="620" w:lineRule="exact"/>
          </w:pPr>
          <w:r>
            <w:rPr>
              <w:rFonts w:hint="eastAsia"/>
            </w:rPr>
            <w:fldChar w:fldCharType="begin"/>
          </w:r>
          <w:r>
            <w:rPr>
              <w:rFonts w:hint="eastAsia"/>
            </w:rPr>
            <w:instrText xml:space="preserve">TOC \o "1-1" \h \u </w:instrText>
          </w:r>
          <w:r>
            <w:rPr>
              <w:rFonts w:hint="eastAsia"/>
            </w:rPr>
            <w:fldChar w:fldCharType="separate"/>
          </w:r>
          <w:r>
            <w:fldChar w:fldCharType="begin"/>
          </w:r>
          <w:r>
            <w:instrText xml:space="preserve"> HYPERLINK \l "_Toc25476" </w:instrText>
          </w:r>
          <w:r>
            <w:fldChar w:fldCharType="separate"/>
          </w:r>
          <w:r>
            <w:rPr>
              <w:rFonts w:hint="eastAsia" w:ascii="黑体" w:hAnsi="黑体" w:eastAsia="黑体" w:cs="黑体"/>
            </w:rPr>
            <w:t>第一章 对公路建设市场的监督检查工作指引</w:t>
          </w:r>
          <w:r>
            <w:tab/>
          </w:r>
          <w:r>
            <w:fldChar w:fldCharType="begin"/>
          </w:r>
          <w:r>
            <w:instrText xml:space="preserve"> PAGEREF _Toc25476 \h </w:instrText>
          </w:r>
          <w:r>
            <w:fldChar w:fldCharType="separate"/>
          </w:r>
          <w:r>
            <w:t>- 3 -</w:t>
          </w:r>
          <w:r>
            <w:fldChar w:fldCharType="end"/>
          </w:r>
          <w:r>
            <w:fldChar w:fldCharType="end"/>
          </w:r>
        </w:p>
        <w:p>
          <w:pPr>
            <w:pStyle w:val="2"/>
            <w:tabs>
              <w:tab w:val="right" w:leader="dot" w:pos="8730"/>
            </w:tabs>
            <w:spacing w:line="620" w:lineRule="exact"/>
          </w:pPr>
          <w:r>
            <w:fldChar w:fldCharType="begin"/>
          </w:r>
          <w:r>
            <w:instrText xml:space="preserve"> HYPERLINK \l "_Toc22854" </w:instrText>
          </w:r>
          <w:r>
            <w:fldChar w:fldCharType="separate"/>
          </w:r>
          <w:r>
            <w:rPr>
              <w:rFonts w:hint="eastAsia" w:ascii="黑体" w:hAnsi="黑体" w:eastAsia="黑体" w:cs="黑体"/>
            </w:rPr>
            <w:t>第二章  对车辆维修企业经营情况的监督检查工作指引</w:t>
          </w:r>
          <w:r>
            <w:tab/>
          </w:r>
          <w:r>
            <w:fldChar w:fldCharType="begin"/>
          </w:r>
          <w:r>
            <w:instrText xml:space="preserve"> PAGEREF _Toc22854 \h </w:instrText>
          </w:r>
          <w:r>
            <w:fldChar w:fldCharType="separate"/>
          </w:r>
          <w:r>
            <w:t xml:space="preserve">- </w:t>
          </w:r>
          <w:r>
            <w:rPr>
              <w:rFonts w:hint="eastAsia"/>
            </w:rPr>
            <w:t>4</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"_Toc30336" </w:instrText>
          </w:r>
          <w:r>
            <w:fldChar w:fldCharType="separate"/>
          </w:r>
          <w:r>
            <w:rPr>
              <w:rFonts w:hint="eastAsia" w:ascii="黑体" w:hAnsi="黑体" w:eastAsia="黑体" w:cs="黑体"/>
            </w:rPr>
            <w:t>第三章  对网约车平台公司的监督检查工作指引</w:t>
          </w:r>
          <w:r>
            <w:tab/>
          </w:r>
          <w:r>
            <w:fldChar w:fldCharType="begin"/>
          </w:r>
          <w:r>
            <w:instrText xml:space="preserve"> PAGEREF _Toc30336 \h </w:instrText>
          </w:r>
          <w:r>
            <w:fldChar w:fldCharType="separate"/>
          </w:r>
          <w:r>
            <w:t xml:space="preserve">- </w:t>
          </w:r>
          <w:r>
            <w:rPr>
              <w:rFonts w:hint="eastAsia"/>
            </w:rPr>
            <w:t>5</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"_Toc21117" </w:instrText>
          </w:r>
          <w:r>
            <w:fldChar w:fldCharType="separate"/>
          </w:r>
          <w:r>
            <w:rPr>
              <w:rFonts w:hint="eastAsia" w:ascii="黑体" w:hAnsi="黑体" w:eastAsia="黑体" w:cs="黑体"/>
            </w:rPr>
            <w:t>第四章 对城市公共汽电车客运企业（含线路经营）的监督检查工作指引</w:t>
          </w:r>
          <w:r>
            <w:tab/>
          </w:r>
          <w:r>
            <w:fldChar w:fldCharType="begin"/>
          </w:r>
          <w:r>
            <w:instrText xml:space="preserve"> PAGEREF _Toc21117 \h </w:instrText>
          </w:r>
          <w:r>
            <w:fldChar w:fldCharType="separate"/>
          </w:r>
          <w:r>
            <w:t xml:space="preserve">- </w:t>
          </w:r>
          <w:r>
            <w:rPr>
              <w:rFonts w:hint="eastAsia"/>
            </w:rPr>
            <w:t>6</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"_Toc22010" </w:instrText>
          </w:r>
          <w:r>
            <w:fldChar w:fldCharType="separate"/>
          </w:r>
          <w:r>
            <w:rPr>
              <w:rFonts w:hint="eastAsia" w:ascii="黑体" w:hAnsi="黑体" w:eastAsia="黑体" w:cs="黑体"/>
            </w:rPr>
            <w:t>第五章 对巡游出租汽车客运经营企业的监督检查工作指引</w:t>
          </w:r>
          <w:r>
            <w:tab/>
          </w:r>
          <w:r>
            <w:fldChar w:fldCharType="begin"/>
          </w:r>
          <w:r>
            <w:instrText xml:space="preserve"> PAGEREF _Toc22010 \h </w:instrText>
          </w:r>
          <w:r>
            <w:fldChar w:fldCharType="separate"/>
          </w:r>
          <w:r>
            <w:t xml:space="preserve">- </w:t>
          </w:r>
          <w:r>
            <w:rPr>
              <w:rFonts w:hint="eastAsia"/>
            </w:rPr>
            <w:t>7</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"_Toc11740" </w:instrText>
          </w:r>
          <w:r>
            <w:fldChar w:fldCharType="separate"/>
          </w:r>
          <w:r>
            <w:rPr>
              <w:rFonts w:hint="eastAsia" w:ascii="黑体" w:hAnsi="黑体" w:eastAsia="黑体" w:cs="黑体"/>
            </w:rPr>
            <w:t>第六章 对涉路工程建设项目的监督检查工作指引</w:t>
          </w:r>
          <w:r>
            <w:tab/>
          </w:r>
          <w:r>
            <w:fldChar w:fldCharType="begin"/>
          </w:r>
          <w:r>
            <w:instrText xml:space="preserve"> PAGEREF _Toc11740 \h </w:instrText>
          </w:r>
          <w:r>
            <w:fldChar w:fldCharType="separate"/>
          </w:r>
          <w:r>
            <w:t xml:space="preserve">- </w:t>
          </w:r>
          <w:r>
            <w:rPr>
              <w:rFonts w:hint="eastAsia"/>
            </w:rPr>
            <w:t>8</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"_Toc17691" </w:instrText>
          </w:r>
          <w:r>
            <w:fldChar w:fldCharType="separate"/>
          </w:r>
          <w:r>
            <w:rPr>
              <w:rFonts w:hint="eastAsia" w:ascii="黑体" w:hAnsi="黑体" w:eastAsia="黑体" w:cs="黑体"/>
            </w:rPr>
            <w:t>第七章 对非公路标志设置的监督检查工作指引</w:t>
          </w:r>
          <w:r>
            <w:tab/>
          </w:r>
          <w:r>
            <w:fldChar w:fldCharType="begin"/>
          </w:r>
          <w:r>
            <w:instrText xml:space="preserve"> PAGEREF _Toc17691 \h </w:instrText>
          </w:r>
          <w:r>
            <w:fldChar w:fldCharType="separate"/>
          </w:r>
          <w:r>
            <w:t xml:space="preserve">- </w:t>
          </w:r>
          <w:r>
            <w:rPr>
              <w:rFonts w:hint="eastAsia"/>
            </w:rPr>
            <w:t>9</w:t>
          </w:r>
          <w:r>
            <w:t xml:space="preserve"> -</w:t>
          </w:r>
          <w:r>
            <w:fldChar w:fldCharType="end"/>
          </w:r>
          <w:r>
            <w:fldChar w:fldCharType="end"/>
          </w:r>
          <w:r>
            <w:fldChar w:fldCharType="begin"/>
          </w:r>
          <w:r>
            <w:instrText xml:space="preserve"> HYPERLINK \l "_Toc28305" </w:instrText>
          </w:r>
          <w:r>
            <w:fldChar w:fldCharType="separate"/>
          </w:r>
          <w:r>
            <w:tab/>
          </w:r>
          <w:r>
            <w:fldChar w:fldCharType="end"/>
          </w:r>
        </w:p>
        <w:p>
          <w:pPr>
            <w:pStyle w:val="2"/>
            <w:tabs>
              <w:tab w:val="right" w:leader="dot" w:pos="8730"/>
            </w:tabs>
            <w:spacing w:line="620" w:lineRule="exact"/>
          </w:pPr>
          <w:r>
            <w:fldChar w:fldCharType="begin"/>
          </w:r>
          <w:r>
            <w:instrText xml:space="preserve"> HYPERLINK \l "_Toc24895" </w:instrText>
          </w:r>
          <w:r>
            <w:fldChar w:fldCharType="separate"/>
          </w:r>
          <w:r>
            <w:rPr>
              <w:rFonts w:hint="eastAsia" w:ascii="黑体" w:hAnsi="黑体" w:eastAsia="黑体" w:cs="黑体"/>
            </w:rPr>
            <w:t>第八章 对道路危险货物运输企业的监督检查工作指引</w:t>
          </w:r>
          <w:r>
            <w:tab/>
          </w:r>
          <w:r>
            <w:fldChar w:fldCharType="begin"/>
          </w:r>
          <w:r>
            <w:instrText xml:space="preserve"> PAGEREF _Toc24895 \h </w:instrText>
          </w:r>
          <w:r>
            <w:fldChar w:fldCharType="separate"/>
          </w:r>
          <w:r>
            <w:t>- 1</w:t>
          </w:r>
          <w:r>
            <w:rPr>
              <w:rFonts w:hint="eastAsia"/>
            </w:rPr>
            <w:t>0</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"_Toc19239" </w:instrText>
          </w:r>
          <w:r>
            <w:fldChar w:fldCharType="separate"/>
          </w:r>
          <w:r>
            <w:rPr>
              <w:rFonts w:hint="eastAsia" w:ascii="黑体" w:hAnsi="黑体" w:eastAsia="黑体" w:cs="黑体"/>
            </w:rPr>
            <w:t>第九章 对旅游包车客运企业的监督检查工作指引</w:t>
          </w:r>
          <w:r>
            <w:tab/>
          </w:r>
          <w:r>
            <w:fldChar w:fldCharType="begin"/>
          </w:r>
          <w:r>
            <w:instrText xml:space="preserve"> PAGEREF _Toc19239 \h </w:instrText>
          </w:r>
          <w:r>
            <w:fldChar w:fldCharType="separate"/>
          </w:r>
          <w:r>
            <w:t xml:space="preserve">- </w:t>
          </w:r>
          <w:r>
            <w:rPr>
              <w:rFonts w:hint="eastAsia"/>
            </w:rPr>
            <w:t>12</w:t>
          </w:r>
          <w:r>
            <w:t xml:space="preserve"> -</w:t>
          </w:r>
          <w:r>
            <w:fldChar w:fldCharType="end"/>
          </w:r>
          <w:r>
            <w:fldChar w:fldCharType="end"/>
          </w:r>
        </w:p>
        <w:p>
          <w:pPr>
            <w:pStyle w:val="2"/>
            <w:tabs>
              <w:tab w:val="right" w:leader="dot" w:pos="8730"/>
            </w:tabs>
            <w:spacing w:line="620" w:lineRule="exact"/>
          </w:pPr>
          <w:r>
            <w:fldChar w:fldCharType="begin"/>
          </w:r>
          <w:r>
            <w:instrText xml:space="preserve"> HYPERLINK \l "_Toc19554" </w:instrText>
          </w:r>
          <w:r>
            <w:fldChar w:fldCharType="separate"/>
          </w:r>
          <w:r>
            <w:rPr>
              <w:rFonts w:hint="eastAsia" w:ascii="黑体" w:hAnsi="黑体" w:eastAsia="黑体" w:cs="黑体"/>
            </w:rPr>
            <w:t>第十章 对道路普通货物运输企业的监督检查工作指引</w:t>
          </w:r>
          <w:r>
            <w:tab/>
          </w:r>
          <w:r>
            <w:fldChar w:fldCharType="begin"/>
          </w:r>
          <w:r>
            <w:instrText xml:space="preserve"> PAGEREF _Toc19554 \h </w:instrText>
          </w:r>
          <w:r>
            <w:fldChar w:fldCharType="separate"/>
          </w:r>
          <w:r>
            <w:t xml:space="preserve">- </w:t>
          </w:r>
          <w:r>
            <w:rPr>
              <w:rFonts w:hint="eastAsia"/>
            </w:rPr>
            <w:t>1</w:t>
          </w:r>
          <w:r>
            <w:t>3 -</w:t>
          </w:r>
          <w:r>
            <w:fldChar w:fldCharType="end"/>
          </w:r>
          <w:r>
            <w:fldChar w:fldCharType="end"/>
          </w:r>
        </w:p>
        <w:p>
          <w:pPr>
            <w:pStyle w:val="2"/>
            <w:spacing w:line="620" w:lineRule="exact"/>
          </w:pPr>
          <w:r>
            <w:rPr>
              <w:rFonts w:hint="eastAsia"/>
            </w:rPr>
            <w:fldChar w:fldCharType="end"/>
          </w:r>
        </w:p>
      </w:sdtContent>
    </w:sdt>
    <w:p>
      <w:pPr>
        <w:spacing w:line="620" w:lineRule="exact"/>
        <w:rPr>
          <w:rFonts w:ascii="黑体" w:hAnsi="黑体" w:eastAsia="黑体" w:cs="黑体"/>
          <w:color w:val="000000"/>
        </w:rPr>
      </w:pPr>
      <w:r>
        <w:rPr>
          <w:rFonts w:hint="eastAsia" w:ascii="黑体" w:hAnsi="黑体" w:eastAsia="黑体" w:cs="黑体"/>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0" w:name="_Toc25476"/>
    </w:p>
    <w:p>
      <w:pPr>
        <w:pStyle w:val="9"/>
        <w:spacing w:before="280" w:after="280" w:line="620" w:lineRule="exact"/>
        <w:ind w:firstLine="0"/>
        <w:jc w:val="center"/>
        <w:outlineLvl w:val="0"/>
        <w:rPr>
          <w:rFonts w:ascii="黑体" w:hAnsi="黑体" w:eastAsia="黑体" w:cs="黑体"/>
          <w:color w:val="000000"/>
          <w:sz w:val="32"/>
          <w:szCs w:val="32"/>
          <w:lang w:val="en-US"/>
        </w:rPr>
      </w:pPr>
      <w:r>
        <w:rPr>
          <w:rFonts w:hint="eastAsia" w:ascii="黑体" w:hAnsi="黑体" w:eastAsia="黑体" w:cs="黑体"/>
          <w:color w:val="000000"/>
          <w:sz w:val="32"/>
          <w:szCs w:val="32"/>
          <w:lang w:val="en-US"/>
        </w:rPr>
        <w:t>第一章 对公路建设市场的监督检查工作指引</w:t>
      </w:r>
      <w:bookmarkEnd w:id="0"/>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公路建设市场督查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（一）检查内容</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1.项目基本情况。包括工程建设标准、规模、投资、工期、开竣（交）工时间以及目前实施情况等。</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2.项目基本建设程序执行情况。包括工程可行性研究报告批复、项目核准立项、设计文件审查、施工许可、质量监督等基本建设程序落实等情况。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3.项目招标投标情况。包括招标程序、招标文件（资格预审文件）编制、专家抽取、评标、定标、合同签订、投诉举报受理与处理等情况。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5.项目参与单位合同履约情况。包括人员履约、工程变更、工期控制、工程质量、安全生产、环境保护和廉政等情况。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6.农民工工资支付保障工作情况。包括有关制度落实，农民工工资支付监管平台使用等情况。</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7.项目资金落实和支付情况。</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stheme="minorEastAsia"/>
          <w:color w:val="000000"/>
          <w:sz w:val="32"/>
          <w:szCs w:val="32"/>
          <w:lang w:val="en-US"/>
        </w:rPr>
        <w:t>8.项目建设存在的问题和整改落实情况。</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（二）检查方法</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采取现场检查方式，组织检查人员、业内专家，从重点公路工程项目中，根据信用分级分类监管相关要求，按照不低于10%的比例从“双随机、一公开”平台中随机抽取建设项目。对公路水运建设市场监管和市场主体行为，主要包括：建设程序、市场准入、招标投标、合同履约、农民工工资保障等方面法规制度的执行和监管情况，信用体系建设和应用情况，以及其他相关工作情况进行检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bookmarkStart w:id="1" w:name="bookmark3651"/>
      <w:r>
        <w:rPr>
          <w:rFonts w:hint="eastAsia" w:ascii="仿宋" w:hAnsi="仿宋" w:eastAsia="仿宋" w:cs="楷体_GB2312"/>
          <w:color w:val="000000"/>
          <w:sz w:val="32"/>
          <w:szCs w:val="32"/>
          <w:lang w:val="en-US"/>
        </w:rPr>
        <w:t>1</w:t>
      </w:r>
      <w:bookmarkEnd w:id="1"/>
      <w:r>
        <w:rPr>
          <w:rFonts w:hint="eastAsia" w:ascii="仿宋" w:hAnsi="仿宋" w:eastAsia="仿宋" w:cs="楷体_GB2312"/>
          <w:color w:val="000000"/>
          <w:sz w:val="32"/>
          <w:szCs w:val="32"/>
          <w:lang w:val="en-US"/>
        </w:rPr>
        <w:t>、《中华人民共和国建筑法》（中华人民共和国主席令第29号）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bookmarkStart w:id="2" w:name="bookmark3652"/>
      <w:r>
        <w:rPr>
          <w:rFonts w:hint="eastAsia" w:ascii="仿宋" w:hAnsi="仿宋" w:eastAsia="仿宋" w:cs="楷体_GB2312"/>
          <w:color w:val="000000"/>
          <w:sz w:val="32"/>
          <w:szCs w:val="32"/>
          <w:lang w:val="en-US"/>
        </w:rPr>
        <w:t>2</w:t>
      </w:r>
      <w:bookmarkEnd w:id="2"/>
      <w:r>
        <w:rPr>
          <w:rFonts w:hint="eastAsia" w:ascii="仿宋" w:hAnsi="仿宋" w:eastAsia="仿宋" w:cs="楷体_GB2312"/>
          <w:color w:val="000000"/>
          <w:sz w:val="32"/>
          <w:szCs w:val="32"/>
          <w:lang w:val="en-US"/>
        </w:rPr>
        <w:t>、《中华人民共和国公路法》（2017年修订）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3、《中华人民共和国港口法》（2015年修订）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4、《中华人民共和国航道法》（2015年施行）</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5、《中华人民共和国招标投标法》（2017年修订）</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6、《建设工程质量管理条例》（中华人民共和国国务院令第279号）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7、《保障农民工工资支付条例》（中华人民共和国国务院令第724号）</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第四十三条相关行业工程建设主管部门应当依法规范本领域建设市场秩序，对违法发包、 转包、违法分包、挂靠等行为进行查处，并对导致拖欠农民工工资的违法行为及时予以制止、纠正。</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8、《公路建设市场管理办法》（2015年修订）</w:t>
      </w:r>
    </w:p>
    <w:p>
      <w:pPr>
        <w:pStyle w:val="9"/>
        <w:snapToGrid w:val="0"/>
        <w:spacing w:line="620" w:lineRule="exact"/>
        <w:ind w:firstLine="640" w:firstLineChars="200"/>
        <w:textAlignment w:val="baseline"/>
        <w:rPr>
          <w:rFonts w:ascii="仿宋" w:hAnsi="仿宋" w:eastAsia="仿宋" w:cstheme="minorEastAsia"/>
          <w:color w:val="000000"/>
          <w:sz w:val="32"/>
          <w:szCs w:val="32"/>
          <w:lang w:val="en-US"/>
        </w:rPr>
      </w:pPr>
      <w:r>
        <w:rPr>
          <w:rFonts w:hint="eastAsia" w:ascii="仿宋" w:hAnsi="仿宋" w:eastAsia="仿宋" w:cstheme="minorEastAsia"/>
          <w:color w:val="000000"/>
          <w:sz w:val="32"/>
          <w:szCs w:val="32"/>
          <w:lang w:val="en-US"/>
        </w:rPr>
        <w:t>第九条省级以下地方人民政府交通运输主管部门负责本行政区域内公路建设市场的监督管理工作，主要职责是:（三）对本行政区域内公路建设市场进行监督检查；</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9、《公路建设市场督查工作规则》（交公路发〔2015〕59号）</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10、《公路工程施工分包管理办法》（2021年修订）</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p>
    <w:p>
      <w:pPr>
        <w:spacing w:line="620" w:lineRule="exact"/>
        <w:rPr>
          <w:rFonts w:ascii="楷体_GB2312" w:hAnsi="楷体_GB2312" w:eastAsia="楷体_GB2312" w:cs="楷体_GB2312"/>
          <w:color w:val="000000"/>
        </w:rPr>
      </w:pPr>
      <w:r>
        <w:rPr>
          <w:rFonts w:hint="eastAsia" w:ascii="楷体_GB2312" w:hAnsi="楷体_GB2312" w:eastAsia="楷体_GB2312" w:cs="楷体_GB2312"/>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3" w:name="_Toc22854"/>
      <w:r>
        <w:rPr>
          <w:rFonts w:hint="eastAsia" w:ascii="黑体" w:hAnsi="黑体" w:eastAsia="黑体" w:cs="黑体"/>
          <w:color w:val="000000"/>
          <w:sz w:val="32"/>
          <w:szCs w:val="32"/>
          <w:lang w:val="en-US"/>
        </w:rPr>
        <w:t>第二章  对车辆维修企业经营情况的监督检查工作指引</w:t>
      </w:r>
      <w:bookmarkEnd w:id="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bookmarkStart w:id="4" w:name="bookmark3318"/>
      <w:r>
        <w:rPr>
          <w:rFonts w:hint="eastAsia" w:ascii="仿宋" w:hAnsi="仿宋" w:eastAsia="仿宋"/>
          <w:color w:val="000000"/>
          <w:sz w:val="32"/>
          <w:szCs w:val="32"/>
          <w:lang w:val="en-US"/>
        </w:rPr>
        <w:t>车辆维修企业经营情况的检查</w:t>
      </w:r>
    </w:p>
    <w:bookmarkEnd w:id="4"/>
    <w:p>
      <w:pPr>
        <w:pStyle w:val="9"/>
        <w:snapToGrid w:val="0"/>
        <w:spacing w:line="620" w:lineRule="exact"/>
        <w:ind w:firstLine="640" w:firstLineChars="200"/>
        <w:textAlignment w:val="baseline"/>
        <w:rPr>
          <w:rFonts w:eastAsia="宋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（―）企业经营条件的检查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人员条件：查看人员技术档案、人员培训记录、证书等是否符合《汽车维修业开业条件》（GB/T16739 - 2014）关于人员条件的要求。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设施、设备条件：查看现场、设施、设备是否符合《汽车维修业开业条件》（GB/T16739 - 2014）关于设施、设备条件的要求。</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5" w:name="bookmark3319"/>
      <w:r>
        <w:rPr>
          <w:rFonts w:hint="eastAsia" w:ascii="楷体" w:hAnsi="楷体" w:eastAsia="楷体" w:cs="楷体_GB2312"/>
          <w:color w:val="000000"/>
          <w:sz w:val="32"/>
          <w:szCs w:val="32"/>
          <w:lang w:val="en-US"/>
        </w:rPr>
        <w:t>（</w:t>
      </w:r>
      <w:bookmarkEnd w:id="5"/>
      <w:r>
        <w:rPr>
          <w:rFonts w:hint="eastAsia" w:ascii="楷体" w:hAnsi="楷体" w:eastAsia="楷体" w:cs="楷体_GB2312"/>
          <w:color w:val="000000"/>
          <w:sz w:val="32"/>
          <w:szCs w:val="32"/>
          <w:lang w:val="en-US"/>
        </w:rPr>
        <w:t>二）安全生产条件的检查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查看制度文本、预案文件，现场是否存在安全隐患。</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6" w:name="bookmark3320"/>
      <w:r>
        <w:rPr>
          <w:rFonts w:hint="eastAsia" w:ascii="楷体" w:hAnsi="楷体" w:eastAsia="楷体" w:cs="楷体_GB2312"/>
          <w:color w:val="000000"/>
          <w:sz w:val="32"/>
          <w:szCs w:val="32"/>
          <w:lang w:val="en-US"/>
        </w:rPr>
        <w:t>（</w:t>
      </w:r>
      <w:bookmarkEnd w:id="6"/>
      <w:r>
        <w:rPr>
          <w:rFonts w:hint="eastAsia" w:ascii="楷体" w:hAnsi="楷体" w:eastAsia="楷体" w:cs="楷体_GB2312"/>
          <w:color w:val="000000"/>
          <w:sz w:val="32"/>
          <w:szCs w:val="32"/>
          <w:lang w:val="en-US"/>
        </w:rPr>
        <w:t>三）维修质量管理情况的检查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查看相关文件、资料、质量保证体系文件、车辆维修档案、现场公示以及相关制度、记录是否齐全。</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7" w:name="bookmark3321"/>
      <w:r>
        <w:rPr>
          <w:rFonts w:hint="eastAsia" w:ascii="楷体" w:hAnsi="楷体" w:eastAsia="楷体" w:cs="楷体_GB2312"/>
          <w:color w:val="000000"/>
          <w:sz w:val="32"/>
          <w:szCs w:val="32"/>
          <w:lang w:val="en-US"/>
        </w:rPr>
        <w:t>（</w:t>
      </w:r>
      <w:bookmarkEnd w:id="7"/>
      <w:r>
        <w:rPr>
          <w:rFonts w:hint="eastAsia" w:ascii="楷体" w:hAnsi="楷体" w:eastAsia="楷体" w:cs="楷体_GB2312"/>
          <w:color w:val="000000"/>
          <w:sz w:val="32"/>
          <w:szCs w:val="32"/>
          <w:lang w:val="en-US"/>
        </w:rPr>
        <w:t>四）服务质量管理情况的检查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查看各种制度、档案、记录是否齐全。</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bookmarkStart w:id="8" w:name="bookmark3322"/>
      <w:r>
        <w:rPr>
          <w:rFonts w:hint="eastAsia" w:ascii="楷体" w:hAnsi="楷体" w:eastAsia="楷体" w:cs="楷体_GB2312"/>
          <w:color w:val="000000"/>
          <w:sz w:val="32"/>
          <w:szCs w:val="32"/>
          <w:lang w:val="en-US"/>
        </w:rPr>
        <w:t>（</w:t>
      </w:r>
      <w:bookmarkEnd w:id="8"/>
      <w:r>
        <w:rPr>
          <w:rFonts w:hint="eastAsia" w:ascii="楷体" w:hAnsi="楷体" w:eastAsia="楷体" w:cs="楷体_GB2312"/>
          <w:color w:val="000000"/>
          <w:sz w:val="32"/>
          <w:szCs w:val="32"/>
          <w:lang w:val="en-US"/>
        </w:rPr>
        <w:t>五）应急预案的检查</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查看预案文本是否建立。</w:t>
      </w:r>
    </w:p>
    <w:p>
      <w:pPr>
        <w:pStyle w:val="9"/>
        <w:snapToGrid w:val="0"/>
        <w:spacing w:line="620" w:lineRule="exact"/>
        <w:ind w:firstLine="640" w:firstLineChars="200"/>
        <w:textAlignment w:val="baseline"/>
        <w:rPr>
          <w:rFonts w:eastAsia="宋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（一）《中华人民共和国道路运输条例》（2019年3月2日修正版，国务院709号令）</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（二）《汽车维修业开业条件》（GB/T16739 - 2014）。</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bookmarkStart w:id="9" w:name="bookmark3447"/>
      <w:bookmarkStart w:id="10" w:name="bookmark3451"/>
      <w:r>
        <w:rPr>
          <w:rFonts w:hint="eastAsia" w:ascii="楷体_GB2312" w:hAnsi="楷体_GB2312" w:eastAsia="楷体_GB2312" w:cs="楷体_GB2312"/>
          <w:color w:val="000000"/>
          <w:sz w:val="32"/>
          <w:szCs w:val="32"/>
          <w:lang w:val="en-US"/>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1" w:name="_Toc30336"/>
      <w:r>
        <w:rPr>
          <w:rFonts w:hint="eastAsia" w:ascii="黑体" w:hAnsi="黑体" w:eastAsia="黑体" w:cs="黑体"/>
          <w:color w:val="000000"/>
          <w:sz w:val="32"/>
          <w:szCs w:val="32"/>
          <w:lang w:val="en-US"/>
        </w:rPr>
        <w:t>第三章  对网约车平台公司的监督检查工作指引</w:t>
      </w:r>
      <w:bookmarkEnd w:id="11"/>
    </w:p>
    <w:bookmarkEnd w:id="9"/>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网约车平台公司的检查</w:t>
      </w:r>
    </w:p>
    <w:bookmarkEnd w:id="10"/>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（一）对网约车平台公司、车辆和驾驶员的资质审查与证件核发。</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（二）依法调取查阅管辖范围内网约车平台公司登记、运营和交易等相关数据信息</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（一）《网络预约出租汽车经营服务管理暂行办法》（交通运输部、工业和信息化部、公安部、商务部、工商总局、质检总局、国家网信办令2016年第60号）</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（二）《网络预约出租汽车经营服务管理暂行办法》</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第二十九条 出租汽车行政主管部门应当建设和完善政府监管平台，实现与网约车平台信息共享。共享信息应当包括车辆和驾驶员基本信息、服务质量以及乘客评价信息等。出租汽车行政主管部门应当加强对网约车市场监管，加强对网约车平台公司、车辆和驾驶员的资质审查与证件核发管理。出租汽车行政主管部门应当定期组织开展网约车服务质量测评，并及时向社会公布本地区网约车平台公司基本信息、服务质量测评结果、乘客投诉处理情况等信息。出租汽车行政主管、公安等部门有权根据管理需要依法调取查阅管辖范围内网约车平台公司的登记、运营和交易等相关数据信息。</w:t>
      </w:r>
    </w:p>
    <w:p>
      <w:pPr>
        <w:spacing w:line="620" w:lineRule="exact"/>
      </w:pPr>
      <w: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2" w:name="_Toc21117"/>
      <w:r>
        <w:rPr>
          <w:rFonts w:hint="eastAsia" w:ascii="黑体" w:hAnsi="黑体" w:eastAsia="黑体" w:cs="黑体"/>
          <w:color w:val="000000"/>
          <w:sz w:val="32"/>
          <w:szCs w:val="32"/>
          <w:lang w:val="en-US"/>
        </w:rPr>
        <w:t>第四章 对城市公共汽电车客运（含线路经营）的监督检查工作指引</w:t>
      </w:r>
      <w:bookmarkEnd w:id="12"/>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城市公共汽电车客运经营企业（含线路经营）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（一）投入运营车辆是否与许可一致、与其经营业务相适应并经检测合格。</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（二）驾驶人员是否符合规定条件，是否遵守道路运输安全生产制度和操作规程。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（三）运营线路是否符合规定。</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（四）安全生产、运营服务情况。</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（五）法律、行政法规规定的其他要求落实情况。</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（一）《山东省道路运输条例》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第四十九条第二款 交通运输行政主管部门应当加强对道路运输市场准入条件的审查，依法对道路运输站（场）安全生产、道路运输车辆技术状况、道路运输从业人员资格进行监督管理，提高道路运输安全生产水平。</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（二）《城市公共汽车和电车客运管理规定》</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第五十五条 城市公共交通主管部门应当建立“双随机”抽查制度，并定期对城市公共汽电车客运进行监督检查，维护正常的运营秩序，保障运营服务质量。</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pPr>
        <w:pStyle w:val="9"/>
        <w:snapToGrid w:val="0"/>
        <w:spacing w:line="620" w:lineRule="exact"/>
        <w:ind w:firstLine="640" w:firstLineChars="200"/>
        <w:textAlignment w:val="baseline"/>
        <w:rPr>
          <w:sz w:val="32"/>
          <w:szCs w:val="32"/>
        </w:rPr>
      </w:pPr>
      <w:r>
        <w:rPr>
          <w:rFonts w:hint="eastAsia"/>
          <w:sz w:val="32"/>
          <w:szCs w:val="32"/>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3" w:name="_Toc22010"/>
      <w:r>
        <w:rPr>
          <w:rFonts w:hint="eastAsia" w:ascii="黑体" w:hAnsi="黑体" w:eastAsia="黑体" w:cs="黑体"/>
          <w:color w:val="000000"/>
          <w:sz w:val="32"/>
          <w:szCs w:val="32"/>
          <w:lang w:val="en-US"/>
        </w:rPr>
        <w:t>第五章 对巡游出租汽车客运经营企业的监督检查工作指引</w:t>
      </w:r>
      <w:bookmarkEnd w:id="1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color w:val="000000"/>
          <w:sz w:val="32"/>
          <w:szCs w:val="32"/>
          <w:lang w:val="en-US"/>
        </w:rPr>
      </w:pPr>
      <w:r>
        <w:rPr>
          <w:rFonts w:hint="eastAsia"/>
          <w:color w:val="000000"/>
          <w:sz w:val="32"/>
          <w:szCs w:val="32"/>
          <w:lang w:val="en-US"/>
        </w:rPr>
        <w:t>巡游出租汽车客运企业监督检查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（一）投入运营资金、车辆及配套设施、设备是否符合许可条件。</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（二）驾驶人员是否符合许可条件。</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（三）运营区域是否符合要求。</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（四）安全生产、运营服务情况。</w:t>
      </w:r>
    </w:p>
    <w:p>
      <w:pPr>
        <w:pStyle w:val="9"/>
        <w:snapToGrid w:val="0"/>
        <w:spacing w:line="620" w:lineRule="exact"/>
        <w:ind w:firstLine="640" w:firstLineChars="200"/>
        <w:textAlignment w:val="baseline"/>
        <w:rPr>
          <w:rFonts w:ascii="仿宋" w:hAnsi="仿宋" w:eastAsia="仿宋" w:cs="楷体_GB2312"/>
          <w:color w:val="000000"/>
          <w:sz w:val="32"/>
          <w:szCs w:val="32"/>
          <w:lang w:val="en-US"/>
        </w:rPr>
      </w:pPr>
      <w:r>
        <w:rPr>
          <w:rFonts w:hint="eastAsia" w:ascii="仿宋" w:hAnsi="仿宋" w:eastAsia="仿宋" w:cs="楷体_GB2312"/>
          <w:color w:val="000000"/>
          <w:sz w:val="32"/>
          <w:szCs w:val="32"/>
          <w:lang w:val="en-US"/>
        </w:rPr>
        <w:t>（五）法律、行政法规规定的其他要求落实情况。</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w:t>
      </w:r>
      <w:r>
        <w:rPr>
          <w:rFonts w:ascii="楷体" w:hAnsi="楷体" w:eastAsia="楷体" w:cs="楷体_GB2312"/>
          <w:color w:val="000000"/>
          <w:sz w:val="32"/>
          <w:szCs w:val="32"/>
          <w:lang w:val="en-US"/>
        </w:rPr>
        <w:t>《山东省道路运输条例》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ascii="仿宋" w:hAnsi="仿宋" w:eastAsia="仿宋"/>
          <w:color w:val="000000"/>
          <w:sz w:val="32"/>
          <w:szCs w:val="32"/>
          <w:lang w:val="en-US"/>
        </w:rPr>
        <w:t>第四十九条</w:t>
      </w:r>
      <w:r>
        <w:rPr>
          <w:rFonts w:hint="eastAsia" w:ascii="仿宋" w:hAnsi="仿宋" w:eastAsia="仿宋"/>
          <w:color w:val="000000"/>
          <w:sz w:val="32"/>
          <w:szCs w:val="32"/>
          <w:lang w:val="en-US"/>
        </w:rPr>
        <w:t xml:space="preserve"> 交通运输行政主管部门应当加强对道路运输市场准入条件的审查，依法对道路运输站（场）安全生产、道路运输车辆技术状况、道路运输从业人员资格进行监督管理，提高道路运输安全生产水平。</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w:t>
      </w:r>
      <w:r>
        <w:rPr>
          <w:rFonts w:ascii="楷体" w:hAnsi="楷体" w:eastAsia="楷体" w:cs="楷体_GB2312"/>
          <w:color w:val="000000"/>
          <w:sz w:val="32"/>
          <w:szCs w:val="32"/>
          <w:lang w:val="en-US"/>
        </w:rPr>
        <w:t>《巡游出租汽车经营服务管理规定》第四十条、第四十一条</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第四十一条 县级以上地方人民政府出租汽车行政主管部门应当对巡游出租汽车经营者履行经营协议情况进行监督检查，并按照规定对巡游出租汽车经营者和驾驶员进行服务质量信誉考核。</w:t>
      </w:r>
    </w:p>
    <w:p>
      <w:pPr>
        <w:spacing w:line="620" w:lineRule="exact"/>
      </w:pPr>
      <w:r>
        <w:rPr>
          <w:rFonts w:hint="eastAsia"/>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4" w:name="_Toc11740"/>
      <w:bookmarkStart w:id="15" w:name="bookmark3634"/>
      <w:r>
        <w:rPr>
          <w:rFonts w:hint="eastAsia" w:ascii="黑体" w:hAnsi="黑体" w:eastAsia="黑体" w:cs="黑体"/>
          <w:color w:val="000000"/>
          <w:sz w:val="32"/>
          <w:szCs w:val="32"/>
          <w:lang w:val="en-US"/>
        </w:rPr>
        <w:t>第六章 对涉路工程建设项目的监督检查工作指引</w:t>
      </w:r>
      <w:bookmarkEnd w:id="14"/>
    </w:p>
    <w:bookmarkEnd w:id="15"/>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bookmarkStart w:id="16" w:name="bookmark3638"/>
      <w:r>
        <w:rPr>
          <w:rFonts w:hint="eastAsia" w:ascii="仿宋" w:hAnsi="仿宋" w:eastAsia="仿宋"/>
          <w:color w:val="000000"/>
          <w:sz w:val="32"/>
          <w:szCs w:val="32"/>
          <w:lang w:val="en-US"/>
        </w:rPr>
        <w:t>对区级许可的涉路工程建设项目的抽查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w:t>
      </w:r>
      <w:bookmarkEnd w:id="16"/>
      <w:r>
        <w:rPr>
          <w:rFonts w:hint="eastAsia" w:eastAsia="黑体" w:cs="黑体"/>
          <w:color w:val="000000"/>
          <w:sz w:val="32"/>
          <w:szCs w:val="32"/>
          <w:lang w:val="en-US"/>
        </w:rPr>
        <w:t>、抽查实施办法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依据法律、法规、规章规定，通过随机方式，从相应市场主体名录库中随机抽取检查对象，从检查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三、抽查内容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四、监督检查依据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（一）《中华人民共和国公路法》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 xml:space="preserve">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 建筑控制区范围经县级以上地方人民政府依照前款规定划定后，由县级以上地方人民政府交通主管部门设置标桩、界桩。任何单位和个人不得损坏、擅自挪动该标桩、界桩。</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（二）《公路安全保护条例》</w:t>
      </w:r>
      <w:r>
        <w:rPr>
          <w:rFonts w:hint="eastAsia" w:ascii="楷体_GB2312" w:hAnsi="楷体_GB2312" w:eastAsia="楷体_GB2312" w:cs="楷体_GB2312"/>
          <w:color w:val="000000"/>
          <w:sz w:val="32"/>
          <w:szCs w:val="32"/>
          <w:lang w:val="en-US"/>
        </w:rPr>
        <w:t>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（三）《山东省公路路政条例》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第九条 进行下列涉路工程建设，建设单位应当向公路路政管理部门提出许可申请：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p>
    <w:p>
      <w:pPr>
        <w:spacing w:line="620" w:lineRule="exact"/>
        <w:rPr>
          <w:color w:val="000000"/>
        </w:rPr>
      </w:pPr>
      <w:r>
        <w:rPr>
          <w:rFonts w:hint="eastAsia"/>
          <w:color w:val="000000"/>
        </w:rPr>
        <w:br w:type="page"/>
      </w:r>
    </w:p>
    <w:p>
      <w:pPr>
        <w:pStyle w:val="9"/>
        <w:snapToGrid w:val="0"/>
        <w:spacing w:line="620" w:lineRule="exact"/>
        <w:ind w:firstLine="640" w:firstLineChars="200"/>
        <w:textAlignment w:val="baseline"/>
        <w:rPr>
          <w:color w:val="000000"/>
          <w:sz w:val="32"/>
          <w:szCs w:val="32"/>
          <w:lang w:val="en-US"/>
        </w:rPr>
      </w:pP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17" w:name="bookmark3564"/>
      <w:bookmarkStart w:id="18" w:name="bookmark3563"/>
      <w:bookmarkStart w:id="19" w:name="bookmark3562"/>
      <w:bookmarkStart w:id="20" w:name="_Toc17691"/>
      <w:r>
        <w:rPr>
          <w:rFonts w:hint="eastAsia" w:ascii="黑体" w:hAnsi="黑体" w:eastAsia="黑体" w:cs="黑体"/>
          <w:color w:val="000000"/>
          <w:sz w:val="32"/>
          <w:szCs w:val="32"/>
          <w:lang w:val="en-US"/>
        </w:rPr>
        <w:t xml:space="preserve">第七章 </w:t>
      </w:r>
      <w:bookmarkEnd w:id="17"/>
      <w:bookmarkEnd w:id="18"/>
      <w:bookmarkEnd w:id="19"/>
      <w:r>
        <w:rPr>
          <w:rFonts w:hint="eastAsia" w:ascii="黑体" w:hAnsi="黑体" w:eastAsia="黑体" w:cs="黑体"/>
          <w:color w:val="000000"/>
          <w:sz w:val="32"/>
          <w:szCs w:val="32"/>
          <w:lang w:val="en-US"/>
        </w:rPr>
        <w:t>对非公路标志设置的监督检查工作指引</w:t>
      </w:r>
      <w:bookmarkEnd w:id="20"/>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对区级许可的利用跨越公路设施及在公路用地范围内设置的非公路标志抽查</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二、抽查实施办法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依据法律、法规、规章规定，通过随机方式，从相应市场主体名录库中随机抽取检查对象，从检查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三、抽查内容</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否取得非公路标志许可后施工；施工位置 、施工方案 、技术指标等是否与许可的内容一致；因施工造成公路及附属设施损坏的 ，是否按标准及时修复； 交通安全设施设置是否规范、完好； 是否符合保障公路及附属设施质量和安全的要求</w:t>
      </w:r>
      <w:r>
        <w:rPr>
          <w:rFonts w:hint="eastAsia" w:eastAsia="宋体"/>
          <w:color w:val="000000"/>
          <w:sz w:val="32"/>
          <w:szCs w:val="32"/>
          <w:lang w:val="en-US"/>
        </w:rPr>
        <w:t>。</w:t>
      </w:r>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四、监督检查依据</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（一）《中华人民共和国公路法》</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第五十四条</w:t>
      </w:r>
      <w:r>
        <w:rPr>
          <w:rFonts w:ascii="Calibri" w:hAnsi="Calibri" w:eastAsia="仿宋" w:cs="Calibri"/>
          <w:color w:val="000000"/>
          <w:sz w:val="32"/>
          <w:szCs w:val="32"/>
          <w:lang w:val="en-US"/>
        </w:rPr>
        <w:t> </w:t>
      </w:r>
      <w:r>
        <w:rPr>
          <w:rFonts w:ascii="仿宋" w:hAnsi="仿宋" w:eastAsia="仿宋"/>
          <w:color w:val="000000"/>
          <w:sz w:val="32"/>
          <w:szCs w:val="32"/>
          <w:lang w:val="en-US"/>
        </w:rPr>
        <w:t>任何单位和个人未经县级以上地方人民政府交通主管部门批准，不得在公路用地范围内设置公路标志以外的其他标志。</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（二）《公路安全保护条例》　</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（三）《山东省公路路政条例》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第十一条 利用跨越公路桥梁等设施悬挂或者在公路用地范围内设置非公路标志的，应当依法向交通运输主管部门申请许可，并提交施工图设计、施工方案及相应的技术评价报告。</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设置非公路标志，应当符合非公路标志设置规划、技术标准和公路安全畅通的要求。</w:t>
      </w:r>
    </w:p>
    <w:p>
      <w:pPr>
        <w:pStyle w:val="9"/>
        <w:snapToGrid w:val="0"/>
        <w:spacing w:line="620" w:lineRule="exact"/>
        <w:ind w:firstLine="640" w:firstLineChars="200"/>
        <w:textAlignment w:val="baseline"/>
        <w:rPr>
          <w:rFonts w:eastAsia="宋体"/>
          <w:color w:val="000000"/>
          <w:sz w:val="32"/>
          <w:szCs w:val="32"/>
          <w:lang w:val="en-US"/>
        </w:rPr>
      </w:pPr>
      <w:r>
        <w:rPr>
          <w:rFonts w:hint="eastAsia" w:eastAsia="宋体"/>
          <w:color w:val="000000"/>
          <w:sz w:val="32"/>
          <w:szCs w:val="32"/>
          <w:lang w:val="en-US"/>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1" w:name="_Toc24895"/>
      <w:r>
        <w:rPr>
          <w:rFonts w:hint="eastAsia" w:ascii="黑体" w:hAnsi="黑体" w:eastAsia="黑体" w:cs="黑体"/>
          <w:color w:val="000000"/>
          <w:sz w:val="32"/>
          <w:szCs w:val="32"/>
          <w:lang w:val="en-US"/>
        </w:rPr>
        <w:t>第八章 对</w:t>
      </w:r>
      <w:bookmarkStart w:id="22" w:name="_Hlk88895549"/>
      <w:r>
        <w:rPr>
          <w:rFonts w:hint="eastAsia" w:ascii="黑体" w:hAnsi="黑体" w:eastAsia="黑体" w:cs="黑体"/>
          <w:color w:val="000000"/>
          <w:sz w:val="32"/>
          <w:szCs w:val="32"/>
          <w:lang w:val="en-US"/>
        </w:rPr>
        <w:t>道路危险货物运输企业的监督检查</w:t>
      </w:r>
      <w:bookmarkEnd w:id="22"/>
      <w:r>
        <w:rPr>
          <w:rFonts w:hint="eastAsia" w:ascii="黑体" w:hAnsi="黑体" w:eastAsia="黑体" w:cs="黑体"/>
          <w:color w:val="000000"/>
          <w:sz w:val="32"/>
          <w:szCs w:val="32"/>
          <w:lang w:val="en-US"/>
        </w:rPr>
        <w:t>工作指引</w:t>
      </w:r>
      <w:bookmarkEnd w:id="21"/>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道路危险货物运输企业检查</w:t>
      </w:r>
    </w:p>
    <w:p>
      <w:pPr>
        <w:pStyle w:val="9"/>
        <w:snapToGrid w:val="0"/>
        <w:spacing w:line="620" w:lineRule="exact"/>
        <w:ind w:firstLine="640" w:firstLineChars="200"/>
        <w:textAlignment w:val="baseline"/>
        <w:rPr>
          <w:sz w:val="32"/>
          <w:szCs w:val="32"/>
          <w:lang w:val="en-US"/>
        </w:rPr>
      </w:pPr>
      <w:r>
        <w:rPr>
          <w:rFonts w:hint="eastAsia" w:eastAsia="黑体" w:cs="黑体"/>
          <w:sz w:val="32"/>
          <w:szCs w:val="32"/>
          <w:lang w:val="en-US"/>
        </w:rPr>
        <w:t>二、检查内容和方法</w:t>
      </w:r>
    </w:p>
    <w:p>
      <w:pPr>
        <w:pStyle w:val="9"/>
        <w:snapToGrid w:val="0"/>
        <w:spacing w:line="620" w:lineRule="exact"/>
        <w:ind w:firstLine="640" w:firstLineChars="200"/>
        <w:jc w:val="both"/>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（一）营业执照、道路运输经营许可证规范使用情况的检查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检查是否将营业执照、道路运输经营许可证置于营业场所醒目位置；营业执照、道路运输经营许可证是否存在涂改行为；是否存在超出经营期限、经营范围开展经营活动的行为。</w:t>
      </w:r>
    </w:p>
    <w:p>
      <w:pPr>
        <w:pStyle w:val="9"/>
        <w:snapToGrid w:val="0"/>
        <w:spacing w:line="620" w:lineRule="exact"/>
        <w:ind w:firstLine="640" w:firstLineChars="200"/>
        <w:jc w:val="both"/>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（二）有符合下列要求的从业人员和安全管理人员</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1.专用车辆的驾驶人员取得相应机动车驾驶证，年龄不超过60周岁。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2.从事道路危险货物运输的驾驶人员、装卸管理人员、押运人员应当经所在地设区的市级 人民政府交通运输主管部门考试合格，并取得相应的从业资格证；从事剧毒化学品、爆炸品道路 运输的驾驶人员、装卸管理人员、押运人员，应当经考试合格，取得注明为“剧毒化学品运输”或者“爆炸品运输”类别的从业资格证。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3.企业应当配备专职安全管理人员。</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（三）车辆条件</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1.自有专用车辆（挂车除外）5辆以上；运输剧毒化学品、爆炸品的，自有专用车辆（挂 车除外）10辆以上。</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2.专用车辆技术性能符合国家标准《营运车辆综合性能要求和检验方法》（GB18565）的要 求；技术等级达到行业标准《营运车辆技术等级划分和评定要求》（JT/T198）规定的一级技术 等级。</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3.专用车辆外廓尺寸、轴荷和质量符合国家标准《道路车辆外廓尺寸、轴荷和质量限值》 （GB1589）的要求。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4.专用车辆燃料消耗量符合行业标准《营运货车燃料消耗量限值及测量方法》（JT719）的 要求。</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5.配备有效的通讯工具。</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6.专用车辆应当安装具有行驶记录功能的卫星定位装置。</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7.运输剧毒化学品、爆炸品、易制爆危险化学品的，应当配备罐式、厢式专用车辆或者压 力容器等专用容器。</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8.罐式专用车辆的罐体应当经质量检验部门检验合格，且罐体载货后总质量与专用车辆核 定载质量相匹配。运输爆炸品、强腐蚀性危险货物的罐式专用车辆的罐体容积不得超过20立方米，运输剧毒化学品的罐式专用车辆的罐体容积不得超过10立方米，但符合国家有关标准的罐式集装箱除外。</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9.运输剧毒化学品、爆炸品、强腐蚀性危险货物的非罐式专用车辆，核定载质量不得超过10吨，但符合国家有关标准的集装箱运输专用车辆除外。</w:t>
      </w:r>
    </w:p>
    <w:p>
      <w:pPr>
        <w:pStyle w:val="9"/>
        <w:snapToGrid w:val="0"/>
        <w:spacing w:line="620" w:lineRule="exact"/>
        <w:ind w:firstLine="640" w:firstLineChars="200"/>
        <w:textAlignment w:val="baseline"/>
        <w:rPr>
          <w:rFonts w:eastAsia="宋体"/>
          <w:color w:val="000000"/>
          <w:sz w:val="32"/>
          <w:szCs w:val="32"/>
          <w:lang w:val="en-US"/>
        </w:rPr>
      </w:pPr>
      <w:r>
        <w:rPr>
          <w:rFonts w:hint="eastAsia" w:ascii="仿宋" w:hAnsi="仿宋" w:eastAsia="仿宋"/>
          <w:color w:val="000000"/>
          <w:sz w:val="32"/>
          <w:szCs w:val="32"/>
          <w:lang w:val="en-US"/>
        </w:rPr>
        <w:t>10.配备与运输的危险货物性质相适应的安全防护、环境保护和消防设施设备。</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（四）有符合下列要求的停车场地</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1.自有或者租借期限为3年以上，且与经营范围、规模相适应的停车场地，停车场地应当位于企业注册地市级行政区域内。</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3.停车场地应当封闭并设立明显标志，不得妨碍居民生活和威胁公共安全。</w:t>
      </w:r>
    </w:p>
    <w:p>
      <w:pPr>
        <w:pStyle w:val="9"/>
        <w:snapToGrid w:val="0"/>
        <w:spacing w:line="620" w:lineRule="exact"/>
        <w:ind w:firstLine="640" w:firstLineChars="200"/>
        <w:textAlignment w:val="baseline"/>
        <w:rPr>
          <w:rFonts w:ascii="楷体" w:hAnsi="楷体" w:eastAsia="楷体" w:cs="楷体_GB2312"/>
          <w:sz w:val="32"/>
          <w:szCs w:val="32"/>
          <w:lang w:val="en-US"/>
        </w:rPr>
      </w:pPr>
      <w:r>
        <w:rPr>
          <w:rFonts w:hint="eastAsia" w:ascii="楷体" w:hAnsi="楷体" w:eastAsia="楷体" w:cs="楷体_GB2312"/>
          <w:sz w:val="32"/>
          <w:szCs w:val="32"/>
          <w:lang w:val="en-US"/>
        </w:rPr>
        <w:t>（五）有健全的安全生产管理制度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1.企业主要负责人、安全管理部门负责人、专职安全管理人员安全生产责任制度。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2.从业人员安全生产责任制度。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3.安全生产监督检查制度。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4.安全生产教育培训制度。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5.从业人员、专用车辆、设备及停车场地安全管理制度。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6.应急救援预案制度。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7.安全生产作业规程。</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8.安全生产考核与奖惩制度。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9.安全事故报告、统计与处理制度。</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textAlignment w:val="baseline"/>
        <w:rPr>
          <w:sz w:val="32"/>
          <w:szCs w:val="32"/>
          <w:lang w:val="en-US"/>
        </w:rPr>
      </w:pPr>
      <w:r>
        <w:rPr>
          <w:rFonts w:hint="eastAsia" w:eastAsia="黑体" w:cs="黑体"/>
          <w:sz w:val="32"/>
          <w:szCs w:val="32"/>
          <w:lang w:val="en-US"/>
        </w:rPr>
        <w:t>三、检查依据</w:t>
      </w:r>
    </w:p>
    <w:p>
      <w:pPr>
        <w:pStyle w:val="9"/>
        <w:snapToGrid w:val="0"/>
        <w:spacing w:line="620" w:lineRule="exact"/>
        <w:ind w:firstLine="640" w:firstLineChars="200"/>
        <w:textAlignment w:val="baseline"/>
        <w:rPr>
          <w:rFonts w:ascii="仿宋" w:hAnsi="仿宋" w:eastAsia="仿宋" w:cs="楷体_GB2312"/>
          <w:sz w:val="32"/>
          <w:szCs w:val="32"/>
          <w:lang w:val="en-US"/>
        </w:rPr>
      </w:pPr>
      <w:r>
        <w:rPr>
          <w:rFonts w:hint="eastAsia" w:ascii="仿宋" w:hAnsi="仿宋" w:eastAsia="仿宋" w:cs="楷体_GB2312"/>
          <w:sz w:val="32"/>
          <w:szCs w:val="32"/>
          <w:lang w:val="en-US"/>
        </w:rPr>
        <w:t>《道路危险货物运输管理规定》（中华人民共和国交通运输部令 2019年第42号）</w:t>
      </w:r>
    </w:p>
    <w:p>
      <w:pPr>
        <w:pStyle w:val="9"/>
        <w:snapToGrid w:val="0"/>
        <w:spacing w:line="620" w:lineRule="exact"/>
        <w:ind w:firstLine="640" w:firstLineChars="200"/>
        <w:textAlignment w:val="baseline"/>
        <w:rPr>
          <w:rFonts w:ascii="仿宋" w:hAnsi="仿宋" w:eastAsia="仿宋"/>
          <w:color w:val="000000"/>
          <w:sz w:val="32"/>
          <w:szCs w:val="32"/>
          <w:lang w:val="en-US"/>
        </w:rPr>
      </w:pPr>
    </w:p>
    <w:p>
      <w:pPr>
        <w:spacing w:line="620" w:lineRule="exact"/>
      </w:pPr>
      <w:r>
        <w:rPr>
          <w:rFonts w:hint="eastAsia"/>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3" w:name="_Toc19239"/>
      <w:r>
        <w:rPr>
          <w:rFonts w:hint="eastAsia" w:ascii="黑体" w:hAnsi="黑体" w:eastAsia="黑体" w:cs="黑体"/>
          <w:color w:val="000000"/>
          <w:sz w:val="32"/>
          <w:szCs w:val="32"/>
          <w:lang w:val="en-US"/>
        </w:rPr>
        <w:t>第九章 对旅游包车客运企业的监督检查工作指引</w:t>
      </w:r>
      <w:bookmarkEnd w:id="23"/>
    </w:p>
    <w:p>
      <w:pPr>
        <w:pStyle w:val="9"/>
        <w:snapToGrid w:val="0"/>
        <w:spacing w:line="620" w:lineRule="exact"/>
        <w:ind w:firstLine="640" w:firstLineChars="200"/>
        <w:textAlignment w:val="baseline"/>
        <w:rPr>
          <w:rFonts w:eastAsia="黑体" w:cs="黑体"/>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旅游包车客运企业的监督抽查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（―）营业执照、道路运输经营许可证规范使用情况的检查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检查是否将营业执照、道路运输经营许可证置于营业场所醒目位置；营业执照、道路运输经营许可证是否存在涂改行为；是否存在超出经营期限、经营范围开展经营活动的行为。</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（二）人员条件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是否建立驾驶人员管理档案，已聘用或者拟聘用驾驶人员的驾驶证和从业资格证及其复印件，公安部门出具的3年内无重大以上交通责任事故的证明；是否建立驾驶人员岗前培训、安全培训教育情况。</w:t>
      </w:r>
    </w:p>
    <w:p>
      <w:pPr>
        <w:pStyle w:val="9"/>
        <w:snapToGrid w:val="0"/>
        <w:spacing w:line="620" w:lineRule="exact"/>
        <w:ind w:firstLine="640" w:firstLineChars="200"/>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（三）车辆条件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从事包车客运的客车，其类型等级应当达到中级以上。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经营省际包车客运的经营者，应当自有中高级营运客车20辆以上。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经营省内包车客运的经营者，应当自有营运客车10辆以上。</w:t>
      </w:r>
    </w:p>
    <w:p>
      <w:pPr>
        <w:pStyle w:val="9"/>
        <w:snapToGrid w:val="0"/>
        <w:spacing w:line="620" w:lineRule="exact"/>
        <w:ind w:firstLine="640" w:firstLineChars="200"/>
        <w:textAlignment w:val="baseline"/>
        <w:rPr>
          <w:rFonts w:ascii="楷体_GB2312" w:hAnsi="楷体_GB2312" w:eastAsia="楷体_GB2312" w:cs="楷体_GB2312"/>
          <w:color w:val="000000"/>
          <w:sz w:val="32"/>
          <w:szCs w:val="32"/>
          <w:lang w:val="en-US"/>
        </w:rPr>
      </w:pPr>
      <w:r>
        <w:rPr>
          <w:rFonts w:hint="eastAsia" w:ascii="楷体" w:hAnsi="楷体" w:eastAsia="楷体" w:cs="楷体_GB2312"/>
          <w:color w:val="000000"/>
          <w:sz w:val="32"/>
          <w:szCs w:val="32"/>
          <w:lang w:val="en-US"/>
        </w:rPr>
        <w:t>（四）安全生产管理制度</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（一）《中华人民共和国道路运输条例》（2019年国务院令第709号）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（二）交通运输部《道路旅客运输及客运站管理规定》（中华人民共和国交通运输部令2020年第17号）》</w:t>
      </w:r>
    </w:p>
    <w:p>
      <w:pPr>
        <w:spacing w:line="620" w:lineRule="exact"/>
        <w:rPr>
          <w:color w:val="000000"/>
        </w:rPr>
      </w:pPr>
      <w:r>
        <w:rPr>
          <w:rFonts w:hint="eastAsia"/>
          <w:color w:val="000000"/>
        </w:rPr>
        <w:br w:type="page"/>
      </w:r>
    </w:p>
    <w:p>
      <w:pPr>
        <w:pStyle w:val="9"/>
        <w:spacing w:before="280" w:after="280" w:line="620" w:lineRule="exact"/>
        <w:ind w:firstLine="0"/>
        <w:jc w:val="center"/>
        <w:outlineLvl w:val="0"/>
        <w:rPr>
          <w:rFonts w:ascii="黑体" w:hAnsi="黑体" w:eastAsia="黑体" w:cs="黑体"/>
          <w:color w:val="000000"/>
          <w:sz w:val="32"/>
          <w:szCs w:val="32"/>
          <w:lang w:val="en-US"/>
        </w:rPr>
      </w:pPr>
      <w:bookmarkStart w:id="24" w:name="_Toc19554"/>
      <w:bookmarkStart w:id="25" w:name="_Hlk88895608"/>
      <w:r>
        <w:rPr>
          <w:rFonts w:hint="eastAsia" w:ascii="黑体" w:hAnsi="黑体" w:eastAsia="黑体" w:cs="黑体"/>
          <w:color w:val="000000"/>
          <w:sz w:val="32"/>
          <w:szCs w:val="32"/>
          <w:lang w:val="en-US"/>
        </w:rPr>
        <w:t>第十章 对道路普通货物运输企业的监督检查工作指引</w:t>
      </w:r>
      <w:bookmarkEnd w:id="24"/>
      <w:bookmarkEnd w:id="25"/>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一、抽查事项</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对道路普通货物运输企业的检查</w:t>
      </w:r>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二、检查内容和方法</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（一）营业执照（登记证）规范使用情况的检查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检查是否将营业执照置于住所或者营业场所醒目位置，营业执照是否存在涂改行为。</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（二）有符合下列要求的从业人员</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1.取得与驾驶车辆相适应的机动车驾驶证，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2.年龄不超过60周岁。</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3.经设区的市级道路运输管理机构对有关道路货物运输法规、机动车维修和货物及装载保管基本知识考试合格，并取得从业资格证。</w:t>
      </w:r>
    </w:p>
    <w:p>
      <w:pPr>
        <w:pStyle w:val="9"/>
        <w:snapToGrid w:val="0"/>
        <w:spacing w:line="620" w:lineRule="exact"/>
        <w:ind w:firstLine="640" w:firstLineChars="200"/>
        <w:jc w:val="both"/>
        <w:textAlignment w:val="baseline"/>
        <w:rPr>
          <w:rFonts w:ascii="楷体" w:hAnsi="楷体" w:eastAsia="楷体" w:cs="楷体_GB2312"/>
          <w:color w:val="000000"/>
          <w:sz w:val="32"/>
          <w:szCs w:val="32"/>
          <w:lang w:val="en-US"/>
        </w:rPr>
      </w:pPr>
      <w:r>
        <w:rPr>
          <w:rFonts w:hint="eastAsia" w:ascii="楷体" w:hAnsi="楷体" w:eastAsia="楷体" w:cs="楷体_GB2312"/>
          <w:color w:val="000000"/>
          <w:sz w:val="32"/>
          <w:szCs w:val="32"/>
          <w:lang w:val="en-US"/>
        </w:rPr>
        <w:t>（三）车辆条件</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1.车辆技术要求应当符合《道路运输车辆技术管理规定》有关规定。</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2.车辆其他要求：</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（1）从事大型物件运输经营的，应当具有与所运输大型物件相适应的超重型车组；</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（2）从事冷藏保鲜、罐式容器等专用运输的，应当具有与运输货物相适应的专用容器、设备、设施，并固定在专用车辆上；</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（3）从事集装箱运输的，车辆还应当有固定集装箱的转锁装置。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检查方式：现场检查</w:t>
      </w:r>
    </w:p>
    <w:p>
      <w:pPr>
        <w:pStyle w:val="9"/>
        <w:snapToGrid w:val="0"/>
        <w:spacing w:line="620" w:lineRule="exact"/>
        <w:ind w:firstLine="640" w:firstLineChars="200"/>
        <w:jc w:val="both"/>
        <w:textAlignment w:val="baseline"/>
        <w:rPr>
          <w:color w:val="000000"/>
          <w:sz w:val="32"/>
          <w:szCs w:val="32"/>
          <w:lang w:val="en-US"/>
        </w:rPr>
      </w:pPr>
      <w:r>
        <w:rPr>
          <w:rFonts w:hint="eastAsia" w:eastAsia="黑体" w:cs="黑体"/>
          <w:color w:val="000000"/>
          <w:sz w:val="32"/>
          <w:szCs w:val="32"/>
          <w:lang w:val="en-US"/>
        </w:rPr>
        <w:t>三、检查依据</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（一）《中华人民共和国道路运输条例》（2019年国务院令第709号）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第五十八条 道路运输管理机构的工作人员应当严格按照职责权限和程序进行监督检查，不得乱设卡、乱收费、乱罚款。</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道路运输管理机构的工作人员应当重点在道路运输及相关业务经营场所、客货集散地进行监督检查。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道路运输管理机构的工作人员在公路路口进行监督检查时，不得随意拦截正常行驶的道路运 输车辆。</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（二）《道路货物运输及站场管理规定》（交通运输部令2019年第17号）</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r>
        <w:rPr>
          <w:rFonts w:hint="eastAsia" w:ascii="仿宋" w:hAnsi="仿宋" w:eastAsia="仿宋"/>
          <w:color w:val="000000"/>
          <w:sz w:val="32"/>
          <w:szCs w:val="32"/>
          <w:lang w:val="en-US"/>
        </w:rPr>
        <w:t>第四十八条道路运输管理机构应当加强对道路货物运输经营和货运站经营活动的监督检查。道路运输管理机构工作人员应当严格按照职责权限和法定程序进行监督检查。</w:t>
      </w:r>
    </w:p>
    <w:p>
      <w:pPr>
        <w:pStyle w:val="9"/>
        <w:snapToGrid w:val="0"/>
        <w:spacing w:line="620" w:lineRule="exact"/>
        <w:ind w:firstLine="640" w:firstLineChars="200"/>
        <w:jc w:val="both"/>
        <w:textAlignment w:val="baseline"/>
        <w:rPr>
          <w:rFonts w:ascii="仿宋" w:hAnsi="仿宋" w:eastAsia="仿宋"/>
          <w:color w:val="000000"/>
          <w:sz w:val="32"/>
          <w:szCs w:val="32"/>
          <w:lang w:val="en-US"/>
        </w:rPr>
      </w:pPr>
    </w:p>
    <w:sectPr>
      <w:footerReference r:id="rId3" w:type="default"/>
      <w:pgSz w:w="11906" w:h="16838"/>
      <w:pgMar w:top="1588" w:right="1588" w:bottom="1588" w:left="1588" w:header="851" w:footer="992" w:gutter="0"/>
      <w:pgNumType w:fmt="numberInDash" w:start="1"/>
      <w:cols w:space="720" w:num="1"/>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- 1 -</w:t>
    </w:r>
    <w:r>
      <w:rPr>
        <w:rStyle w:val="8"/>
        <w:rFonts w:ascii="宋体" w:hAnsi="宋体" w:eastAsia="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5MTRjMmZhZGNkYzIyODc3NTlmMDZkOGE4MmRjOTcifQ=="/>
  </w:docVars>
  <w:rsids>
    <w:rsidRoot w:val="00745251"/>
    <w:rsid w:val="003E64C1"/>
    <w:rsid w:val="004750E9"/>
    <w:rsid w:val="00745251"/>
    <w:rsid w:val="007C438D"/>
    <w:rsid w:val="00DF0080"/>
    <w:rsid w:val="00EB45E0"/>
    <w:rsid w:val="00F45D6C"/>
    <w:rsid w:val="00FF2B2E"/>
    <w:rsid w:val="01226984"/>
    <w:rsid w:val="047D2E89"/>
    <w:rsid w:val="0CE3333F"/>
    <w:rsid w:val="0E785A7A"/>
    <w:rsid w:val="18F109F3"/>
    <w:rsid w:val="20532727"/>
    <w:rsid w:val="383E1AFC"/>
    <w:rsid w:val="461A6804"/>
    <w:rsid w:val="468F0ACD"/>
    <w:rsid w:val="4C854555"/>
    <w:rsid w:val="4D6C55A5"/>
    <w:rsid w:val="54B50332"/>
    <w:rsid w:val="5BC04FF3"/>
    <w:rsid w:val="5EB218B6"/>
    <w:rsid w:val="6ADA4D56"/>
    <w:rsid w:val="6F703837"/>
    <w:rsid w:val="7A95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autoRedefine/>
    <w:qFormat/>
    <w:uiPriority w:val="0"/>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26</Pages>
  <Words>7983</Words>
  <Characters>8165</Characters>
  <Lines>64</Lines>
  <Paragraphs>18</Paragraphs>
  <TotalTime>45</TotalTime>
  <ScaleCrop>false</ScaleCrop>
  <LinksUpToDate>false</LinksUpToDate>
  <CharactersWithSpaces>8284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2022-02-16T02:28:00Z</dcterms:created>
  <dc:creator>Administrator.PC-20200930LMHJ</dc:creator>
  <cp:lastModifiedBy>dell</cp:lastModifiedBy>
  <dcterms:modified xsi:type="dcterms:W3CDTF">2024-03-29T06:20:47Z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C721DDBB357C482885E73F444CB4BEE7</vt:lpwstr>
  </property>
</Properties>
</file>