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6B63C">
      <w:pPr>
        <w:pStyle w:val="2"/>
        <w:spacing w:line="620" w:lineRule="exact"/>
      </w:pPr>
    </w:p>
    <w:p w14:paraId="033C6BD3">
      <w:pPr>
        <w:spacing w:line="620" w:lineRule="exact"/>
      </w:pPr>
    </w:p>
    <w:p w14:paraId="2EAEF576">
      <w:pPr>
        <w:pStyle w:val="3"/>
        <w:spacing w:line="620" w:lineRule="exact"/>
        <w:rPr>
          <w:rFonts w:hint="default"/>
          <w:sz w:val="32"/>
          <w:szCs w:val="32"/>
        </w:rPr>
      </w:pPr>
    </w:p>
    <w:p w14:paraId="3C523BA6">
      <w:pPr>
        <w:spacing w:line="620" w:lineRule="exact"/>
      </w:pPr>
    </w:p>
    <w:p w14:paraId="3BCA801C">
      <w:pPr>
        <w:pStyle w:val="3"/>
        <w:spacing w:line="620" w:lineRule="exact"/>
        <w:jc w:val="center"/>
        <w:rPr>
          <w:rFonts w:hint="default" w:ascii="方正小标宋简体" w:hAnsi="方正小标宋简体" w:eastAsia="方正小标宋简体"/>
          <w:b w:val="0"/>
          <w:sz w:val="44"/>
          <w:szCs w:val="44"/>
        </w:rPr>
      </w:pPr>
      <w:r>
        <w:rPr>
          <w:rFonts w:ascii="方正小标宋简体" w:hAnsi="方正小标宋简体" w:eastAsia="方正小标宋简体"/>
          <w:b w:val="0"/>
          <w:sz w:val="44"/>
          <w:szCs w:val="44"/>
        </w:rPr>
        <w:t>淄川区交通运输局“双随机、一公开”</w:t>
      </w:r>
    </w:p>
    <w:p w14:paraId="5E9EA0D4">
      <w:pPr>
        <w:pStyle w:val="3"/>
        <w:spacing w:line="620" w:lineRule="exact"/>
        <w:jc w:val="center"/>
        <w:rPr>
          <w:rFonts w:hint="default" w:ascii="方正小标宋简体" w:hAnsi="方正小标宋简体" w:eastAsia="方正小标宋简体"/>
          <w:b w:val="0"/>
          <w:sz w:val="44"/>
          <w:szCs w:val="44"/>
        </w:rPr>
      </w:pPr>
      <w:r>
        <w:rPr>
          <w:rFonts w:ascii="方正小标宋简体" w:hAnsi="方正小标宋简体" w:eastAsia="方正小标宋简体"/>
          <w:b w:val="0"/>
          <w:sz w:val="44"/>
          <w:szCs w:val="44"/>
        </w:rPr>
        <w:t>抽查工作指引汇编</w:t>
      </w:r>
    </w:p>
    <w:p w14:paraId="2F42F832">
      <w:pPr>
        <w:spacing w:line="620" w:lineRule="exact"/>
      </w:pPr>
    </w:p>
    <w:p w14:paraId="5B0F625B">
      <w:pPr>
        <w:spacing w:line="620" w:lineRule="exact"/>
      </w:pPr>
    </w:p>
    <w:p w14:paraId="20A01B3F">
      <w:pPr>
        <w:pStyle w:val="3"/>
        <w:spacing w:line="620" w:lineRule="exact"/>
        <w:rPr>
          <w:rFonts w:hint="default"/>
          <w:sz w:val="32"/>
          <w:szCs w:val="32"/>
        </w:rPr>
      </w:pPr>
    </w:p>
    <w:p w14:paraId="150E2663">
      <w:pPr>
        <w:spacing w:line="620" w:lineRule="exact"/>
      </w:pPr>
    </w:p>
    <w:p w14:paraId="6E074361">
      <w:pPr>
        <w:pStyle w:val="3"/>
        <w:spacing w:line="620" w:lineRule="exact"/>
        <w:rPr>
          <w:rFonts w:hint="default"/>
          <w:sz w:val="32"/>
          <w:szCs w:val="32"/>
        </w:rPr>
      </w:pPr>
    </w:p>
    <w:p w14:paraId="4F6242CD">
      <w:pPr>
        <w:pStyle w:val="3"/>
        <w:spacing w:line="620" w:lineRule="exact"/>
        <w:rPr>
          <w:rFonts w:hint="default"/>
          <w:sz w:val="32"/>
          <w:szCs w:val="32"/>
        </w:rPr>
      </w:pPr>
    </w:p>
    <w:p w14:paraId="77EF277D">
      <w:pPr>
        <w:pStyle w:val="3"/>
        <w:spacing w:line="620" w:lineRule="exact"/>
        <w:jc w:val="center"/>
        <w:rPr>
          <w:rFonts w:hint="default" w:ascii="楷体" w:hAnsi="楷体" w:eastAsia="楷体"/>
          <w:sz w:val="32"/>
          <w:szCs w:val="32"/>
        </w:rPr>
      </w:pPr>
      <w:r>
        <w:rPr>
          <w:rFonts w:ascii="楷体" w:hAnsi="楷体" w:eastAsia="楷体"/>
          <w:sz w:val="32"/>
          <w:szCs w:val="32"/>
        </w:rPr>
        <w:t>淄川区交通运输局</w:t>
      </w:r>
    </w:p>
    <w:p w14:paraId="61281ED9">
      <w:pPr>
        <w:spacing w:line="620" w:lineRule="exact"/>
        <w:jc w:val="center"/>
        <w:rPr>
          <w:rFonts w:ascii="楷体" w:hAnsi="楷体" w:eastAsia="楷体"/>
        </w:rPr>
      </w:pPr>
      <w:r>
        <w:rPr>
          <w:rFonts w:hint="eastAsia" w:ascii="楷体" w:hAnsi="楷体" w:eastAsia="楷体"/>
        </w:rPr>
        <w:t>202</w:t>
      </w:r>
      <w:r>
        <w:rPr>
          <w:rFonts w:hint="eastAsia" w:ascii="楷体" w:hAnsi="楷体" w:eastAsia="楷体"/>
          <w:lang w:val="en-US" w:eastAsia="zh-CN"/>
        </w:rPr>
        <w:t>5</w:t>
      </w:r>
      <w:r>
        <w:rPr>
          <w:rFonts w:hint="eastAsia" w:ascii="楷体" w:hAnsi="楷体" w:eastAsia="楷体"/>
        </w:rPr>
        <w:t>年3月</w:t>
      </w:r>
    </w:p>
    <w:p w14:paraId="53F66940">
      <w:pPr>
        <w:spacing w:line="620" w:lineRule="exact"/>
        <w:rPr>
          <w:rFonts w:ascii="楷体" w:hAnsi="楷体" w:eastAsia="楷体"/>
        </w:rPr>
      </w:pPr>
      <w:r>
        <w:rPr>
          <w:rFonts w:hint="eastAsia" w:ascii="楷体" w:hAnsi="楷体" w:eastAsia="楷体"/>
        </w:rPr>
        <w:br w:type="page"/>
      </w:r>
    </w:p>
    <w:p w14:paraId="564CCFE8">
      <w:pPr>
        <w:pStyle w:val="2"/>
        <w:spacing w:line="620" w:lineRule="exact"/>
      </w:pPr>
    </w:p>
    <w:sdt>
      <w:sdtPr>
        <w:rPr>
          <w:rFonts w:ascii="宋体" w:hAnsi="宋体" w:eastAsia="宋体"/>
        </w:rPr>
        <w:id w:val="147479176"/>
        <w15:color w:val="DBDBDB"/>
        <w:docPartObj>
          <w:docPartGallery w:val="Table of Contents"/>
          <w:docPartUnique/>
        </w:docPartObj>
      </w:sdtPr>
      <w:sdtEndPr>
        <w:rPr>
          <w:rFonts w:hint="eastAsia" w:ascii="Calibri" w:hAnsi="Calibri" w:eastAsia="仿宋_GB2312"/>
        </w:rPr>
      </w:sdtEndPr>
      <w:sdtContent>
        <w:p w14:paraId="5014950D">
          <w:pPr>
            <w:spacing w:line="620" w:lineRule="exact"/>
            <w:jc w:val="center"/>
            <w:rPr>
              <w:rFonts w:ascii="宋体" w:hAnsi="宋体" w:eastAsia="宋体"/>
              <w:b/>
              <w:bCs/>
            </w:rPr>
          </w:pPr>
          <w:r>
            <w:rPr>
              <w:rFonts w:ascii="宋体" w:hAnsi="宋体" w:eastAsia="宋体"/>
              <w:b/>
              <w:bCs/>
            </w:rPr>
            <w:t>目录</w:t>
          </w:r>
        </w:p>
        <w:p w14:paraId="7E699743">
          <w:pPr>
            <w:pStyle w:val="2"/>
            <w:spacing w:line="620" w:lineRule="exact"/>
          </w:pPr>
        </w:p>
        <w:p w14:paraId="22AC51E8">
          <w:pPr>
            <w:pStyle w:val="2"/>
            <w:tabs>
              <w:tab w:val="right" w:leader="dot" w:pos="8730"/>
            </w:tabs>
            <w:spacing w:line="620" w:lineRule="exact"/>
          </w:pPr>
          <w:r>
            <w:rPr>
              <w:rFonts w:hint="eastAsia"/>
            </w:rPr>
            <w:fldChar w:fldCharType="begin"/>
          </w:r>
          <w:r>
            <w:rPr>
              <w:rFonts w:hint="eastAsia"/>
            </w:rPr>
            <w:instrText xml:space="preserve">TOC \o "1-1" \h \u </w:instrText>
          </w:r>
          <w:r>
            <w:rPr>
              <w:rFonts w:hint="eastAsia"/>
            </w:rPr>
            <w:fldChar w:fldCharType="separate"/>
          </w:r>
          <w:r>
            <w:fldChar w:fldCharType="begin"/>
          </w:r>
          <w:r>
            <w:instrText xml:space="preserve"> HYPERLINK \l "_Toc25476" </w:instrText>
          </w:r>
          <w:r>
            <w:fldChar w:fldCharType="separate"/>
          </w:r>
          <w:r>
            <w:rPr>
              <w:rFonts w:hint="eastAsia" w:ascii="黑体" w:hAnsi="黑体" w:eastAsia="黑体" w:cs="黑体"/>
            </w:rPr>
            <w:t>第一章 对公路建设市场的监督检查工作指引</w:t>
          </w:r>
          <w:r>
            <w:tab/>
          </w:r>
          <w:r>
            <w:fldChar w:fldCharType="begin"/>
          </w:r>
          <w:r>
            <w:instrText xml:space="preserve"> PAGEREF _Toc25476 \h </w:instrText>
          </w:r>
          <w:r>
            <w:fldChar w:fldCharType="separate"/>
          </w:r>
          <w:r>
            <w:t>- 3 -</w:t>
          </w:r>
          <w:r>
            <w:fldChar w:fldCharType="end"/>
          </w:r>
          <w:r>
            <w:fldChar w:fldCharType="end"/>
          </w:r>
        </w:p>
        <w:p w14:paraId="018052FE">
          <w:pPr>
            <w:pStyle w:val="2"/>
            <w:tabs>
              <w:tab w:val="right" w:leader="dot" w:pos="8730"/>
            </w:tabs>
            <w:spacing w:line="620" w:lineRule="exact"/>
          </w:pPr>
          <w:r>
            <w:fldChar w:fldCharType="begin"/>
          </w:r>
          <w:r>
            <w:instrText xml:space="preserve"> HYPERLINK \l "_Toc22854" </w:instrText>
          </w:r>
          <w:r>
            <w:fldChar w:fldCharType="separate"/>
          </w:r>
          <w:r>
            <w:rPr>
              <w:rFonts w:hint="eastAsia" w:ascii="黑体" w:hAnsi="黑体" w:eastAsia="黑体" w:cs="黑体"/>
            </w:rPr>
            <w:t>第二章  对车辆维修企业经营情况的监督检查工作指引</w:t>
          </w:r>
          <w:r>
            <w:tab/>
          </w:r>
          <w:r>
            <w:fldChar w:fldCharType="begin"/>
          </w:r>
          <w:r>
            <w:instrText xml:space="preserve"> PAGEREF _Toc22854 \h </w:instrText>
          </w:r>
          <w:r>
            <w:fldChar w:fldCharType="separate"/>
          </w:r>
          <w:r>
            <w:t xml:space="preserve">- </w:t>
          </w:r>
          <w:r>
            <w:rPr>
              <w:rFonts w:hint="eastAsia"/>
            </w:rPr>
            <w:t>4</w:t>
          </w:r>
          <w:r>
            <w:t xml:space="preserve"> -</w:t>
          </w:r>
          <w:r>
            <w:fldChar w:fldCharType="end"/>
          </w:r>
          <w:r>
            <w:fldChar w:fldCharType="end"/>
          </w:r>
        </w:p>
        <w:p w14:paraId="6F8FFC99">
          <w:pPr>
            <w:pStyle w:val="2"/>
            <w:tabs>
              <w:tab w:val="right" w:leader="dot" w:pos="8730"/>
            </w:tabs>
            <w:spacing w:line="620" w:lineRule="exact"/>
          </w:pPr>
          <w:r>
            <w:fldChar w:fldCharType="begin"/>
          </w:r>
          <w:r>
            <w:instrText xml:space="preserve"> HYPERLINK \l "_Toc21117" </w:instrText>
          </w:r>
          <w:r>
            <w:fldChar w:fldCharType="separate"/>
          </w:r>
          <w:r>
            <w:rPr>
              <w:rFonts w:hint="eastAsia" w:ascii="黑体" w:hAnsi="黑体" w:eastAsia="黑体" w:cs="黑体"/>
            </w:rPr>
            <w:t>第</w:t>
          </w:r>
          <w:r>
            <w:rPr>
              <w:rFonts w:hint="eastAsia" w:ascii="黑体" w:hAnsi="黑体" w:eastAsia="黑体" w:cs="黑体"/>
              <w:lang w:val="en-US" w:eastAsia="zh-CN"/>
            </w:rPr>
            <w:t>三</w:t>
          </w:r>
          <w:r>
            <w:rPr>
              <w:rFonts w:hint="eastAsia" w:ascii="黑体" w:hAnsi="黑体" w:eastAsia="黑体" w:cs="黑体"/>
            </w:rPr>
            <w:t>章 对城市公共汽电车客运企业（含线路经营）的监督检查工作指引</w:t>
          </w:r>
          <w:r>
            <w:tab/>
          </w:r>
          <w:r>
            <w:fldChar w:fldCharType="begin"/>
          </w:r>
          <w:r>
            <w:instrText xml:space="preserve"> PAGEREF _Toc21117 \h </w:instrText>
          </w:r>
          <w:r>
            <w:fldChar w:fldCharType="separate"/>
          </w:r>
          <w:r>
            <w:t xml:space="preserve">- </w:t>
          </w:r>
          <w:r>
            <w:rPr>
              <w:rFonts w:hint="eastAsia"/>
            </w:rPr>
            <w:t>6</w:t>
          </w:r>
          <w:r>
            <w:t xml:space="preserve"> -</w:t>
          </w:r>
          <w:r>
            <w:fldChar w:fldCharType="end"/>
          </w:r>
          <w:r>
            <w:fldChar w:fldCharType="end"/>
          </w:r>
        </w:p>
        <w:p w14:paraId="66A84C21">
          <w:pPr>
            <w:pStyle w:val="2"/>
            <w:tabs>
              <w:tab w:val="right" w:leader="dot" w:pos="8730"/>
            </w:tabs>
            <w:spacing w:line="620" w:lineRule="exact"/>
          </w:pPr>
          <w:r>
            <w:fldChar w:fldCharType="begin"/>
          </w:r>
          <w:r>
            <w:instrText xml:space="preserve"> HYPERLINK \l "_Toc22010" </w:instrText>
          </w:r>
          <w:r>
            <w:fldChar w:fldCharType="separate"/>
          </w:r>
          <w:r>
            <w:rPr>
              <w:rFonts w:hint="eastAsia" w:ascii="黑体" w:hAnsi="黑体" w:eastAsia="黑体" w:cs="黑体"/>
            </w:rPr>
            <w:t>第</w:t>
          </w:r>
          <w:r>
            <w:rPr>
              <w:rFonts w:hint="eastAsia" w:ascii="黑体" w:hAnsi="黑体" w:eastAsia="黑体" w:cs="黑体"/>
              <w:lang w:val="en-US" w:eastAsia="zh-CN"/>
            </w:rPr>
            <w:t>四</w:t>
          </w:r>
          <w:r>
            <w:rPr>
              <w:rFonts w:hint="eastAsia" w:ascii="黑体" w:hAnsi="黑体" w:eastAsia="黑体" w:cs="黑体"/>
            </w:rPr>
            <w:t>章 对巡游出租汽车客运经营企业的监督检查工作指引</w:t>
          </w:r>
          <w:r>
            <w:tab/>
          </w:r>
          <w:r>
            <w:fldChar w:fldCharType="begin"/>
          </w:r>
          <w:r>
            <w:instrText xml:space="preserve"> PAGEREF _Toc22010 \h </w:instrText>
          </w:r>
          <w:r>
            <w:fldChar w:fldCharType="separate"/>
          </w:r>
          <w:r>
            <w:t xml:space="preserve">- </w:t>
          </w:r>
          <w:r>
            <w:rPr>
              <w:rFonts w:hint="eastAsia"/>
            </w:rPr>
            <w:t>7</w:t>
          </w:r>
          <w:r>
            <w:t xml:space="preserve"> -</w:t>
          </w:r>
          <w:r>
            <w:fldChar w:fldCharType="end"/>
          </w:r>
          <w:r>
            <w:fldChar w:fldCharType="end"/>
          </w:r>
        </w:p>
        <w:p w14:paraId="4C39D78F">
          <w:pPr>
            <w:pStyle w:val="2"/>
            <w:tabs>
              <w:tab w:val="right" w:leader="dot" w:pos="8730"/>
            </w:tabs>
            <w:spacing w:line="620" w:lineRule="exact"/>
          </w:pPr>
          <w:r>
            <w:fldChar w:fldCharType="begin"/>
          </w:r>
          <w:r>
            <w:instrText xml:space="preserve"> HYPERLINK \l "_Toc11740" </w:instrText>
          </w:r>
          <w:r>
            <w:fldChar w:fldCharType="separate"/>
          </w:r>
          <w:r>
            <w:rPr>
              <w:rFonts w:hint="eastAsia" w:ascii="黑体" w:hAnsi="黑体" w:eastAsia="黑体" w:cs="黑体"/>
            </w:rPr>
            <w:t>第</w:t>
          </w:r>
          <w:r>
            <w:rPr>
              <w:rFonts w:hint="eastAsia" w:ascii="黑体" w:hAnsi="黑体" w:eastAsia="黑体" w:cs="黑体"/>
              <w:lang w:val="en-US" w:eastAsia="zh-CN"/>
            </w:rPr>
            <w:t>五</w:t>
          </w:r>
          <w:r>
            <w:rPr>
              <w:rFonts w:hint="eastAsia" w:ascii="黑体" w:hAnsi="黑体" w:eastAsia="黑体" w:cs="黑体"/>
            </w:rPr>
            <w:t>章 对涉路工程建设项目的监督检查工作指引</w:t>
          </w:r>
          <w:r>
            <w:tab/>
          </w:r>
          <w:r>
            <w:fldChar w:fldCharType="begin"/>
          </w:r>
          <w:r>
            <w:instrText xml:space="preserve"> PAGEREF _Toc11740 \h </w:instrText>
          </w:r>
          <w:r>
            <w:fldChar w:fldCharType="separate"/>
          </w:r>
          <w:r>
            <w:t xml:space="preserve">- </w:t>
          </w:r>
          <w:r>
            <w:rPr>
              <w:rFonts w:hint="eastAsia"/>
            </w:rPr>
            <w:t>8</w:t>
          </w:r>
          <w:r>
            <w:t xml:space="preserve"> -</w:t>
          </w:r>
          <w:r>
            <w:fldChar w:fldCharType="end"/>
          </w:r>
          <w:r>
            <w:fldChar w:fldCharType="end"/>
          </w:r>
        </w:p>
        <w:p w14:paraId="67BCC46E">
          <w:pPr>
            <w:pStyle w:val="2"/>
            <w:tabs>
              <w:tab w:val="right" w:leader="dot" w:pos="8730"/>
            </w:tabs>
            <w:spacing w:line="620" w:lineRule="exact"/>
          </w:pPr>
          <w:r>
            <w:fldChar w:fldCharType="begin"/>
          </w:r>
          <w:r>
            <w:instrText xml:space="preserve"> HYPERLINK \l "_Toc17691" </w:instrText>
          </w:r>
          <w:r>
            <w:fldChar w:fldCharType="separate"/>
          </w:r>
          <w:r>
            <w:rPr>
              <w:rFonts w:hint="eastAsia" w:ascii="黑体" w:hAnsi="黑体" w:eastAsia="黑体" w:cs="黑体"/>
            </w:rPr>
            <w:t>第</w:t>
          </w:r>
          <w:r>
            <w:rPr>
              <w:rFonts w:hint="eastAsia" w:ascii="黑体" w:hAnsi="黑体" w:eastAsia="黑体" w:cs="黑体"/>
              <w:lang w:val="en-US" w:eastAsia="zh-CN"/>
            </w:rPr>
            <w:t>六</w:t>
          </w:r>
          <w:r>
            <w:rPr>
              <w:rFonts w:hint="eastAsia" w:ascii="黑体" w:hAnsi="黑体" w:eastAsia="黑体" w:cs="黑体"/>
            </w:rPr>
            <w:t>章 对非公路标志设置的监督检查工作指引</w:t>
          </w:r>
          <w:r>
            <w:tab/>
          </w:r>
          <w:r>
            <w:fldChar w:fldCharType="begin"/>
          </w:r>
          <w:r>
            <w:instrText xml:space="preserve"> PAGEREF _Toc17691 \h </w:instrText>
          </w:r>
          <w:r>
            <w:fldChar w:fldCharType="separate"/>
          </w:r>
          <w:r>
            <w:t xml:space="preserve">- </w:t>
          </w:r>
          <w:r>
            <w:rPr>
              <w:rFonts w:hint="eastAsia"/>
            </w:rPr>
            <w:t>9</w:t>
          </w:r>
          <w:r>
            <w:t xml:space="preserve"> -</w:t>
          </w:r>
          <w:r>
            <w:fldChar w:fldCharType="end"/>
          </w:r>
          <w:r>
            <w:fldChar w:fldCharType="end"/>
          </w:r>
          <w:r>
            <w:fldChar w:fldCharType="begin"/>
          </w:r>
          <w:r>
            <w:instrText xml:space="preserve"> HYPERLINK \l "_Toc28305" </w:instrText>
          </w:r>
          <w:r>
            <w:fldChar w:fldCharType="separate"/>
          </w:r>
          <w:r>
            <w:tab/>
          </w:r>
          <w:r>
            <w:fldChar w:fldCharType="end"/>
          </w:r>
        </w:p>
        <w:p w14:paraId="6205189A">
          <w:pPr>
            <w:pStyle w:val="2"/>
            <w:tabs>
              <w:tab w:val="right" w:leader="dot" w:pos="8730"/>
            </w:tabs>
            <w:spacing w:line="620" w:lineRule="exact"/>
          </w:pPr>
          <w:r>
            <w:fldChar w:fldCharType="begin"/>
          </w:r>
          <w:r>
            <w:instrText xml:space="preserve"> HYPERLINK \l "_Toc24895" </w:instrText>
          </w:r>
          <w:r>
            <w:fldChar w:fldCharType="separate"/>
          </w:r>
          <w:r>
            <w:rPr>
              <w:rFonts w:hint="eastAsia" w:ascii="黑体" w:hAnsi="黑体" w:eastAsia="黑体" w:cs="黑体"/>
            </w:rPr>
            <w:t>第</w:t>
          </w:r>
          <w:r>
            <w:rPr>
              <w:rFonts w:hint="eastAsia" w:ascii="黑体" w:hAnsi="黑体" w:eastAsia="黑体" w:cs="黑体"/>
              <w:lang w:val="en-US" w:eastAsia="zh-CN"/>
            </w:rPr>
            <w:t>七</w:t>
          </w:r>
          <w:r>
            <w:rPr>
              <w:rFonts w:hint="eastAsia" w:ascii="黑体" w:hAnsi="黑体" w:eastAsia="黑体" w:cs="黑体"/>
            </w:rPr>
            <w:t>章 对道路危险货物运输企业的监督检查工作指引</w:t>
          </w:r>
          <w:r>
            <w:tab/>
          </w:r>
          <w:r>
            <w:fldChar w:fldCharType="begin"/>
          </w:r>
          <w:r>
            <w:instrText xml:space="preserve"> PAGEREF _Toc24895 \h </w:instrText>
          </w:r>
          <w:r>
            <w:fldChar w:fldCharType="separate"/>
          </w:r>
          <w:r>
            <w:t>- 1</w:t>
          </w:r>
          <w:r>
            <w:rPr>
              <w:rFonts w:hint="eastAsia"/>
            </w:rPr>
            <w:t>0</w:t>
          </w:r>
          <w:r>
            <w:t xml:space="preserve"> -</w:t>
          </w:r>
          <w:r>
            <w:fldChar w:fldCharType="end"/>
          </w:r>
          <w:r>
            <w:fldChar w:fldCharType="end"/>
          </w:r>
        </w:p>
        <w:p w14:paraId="6F20BCB1">
          <w:pPr>
            <w:pStyle w:val="2"/>
            <w:tabs>
              <w:tab w:val="right" w:leader="dot" w:pos="8730"/>
            </w:tabs>
            <w:spacing w:line="620" w:lineRule="exact"/>
          </w:pPr>
          <w:r>
            <w:fldChar w:fldCharType="begin"/>
          </w:r>
          <w:r>
            <w:instrText xml:space="preserve"> HYPERLINK \l "_Toc19239" </w:instrText>
          </w:r>
          <w:r>
            <w:fldChar w:fldCharType="separate"/>
          </w:r>
          <w:r>
            <w:rPr>
              <w:rFonts w:hint="eastAsia" w:ascii="黑体" w:hAnsi="黑体" w:eastAsia="黑体" w:cs="黑体"/>
            </w:rPr>
            <w:t>第</w:t>
          </w:r>
          <w:r>
            <w:rPr>
              <w:rFonts w:hint="eastAsia" w:ascii="黑体" w:hAnsi="黑体" w:eastAsia="黑体" w:cs="黑体"/>
              <w:lang w:val="en-US" w:eastAsia="zh-CN"/>
            </w:rPr>
            <w:t>八</w:t>
          </w:r>
          <w:r>
            <w:rPr>
              <w:rFonts w:hint="eastAsia" w:ascii="黑体" w:hAnsi="黑体" w:eastAsia="黑体" w:cs="黑体"/>
            </w:rPr>
            <w:t>章 对旅游包车客运企业的监督检查工作指引</w:t>
          </w:r>
          <w:r>
            <w:tab/>
          </w:r>
          <w:r>
            <w:fldChar w:fldCharType="begin"/>
          </w:r>
          <w:r>
            <w:instrText xml:space="preserve"> PAGEREF _Toc19239 \h </w:instrText>
          </w:r>
          <w:r>
            <w:fldChar w:fldCharType="separate"/>
          </w:r>
          <w:r>
            <w:t xml:space="preserve">- </w:t>
          </w:r>
          <w:r>
            <w:rPr>
              <w:rFonts w:hint="eastAsia"/>
            </w:rPr>
            <w:t>12</w:t>
          </w:r>
          <w:r>
            <w:t xml:space="preserve"> -</w:t>
          </w:r>
          <w:r>
            <w:fldChar w:fldCharType="end"/>
          </w:r>
          <w:r>
            <w:fldChar w:fldCharType="end"/>
          </w:r>
        </w:p>
        <w:p w14:paraId="27B87707">
          <w:pPr>
            <w:pStyle w:val="2"/>
            <w:tabs>
              <w:tab w:val="right" w:leader="dot" w:pos="8730"/>
            </w:tabs>
            <w:spacing w:line="620" w:lineRule="exact"/>
          </w:pPr>
          <w:r>
            <w:fldChar w:fldCharType="begin"/>
          </w:r>
          <w:r>
            <w:instrText xml:space="preserve"> HYPERLINK \l "_Toc19554" </w:instrText>
          </w:r>
          <w:r>
            <w:fldChar w:fldCharType="separate"/>
          </w:r>
          <w:r>
            <w:rPr>
              <w:rFonts w:hint="eastAsia" w:ascii="黑体" w:hAnsi="黑体" w:eastAsia="黑体" w:cs="黑体"/>
            </w:rPr>
            <w:t>第</w:t>
          </w:r>
          <w:r>
            <w:rPr>
              <w:rFonts w:hint="eastAsia" w:ascii="黑体" w:hAnsi="黑体" w:eastAsia="黑体" w:cs="黑体"/>
              <w:lang w:val="en-US" w:eastAsia="zh-CN"/>
            </w:rPr>
            <w:t>九</w:t>
          </w:r>
          <w:r>
            <w:rPr>
              <w:rFonts w:hint="eastAsia" w:ascii="黑体" w:hAnsi="黑体" w:eastAsia="黑体" w:cs="黑体"/>
            </w:rPr>
            <w:t>章 对道路普通货物运输企业的监督检查工作指引</w:t>
          </w:r>
          <w:r>
            <w:tab/>
          </w:r>
          <w:r>
            <w:fldChar w:fldCharType="begin"/>
          </w:r>
          <w:r>
            <w:instrText xml:space="preserve"> PAGEREF _Toc19554 \h </w:instrText>
          </w:r>
          <w:r>
            <w:fldChar w:fldCharType="separate"/>
          </w:r>
          <w:r>
            <w:t xml:space="preserve">- </w:t>
          </w:r>
          <w:r>
            <w:rPr>
              <w:rFonts w:hint="eastAsia"/>
            </w:rPr>
            <w:t>1</w:t>
          </w:r>
          <w:r>
            <w:t>3 -</w:t>
          </w:r>
          <w:r>
            <w:fldChar w:fldCharType="end"/>
          </w:r>
          <w:r>
            <w:fldChar w:fldCharType="end"/>
          </w:r>
        </w:p>
        <w:p w14:paraId="1A26A665">
          <w:pPr>
            <w:pStyle w:val="2"/>
            <w:spacing w:line="620" w:lineRule="exact"/>
          </w:pPr>
          <w:r>
            <w:rPr>
              <w:rFonts w:hint="eastAsia"/>
            </w:rPr>
            <w:fldChar w:fldCharType="end"/>
          </w:r>
        </w:p>
      </w:sdtContent>
    </w:sdt>
    <w:p w14:paraId="1C4F81D9">
      <w:pPr>
        <w:spacing w:line="620" w:lineRule="exact"/>
        <w:rPr>
          <w:rFonts w:ascii="黑体" w:hAnsi="黑体" w:eastAsia="黑体" w:cs="黑体"/>
          <w:color w:val="000000"/>
        </w:rPr>
      </w:pPr>
      <w:r>
        <w:rPr>
          <w:rFonts w:hint="eastAsia" w:ascii="黑体" w:hAnsi="黑体" w:eastAsia="黑体" w:cs="黑体"/>
          <w:color w:val="000000"/>
        </w:rPr>
        <w:br w:type="page"/>
      </w:r>
    </w:p>
    <w:p w14:paraId="18095FB3">
      <w:pPr>
        <w:pStyle w:val="9"/>
        <w:spacing w:before="280" w:after="280" w:line="620" w:lineRule="exact"/>
        <w:ind w:firstLine="0"/>
        <w:jc w:val="center"/>
        <w:outlineLvl w:val="0"/>
        <w:rPr>
          <w:rFonts w:ascii="黑体" w:hAnsi="黑体" w:eastAsia="黑体" w:cs="黑体"/>
          <w:color w:val="000000"/>
          <w:sz w:val="32"/>
          <w:szCs w:val="32"/>
          <w:lang w:val="en-US"/>
        </w:rPr>
      </w:pPr>
      <w:bookmarkStart w:id="0" w:name="_Toc25476"/>
    </w:p>
    <w:p w14:paraId="2193720B">
      <w:pPr>
        <w:pStyle w:val="9"/>
        <w:spacing w:before="280" w:after="280" w:line="620" w:lineRule="exact"/>
        <w:ind w:firstLine="0"/>
        <w:jc w:val="center"/>
        <w:outlineLvl w:val="0"/>
        <w:rPr>
          <w:rFonts w:ascii="黑体" w:hAnsi="黑体" w:eastAsia="黑体" w:cs="黑体"/>
          <w:color w:val="000000"/>
          <w:sz w:val="32"/>
          <w:szCs w:val="32"/>
          <w:lang w:val="en-US"/>
        </w:rPr>
      </w:pPr>
      <w:r>
        <w:rPr>
          <w:rFonts w:hint="eastAsia" w:ascii="黑体" w:hAnsi="黑体" w:eastAsia="黑体" w:cs="黑体"/>
          <w:color w:val="000000"/>
          <w:sz w:val="32"/>
          <w:szCs w:val="32"/>
          <w:lang w:val="en-US"/>
        </w:rPr>
        <w:t>第一章 对公路建设市场的监督检查工作指引</w:t>
      </w:r>
      <w:bookmarkEnd w:id="0"/>
    </w:p>
    <w:p w14:paraId="2C028912">
      <w:pPr>
        <w:pStyle w:val="9"/>
        <w:snapToGrid w:val="0"/>
        <w:spacing w:line="620" w:lineRule="exact"/>
        <w:ind w:firstLine="640" w:firstLineChars="200"/>
        <w:textAlignment w:val="baseline"/>
        <w:rPr>
          <w:color w:val="000000"/>
          <w:sz w:val="32"/>
          <w:szCs w:val="32"/>
          <w:lang w:val="en-US"/>
        </w:rPr>
      </w:pPr>
      <w:r>
        <w:rPr>
          <w:rFonts w:hint="eastAsia" w:eastAsia="黑体" w:cs="黑体"/>
          <w:color w:val="000000"/>
          <w:sz w:val="32"/>
          <w:szCs w:val="32"/>
          <w:lang w:val="en-US"/>
        </w:rPr>
        <w:t>一、抽查事项</w:t>
      </w:r>
    </w:p>
    <w:p w14:paraId="3459BEF6">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公路建设市场督查</w:t>
      </w:r>
    </w:p>
    <w:p w14:paraId="3CA60564">
      <w:pPr>
        <w:pStyle w:val="9"/>
        <w:snapToGrid w:val="0"/>
        <w:spacing w:line="620" w:lineRule="exact"/>
        <w:ind w:firstLine="640" w:firstLineChars="200"/>
        <w:textAlignment w:val="baseline"/>
        <w:rPr>
          <w:color w:val="000000"/>
          <w:sz w:val="32"/>
          <w:szCs w:val="32"/>
          <w:lang w:val="en-US"/>
        </w:rPr>
      </w:pPr>
      <w:r>
        <w:rPr>
          <w:rFonts w:hint="eastAsia" w:eastAsia="黑体" w:cs="黑体"/>
          <w:color w:val="000000"/>
          <w:sz w:val="32"/>
          <w:szCs w:val="32"/>
          <w:lang w:val="en-US"/>
        </w:rPr>
        <w:t>二、检查内容和方法</w:t>
      </w:r>
    </w:p>
    <w:p w14:paraId="5A229E29">
      <w:pPr>
        <w:pStyle w:val="9"/>
        <w:snapToGrid w:val="0"/>
        <w:spacing w:line="620" w:lineRule="exact"/>
        <w:ind w:firstLine="640" w:firstLineChars="200"/>
        <w:textAlignment w:val="baseline"/>
        <w:rPr>
          <w:rFonts w:ascii="楷体" w:hAnsi="楷体" w:eastAsia="楷体" w:cs="楷体_GB2312"/>
          <w:color w:val="000000"/>
          <w:sz w:val="32"/>
          <w:szCs w:val="32"/>
          <w:lang w:val="en-US"/>
        </w:rPr>
      </w:pPr>
      <w:r>
        <w:rPr>
          <w:rFonts w:hint="eastAsia" w:ascii="楷体" w:hAnsi="楷体" w:eastAsia="楷体" w:cs="楷体_GB2312"/>
          <w:color w:val="000000"/>
          <w:sz w:val="32"/>
          <w:szCs w:val="32"/>
          <w:lang w:val="en-US"/>
        </w:rPr>
        <w:t>（一）检查内容</w:t>
      </w:r>
    </w:p>
    <w:p w14:paraId="71E29C4C">
      <w:pPr>
        <w:pStyle w:val="9"/>
        <w:snapToGrid w:val="0"/>
        <w:spacing w:line="620" w:lineRule="exact"/>
        <w:ind w:firstLine="640" w:firstLineChars="200"/>
        <w:textAlignment w:val="baseline"/>
        <w:rPr>
          <w:rFonts w:ascii="仿宋" w:hAnsi="仿宋" w:eastAsia="仿宋" w:cstheme="minorEastAsia"/>
          <w:color w:val="000000"/>
          <w:sz w:val="32"/>
          <w:szCs w:val="32"/>
          <w:lang w:val="en-US"/>
        </w:rPr>
      </w:pPr>
      <w:r>
        <w:rPr>
          <w:rFonts w:hint="eastAsia" w:ascii="仿宋" w:hAnsi="仿宋" w:eastAsia="仿宋" w:cstheme="minorEastAsia"/>
          <w:color w:val="000000"/>
          <w:sz w:val="32"/>
          <w:szCs w:val="32"/>
          <w:lang w:val="en-US"/>
        </w:rPr>
        <w:t>1.项目基本情况。包括工程建设标准、规模、投资、工期、开竣（交）工时间以及目前实施情况等。</w:t>
      </w:r>
    </w:p>
    <w:p w14:paraId="6C5B1EAA">
      <w:pPr>
        <w:pStyle w:val="9"/>
        <w:snapToGrid w:val="0"/>
        <w:spacing w:line="620" w:lineRule="exact"/>
        <w:ind w:firstLine="640" w:firstLineChars="200"/>
        <w:textAlignment w:val="baseline"/>
        <w:rPr>
          <w:rFonts w:ascii="仿宋" w:hAnsi="仿宋" w:eastAsia="仿宋" w:cstheme="minorEastAsia"/>
          <w:color w:val="000000"/>
          <w:sz w:val="32"/>
          <w:szCs w:val="32"/>
          <w:lang w:val="en-US"/>
        </w:rPr>
      </w:pPr>
      <w:r>
        <w:rPr>
          <w:rFonts w:hint="eastAsia" w:ascii="仿宋" w:hAnsi="仿宋" w:eastAsia="仿宋" w:cstheme="minorEastAsia"/>
          <w:color w:val="000000"/>
          <w:sz w:val="32"/>
          <w:szCs w:val="32"/>
          <w:lang w:val="en-US"/>
        </w:rPr>
        <w:t>2.项目基本建设程序执行情况。包括工程可行性研究报告批复、项目核准立项、设计文件审查、施工许可、质量监督等基本建设程序落实等情况。</w:t>
      </w:r>
    </w:p>
    <w:p w14:paraId="7C234E76">
      <w:pPr>
        <w:pStyle w:val="9"/>
        <w:snapToGrid w:val="0"/>
        <w:spacing w:line="620" w:lineRule="exact"/>
        <w:ind w:firstLine="640" w:firstLineChars="200"/>
        <w:textAlignment w:val="baseline"/>
        <w:rPr>
          <w:rFonts w:ascii="仿宋" w:hAnsi="仿宋" w:eastAsia="仿宋" w:cstheme="minorEastAsia"/>
          <w:color w:val="000000"/>
          <w:sz w:val="32"/>
          <w:szCs w:val="32"/>
          <w:lang w:val="en-US"/>
        </w:rPr>
      </w:pPr>
      <w:r>
        <w:rPr>
          <w:rFonts w:hint="eastAsia" w:ascii="仿宋" w:hAnsi="仿宋" w:eastAsia="仿宋" w:cstheme="minorEastAsia"/>
          <w:color w:val="000000"/>
          <w:sz w:val="32"/>
          <w:szCs w:val="32"/>
          <w:lang w:val="en-US"/>
        </w:rPr>
        <w:t>3.项目招标投标情况。包括招标程序、招标文件（资格预审文件）编制、专家抽取、评标、定标、合同签订、投诉举报受理与处理等情况。</w:t>
      </w:r>
    </w:p>
    <w:p w14:paraId="751D052C">
      <w:pPr>
        <w:pStyle w:val="9"/>
        <w:snapToGrid w:val="0"/>
        <w:spacing w:line="620" w:lineRule="exact"/>
        <w:ind w:firstLine="640" w:firstLineChars="200"/>
        <w:textAlignment w:val="baseline"/>
        <w:rPr>
          <w:rFonts w:ascii="仿宋" w:hAnsi="仿宋" w:eastAsia="仿宋" w:cstheme="minorEastAsia"/>
          <w:color w:val="000000"/>
          <w:sz w:val="32"/>
          <w:szCs w:val="32"/>
          <w:lang w:val="en-US"/>
        </w:rPr>
      </w:pPr>
      <w:r>
        <w:rPr>
          <w:rFonts w:hint="eastAsia" w:ascii="仿宋" w:hAnsi="仿宋" w:eastAsia="仿宋" w:cstheme="minorEastAsia"/>
          <w:color w:val="000000"/>
          <w:sz w:val="32"/>
          <w:szCs w:val="32"/>
          <w:lang w:val="en-US"/>
        </w:rPr>
        <w:t>4.项目建设管理情况。包括是否存在违法分包、转包、挂靠等情况；信用管理工作情况；安全生产信用体系建设情况；施工标准化、品质工程、坚守公路水运工程质量安全红线专项行动、安全生产专项整治三年行动、平安工地建设、扫黑除恶等专项活动开展等情况。</w:t>
      </w:r>
    </w:p>
    <w:p w14:paraId="64DD5716">
      <w:pPr>
        <w:pStyle w:val="9"/>
        <w:snapToGrid w:val="0"/>
        <w:spacing w:line="620" w:lineRule="exact"/>
        <w:ind w:firstLine="640" w:firstLineChars="200"/>
        <w:textAlignment w:val="baseline"/>
        <w:rPr>
          <w:rFonts w:ascii="仿宋" w:hAnsi="仿宋" w:eastAsia="仿宋" w:cstheme="minorEastAsia"/>
          <w:color w:val="000000"/>
          <w:sz w:val="32"/>
          <w:szCs w:val="32"/>
          <w:lang w:val="en-US"/>
        </w:rPr>
      </w:pPr>
      <w:r>
        <w:rPr>
          <w:rFonts w:hint="eastAsia" w:ascii="仿宋" w:hAnsi="仿宋" w:eastAsia="仿宋" w:cstheme="minorEastAsia"/>
          <w:color w:val="000000"/>
          <w:sz w:val="32"/>
          <w:szCs w:val="32"/>
          <w:lang w:val="en-US"/>
        </w:rPr>
        <w:t>5.项目参与单位合同履约情况。包括人员履约、工程变更、工期控制、工程质量、安全生产、环境保护和廉政等情况。</w:t>
      </w:r>
    </w:p>
    <w:p w14:paraId="7D193915">
      <w:pPr>
        <w:pStyle w:val="9"/>
        <w:snapToGrid w:val="0"/>
        <w:spacing w:line="620" w:lineRule="exact"/>
        <w:ind w:firstLine="640" w:firstLineChars="200"/>
        <w:textAlignment w:val="baseline"/>
        <w:rPr>
          <w:rFonts w:ascii="仿宋" w:hAnsi="仿宋" w:eastAsia="仿宋" w:cstheme="minorEastAsia"/>
          <w:color w:val="000000"/>
          <w:sz w:val="32"/>
          <w:szCs w:val="32"/>
          <w:lang w:val="en-US"/>
        </w:rPr>
      </w:pPr>
      <w:r>
        <w:rPr>
          <w:rFonts w:hint="eastAsia" w:ascii="仿宋" w:hAnsi="仿宋" w:eastAsia="仿宋" w:cstheme="minorEastAsia"/>
          <w:color w:val="000000"/>
          <w:sz w:val="32"/>
          <w:szCs w:val="32"/>
          <w:lang w:val="en-US"/>
        </w:rPr>
        <w:t>6.农民工工资支付保障工作情况。包括有关制度落实，农民工工资支付监管平台使用等情况。</w:t>
      </w:r>
    </w:p>
    <w:p w14:paraId="037A684C">
      <w:pPr>
        <w:pStyle w:val="9"/>
        <w:snapToGrid w:val="0"/>
        <w:spacing w:line="620" w:lineRule="exact"/>
        <w:ind w:firstLine="640" w:firstLineChars="200"/>
        <w:textAlignment w:val="baseline"/>
        <w:rPr>
          <w:rFonts w:ascii="仿宋" w:hAnsi="仿宋" w:eastAsia="仿宋" w:cstheme="minorEastAsia"/>
          <w:color w:val="000000"/>
          <w:sz w:val="32"/>
          <w:szCs w:val="32"/>
          <w:lang w:val="en-US"/>
        </w:rPr>
      </w:pPr>
      <w:r>
        <w:rPr>
          <w:rFonts w:hint="eastAsia" w:ascii="仿宋" w:hAnsi="仿宋" w:eastAsia="仿宋" w:cstheme="minorEastAsia"/>
          <w:color w:val="000000"/>
          <w:sz w:val="32"/>
          <w:szCs w:val="32"/>
          <w:lang w:val="en-US"/>
        </w:rPr>
        <w:t>7.项目资金落实和支付情况。</w:t>
      </w:r>
    </w:p>
    <w:p w14:paraId="0043E62A">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stheme="minorEastAsia"/>
          <w:color w:val="000000"/>
          <w:sz w:val="32"/>
          <w:szCs w:val="32"/>
          <w:lang w:val="en-US"/>
        </w:rPr>
        <w:t>8.项目建设存在的问题和整改落实情况。</w:t>
      </w:r>
    </w:p>
    <w:p w14:paraId="167736A5">
      <w:pPr>
        <w:pStyle w:val="9"/>
        <w:snapToGrid w:val="0"/>
        <w:spacing w:line="620" w:lineRule="exact"/>
        <w:ind w:firstLine="640" w:firstLineChars="200"/>
        <w:textAlignment w:val="baseline"/>
        <w:rPr>
          <w:rFonts w:ascii="楷体" w:hAnsi="楷体" w:eastAsia="楷体" w:cs="楷体_GB2312"/>
          <w:color w:val="000000"/>
          <w:sz w:val="32"/>
          <w:szCs w:val="32"/>
          <w:lang w:val="en-US"/>
        </w:rPr>
      </w:pPr>
      <w:r>
        <w:rPr>
          <w:rFonts w:hint="eastAsia" w:ascii="楷体" w:hAnsi="楷体" w:eastAsia="楷体" w:cs="楷体_GB2312"/>
          <w:color w:val="000000"/>
          <w:sz w:val="32"/>
          <w:szCs w:val="32"/>
          <w:lang w:val="en-US"/>
        </w:rPr>
        <w:t>（二）检查方法</w:t>
      </w:r>
    </w:p>
    <w:p w14:paraId="7E934678">
      <w:pPr>
        <w:pStyle w:val="9"/>
        <w:snapToGrid w:val="0"/>
        <w:spacing w:line="620" w:lineRule="exact"/>
        <w:ind w:firstLine="640" w:firstLineChars="200"/>
        <w:textAlignment w:val="baseline"/>
        <w:rPr>
          <w:rFonts w:ascii="仿宋" w:hAnsi="仿宋" w:eastAsia="仿宋" w:cs="楷体_GB2312"/>
          <w:color w:val="000000"/>
          <w:sz w:val="32"/>
          <w:szCs w:val="32"/>
          <w:lang w:val="en-US"/>
        </w:rPr>
      </w:pPr>
      <w:r>
        <w:rPr>
          <w:rFonts w:hint="eastAsia" w:ascii="仿宋" w:hAnsi="仿宋" w:eastAsia="仿宋" w:cs="楷体_GB2312"/>
          <w:color w:val="000000"/>
          <w:sz w:val="32"/>
          <w:szCs w:val="32"/>
          <w:lang w:val="en-US"/>
        </w:rPr>
        <w:t>采取现场检查方式，组织检查人员、业内专家，从重点公路工程项目中，根据信用分级分类监管相关要求，按照不低于10%的比例从“双随机、一公开”平台中随机抽取建设项目。对公路水运建设市场监管和市场主体行为，主要包括：建设程序、市场准入、招标投标、合同履约、农民工工资保障等方面法规制度的执行和监管情况，信用体系建设和应用情况，以及其他相关工作情况进行检查。</w:t>
      </w:r>
    </w:p>
    <w:p w14:paraId="06ED90ED">
      <w:pPr>
        <w:pStyle w:val="9"/>
        <w:snapToGrid w:val="0"/>
        <w:spacing w:line="620" w:lineRule="exact"/>
        <w:ind w:firstLine="640" w:firstLineChars="200"/>
        <w:textAlignment w:val="baseline"/>
        <w:rPr>
          <w:color w:val="000000"/>
          <w:sz w:val="32"/>
          <w:szCs w:val="32"/>
          <w:lang w:val="en-US"/>
        </w:rPr>
      </w:pPr>
      <w:r>
        <w:rPr>
          <w:rFonts w:hint="eastAsia" w:eastAsia="黑体" w:cs="黑体"/>
          <w:color w:val="000000"/>
          <w:sz w:val="32"/>
          <w:szCs w:val="32"/>
          <w:lang w:val="en-US"/>
        </w:rPr>
        <w:t>三、检查依据</w:t>
      </w:r>
    </w:p>
    <w:p w14:paraId="33C0C2DF">
      <w:pPr>
        <w:pStyle w:val="9"/>
        <w:snapToGrid w:val="0"/>
        <w:spacing w:line="620" w:lineRule="exact"/>
        <w:ind w:firstLine="640" w:firstLineChars="200"/>
        <w:textAlignment w:val="baseline"/>
        <w:rPr>
          <w:rFonts w:ascii="仿宋" w:hAnsi="仿宋" w:eastAsia="仿宋" w:cs="楷体_GB2312"/>
          <w:color w:val="000000"/>
          <w:sz w:val="32"/>
          <w:szCs w:val="32"/>
          <w:lang w:val="en-US"/>
        </w:rPr>
      </w:pPr>
      <w:bookmarkStart w:id="1" w:name="bookmark3651"/>
      <w:r>
        <w:rPr>
          <w:rFonts w:hint="eastAsia" w:ascii="仿宋" w:hAnsi="仿宋" w:eastAsia="仿宋" w:cs="楷体_GB2312"/>
          <w:color w:val="000000"/>
          <w:sz w:val="32"/>
          <w:szCs w:val="32"/>
          <w:lang w:val="en-US"/>
        </w:rPr>
        <w:t>1</w:t>
      </w:r>
      <w:bookmarkEnd w:id="1"/>
      <w:r>
        <w:rPr>
          <w:rFonts w:hint="eastAsia" w:ascii="仿宋" w:hAnsi="仿宋" w:eastAsia="仿宋" w:cs="楷体_GB2312"/>
          <w:color w:val="000000"/>
          <w:sz w:val="32"/>
          <w:szCs w:val="32"/>
          <w:lang w:val="en-US"/>
        </w:rPr>
        <w:t>、《中华人民共和国建筑法》（中华人民共和国主席令第29号）</w:t>
      </w:r>
    </w:p>
    <w:p w14:paraId="080D7D71">
      <w:pPr>
        <w:pStyle w:val="9"/>
        <w:snapToGrid w:val="0"/>
        <w:spacing w:line="620" w:lineRule="exact"/>
        <w:ind w:firstLine="640" w:firstLineChars="200"/>
        <w:textAlignment w:val="baseline"/>
        <w:rPr>
          <w:rFonts w:ascii="仿宋" w:hAnsi="仿宋" w:eastAsia="仿宋" w:cs="楷体_GB2312"/>
          <w:color w:val="000000"/>
          <w:sz w:val="32"/>
          <w:szCs w:val="32"/>
          <w:lang w:val="en-US"/>
        </w:rPr>
      </w:pPr>
      <w:bookmarkStart w:id="2" w:name="bookmark3652"/>
      <w:r>
        <w:rPr>
          <w:rFonts w:hint="eastAsia" w:ascii="仿宋" w:hAnsi="仿宋" w:eastAsia="仿宋" w:cs="楷体_GB2312"/>
          <w:color w:val="000000"/>
          <w:sz w:val="32"/>
          <w:szCs w:val="32"/>
          <w:lang w:val="en-US"/>
        </w:rPr>
        <w:t>2</w:t>
      </w:r>
      <w:bookmarkEnd w:id="2"/>
      <w:r>
        <w:rPr>
          <w:rFonts w:hint="eastAsia" w:ascii="仿宋" w:hAnsi="仿宋" w:eastAsia="仿宋" w:cs="楷体_GB2312"/>
          <w:color w:val="000000"/>
          <w:sz w:val="32"/>
          <w:szCs w:val="32"/>
          <w:lang w:val="en-US"/>
        </w:rPr>
        <w:t>、《中华人民共和国公路法》（2017年修订）</w:t>
      </w:r>
    </w:p>
    <w:p w14:paraId="24B206CB">
      <w:pPr>
        <w:pStyle w:val="9"/>
        <w:snapToGrid w:val="0"/>
        <w:spacing w:line="620" w:lineRule="exact"/>
        <w:ind w:firstLine="640" w:firstLineChars="200"/>
        <w:textAlignment w:val="baseline"/>
        <w:rPr>
          <w:rFonts w:ascii="仿宋" w:hAnsi="仿宋" w:eastAsia="仿宋" w:cs="楷体_GB2312"/>
          <w:color w:val="000000"/>
          <w:sz w:val="32"/>
          <w:szCs w:val="32"/>
          <w:lang w:val="en-US"/>
        </w:rPr>
      </w:pPr>
      <w:r>
        <w:rPr>
          <w:rFonts w:hint="eastAsia" w:ascii="仿宋" w:hAnsi="仿宋" w:eastAsia="仿宋" w:cs="楷体_GB2312"/>
          <w:color w:val="000000"/>
          <w:sz w:val="32"/>
          <w:szCs w:val="32"/>
          <w:lang w:val="en-US"/>
        </w:rPr>
        <w:t>3、《中华人民共和国港口法》（2015年修订）</w:t>
      </w:r>
    </w:p>
    <w:p w14:paraId="46CC9C3B">
      <w:pPr>
        <w:pStyle w:val="9"/>
        <w:snapToGrid w:val="0"/>
        <w:spacing w:line="620" w:lineRule="exact"/>
        <w:ind w:firstLine="640" w:firstLineChars="200"/>
        <w:textAlignment w:val="baseline"/>
        <w:rPr>
          <w:rFonts w:ascii="仿宋" w:hAnsi="仿宋" w:eastAsia="仿宋" w:cs="楷体_GB2312"/>
          <w:color w:val="000000"/>
          <w:sz w:val="32"/>
          <w:szCs w:val="32"/>
          <w:lang w:val="en-US"/>
        </w:rPr>
      </w:pPr>
      <w:r>
        <w:rPr>
          <w:rFonts w:hint="eastAsia" w:ascii="仿宋" w:hAnsi="仿宋" w:eastAsia="仿宋" w:cs="楷体_GB2312"/>
          <w:color w:val="000000"/>
          <w:sz w:val="32"/>
          <w:szCs w:val="32"/>
          <w:lang w:val="en-US"/>
        </w:rPr>
        <w:t>4、《中华人民共和国航道法》（2015年施行）</w:t>
      </w:r>
    </w:p>
    <w:p w14:paraId="4D69041E">
      <w:pPr>
        <w:pStyle w:val="9"/>
        <w:snapToGrid w:val="0"/>
        <w:spacing w:line="620" w:lineRule="exact"/>
        <w:ind w:firstLine="640" w:firstLineChars="200"/>
        <w:textAlignment w:val="baseline"/>
        <w:rPr>
          <w:rFonts w:ascii="仿宋" w:hAnsi="仿宋" w:eastAsia="仿宋" w:cs="楷体_GB2312"/>
          <w:color w:val="000000"/>
          <w:sz w:val="32"/>
          <w:szCs w:val="32"/>
          <w:lang w:val="en-US"/>
        </w:rPr>
      </w:pPr>
      <w:r>
        <w:rPr>
          <w:rFonts w:hint="eastAsia" w:ascii="仿宋" w:hAnsi="仿宋" w:eastAsia="仿宋" w:cs="楷体_GB2312"/>
          <w:color w:val="000000"/>
          <w:sz w:val="32"/>
          <w:szCs w:val="32"/>
          <w:lang w:val="en-US"/>
        </w:rPr>
        <w:t>5、《中华人民共和国招标投标法》（2017年修订）</w:t>
      </w:r>
    </w:p>
    <w:p w14:paraId="31A14AC5">
      <w:pPr>
        <w:pStyle w:val="9"/>
        <w:snapToGrid w:val="0"/>
        <w:spacing w:line="620" w:lineRule="exact"/>
        <w:ind w:firstLine="640" w:firstLineChars="200"/>
        <w:textAlignment w:val="baseline"/>
        <w:rPr>
          <w:rFonts w:ascii="仿宋" w:hAnsi="仿宋" w:eastAsia="仿宋" w:cs="楷体_GB2312"/>
          <w:color w:val="000000"/>
          <w:sz w:val="32"/>
          <w:szCs w:val="32"/>
          <w:lang w:val="en-US"/>
        </w:rPr>
      </w:pPr>
      <w:r>
        <w:rPr>
          <w:rFonts w:hint="eastAsia" w:ascii="仿宋" w:hAnsi="仿宋" w:eastAsia="仿宋" w:cs="楷体_GB2312"/>
          <w:color w:val="000000"/>
          <w:sz w:val="32"/>
          <w:szCs w:val="32"/>
          <w:lang w:val="en-US"/>
        </w:rPr>
        <w:t>6、《建设工程质量管理条例》（中华人民共和国国务院令第279号）</w:t>
      </w:r>
    </w:p>
    <w:p w14:paraId="76A36B72">
      <w:pPr>
        <w:pStyle w:val="9"/>
        <w:snapToGrid w:val="0"/>
        <w:spacing w:line="620" w:lineRule="exact"/>
        <w:ind w:firstLine="640" w:firstLineChars="200"/>
        <w:textAlignment w:val="baseline"/>
        <w:rPr>
          <w:rFonts w:ascii="仿宋" w:hAnsi="仿宋" w:eastAsia="仿宋" w:cs="楷体_GB2312"/>
          <w:color w:val="000000"/>
          <w:sz w:val="32"/>
          <w:szCs w:val="32"/>
          <w:lang w:val="en-US"/>
        </w:rPr>
      </w:pPr>
      <w:r>
        <w:rPr>
          <w:rFonts w:hint="eastAsia" w:ascii="仿宋" w:hAnsi="仿宋" w:eastAsia="仿宋" w:cs="楷体_GB2312"/>
          <w:color w:val="000000"/>
          <w:sz w:val="32"/>
          <w:szCs w:val="32"/>
          <w:lang w:val="en-US"/>
        </w:rPr>
        <w:t>7、《保障农民工工资支付条例》（中华人民共和国国务院令第724号）</w:t>
      </w:r>
    </w:p>
    <w:p w14:paraId="7353E7D3">
      <w:pPr>
        <w:pStyle w:val="9"/>
        <w:snapToGrid w:val="0"/>
        <w:spacing w:line="620" w:lineRule="exact"/>
        <w:ind w:firstLine="640" w:firstLineChars="200"/>
        <w:textAlignment w:val="baseline"/>
        <w:rPr>
          <w:rFonts w:ascii="仿宋" w:hAnsi="仿宋" w:eastAsia="仿宋" w:cstheme="minorEastAsia"/>
          <w:color w:val="000000"/>
          <w:sz w:val="32"/>
          <w:szCs w:val="32"/>
          <w:lang w:val="en-US"/>
        </w:rPr>
      </w:pPr>
      <w:r>
        <w:rPr>
          <w:rFonts w:hint="eastAsia" w:ascii="仿宋" w:hAnsi="仿宋" w:eastAsia="仿宋" w:cstheme="minorEastAsia"/>
          <w:color w:val="000000"/>
          <w:sz w:val="32"/>
          <w:szCs w:val="32"/>
          <w:lang w:val="en-US"/>
        </w:rPr>
        <w:t>第四十三条相关行业工程建设主管部门应当依法规范本领域建设市场秩序，对违法发包、 转包、违法分包、挂靠等行为进行查处，并对导致拖欠农民工工资的违法行为及时予以制止、纠正。</w:t>
      </w:r>
    </w:p>
    <w:p w14:paraId="465DA945">
      <w:pPr>
        <w:pStyle w:val="9"/>
        <w:snapToGrid w:val="0"/>
        <w:spacing w:line="620" w:lineRule="exact"/>
        <w:ind w:firstLine="640" w:firstLineChars="200"/>
        <w:textAlignment w:val="baseline"/>
        <w:rPr>
          <w:rFonts w:ascii="仿宋" w:hAnsi="仿宋" w:eastAsia="仿宋" w:cs="楷体_GB2312"/>
          <w:color w:val="000000"/>
          <w:sz w:val="32"/>
          <w:szCs w:val="32"/>
          <w:lang w:val="en-US"/>
        </w:rPr>
      </w:pPr>
      <w:r>
        <w:rPr>
          <w:rFonts w:hint="eastAsia" w:ascii="仿宋" w:hAnsi="仿宋" w:eastAsia="仿宋" w:cs="楷体_GB2312"/>
          <w:color w:val="000000"/>
          <w:sz w:val="32"/>
          <w:szCs w:val="32"/>
          <w:lang w:val="en-US"/>
        </w:rPr>
        <w:t>8、《公路建设市场管理办法》（2015年修订）</w:t>
      </w:r>
    </w:p>
    <w:p w14:paraId="4817D429">
      <w:pPr>
        <w:pStyle w:val="9"/>
        <w:snapToGrid w:val="0"/>
        <w:spacing w:line="620" w:lineRule="exact"/>
        <w:ind w:firstLine="640" w:firstLineChars="200"/>
        <w:textAlignment w:val="baseline"/>
        <w:rPr>
          <w:rFonts w:ascii="仿宋" w:hAnsi="仿宋" w:eastAsia="仿宋" w:cstheme="minorEastAsia"/>
          <w:color w:val="000000"/>
          <w:sz w:val="32"/>
          <w:szCs w:val="32"/>
          <w:lang w:val="en-US"/>
        </w:rPr>
      </w:pPr>
      <w:r>
        <w:rPr>
          <w:rFonts w:hint="eastAsia" w:ascii="仿宋" w:hAnsi="仿宋" w:eastAsia="仿宋" w:cstheme="minorEastAsia"/>
          <w:color w:val="000000"/>
          <w:sz w:val="32"/>
          <w:szCs w:val="32"/>
          <w:lang w:val="en-US"/>
        </w:rPr>
        <w:t>第九条省级以下地方人民政府交通运输主管部门负责本行政区域内公路建设市场的监督管理工作，主要职责是:（三）对本行政区域内公路建设市场进行监督检查；</w:t>
      </w:r>
    </w:p>
    <w:p w14:paraId="3778E2D8">
      <w:pPr>
        <w:pStyle w:val="9"/>
        <w:snapToGrid w:val="0"/>
        <w:spacing w:line="620" w:lineRule="exact"/>
        <w:ind w:firstLine="640" w:firstLineChars="200"/>
        <w:textAlignment w:val="baseline"/>
        <w:rPr>
          <w:rFonts w:ascii="仿宋" w:hAnsi="仿宋" w:eastAsia="仿宋" w:cs="楷体_GB2312"/>
          <w:color w:val="000000"/>
          <w:sz w:val="32"/>
          <w:szCs w:val="32"/>
          <w:lang w:val="en-US"/>
        </w:rPr>
      </w:pPr>
      <w:r>
        <w:rPr>
          <w:rFonts w:hint="eastAsia" w:ascii="仿宋" w:hAnsi="仿宋" w:eastAsia="仿宋" w:cs="楷体_GB2312"/>
          <w:color w:val="000000"/>
          <w:sz w:val="32"/>
          <w:szCs w:val="32"/>
          <w:lang w:val="en-US"/>
        </w:rPr>
        <w:t>9、《公路建设市场督查工作规则》（交公路发〔2015〕59号）</w:t>
      </w:r>
    </w:p>
    <w:p w14:paraId="2BA721E7">
      <w:pPr>
        <w:pStyle w:val="9"/>
        <w:snapToGrid w:val="0"/>
        <w:spacing w:line="620" w:lineRule="exact"/>
        <w:ind w:firstLine="640" w:firstLineChars="200"/>
        <w:textAlignment w:val="baseline"/>
        <w:rPr>
          <w:rFonts w:ascii="仿宋" w:hAnsi="仿宋" w:eastAsia="仿宋" w:cs="楷体_GB2312"/>
          <w:color w:val="000000"/>
          <w:sz w:val="32"/>
          <w:szCs w:val="32"/>
          <w:lang w:val="en-US"/>
        </w:rPr>
      </w:pPr>
      <w:r>
        <w:rPr>
          <w:rFonts w:hint="eastAsia" w:ascii="仿宋" w:hAnsi="仿宋" w:eastAsia="仿宋" w:cs="楷体_GB2312"/>
          <w:color w:val="000000"/>
          <w:sz w:val="32"/>
          <w:szCs w:val="32"/>
          <w:lang w:val="en-US"/>
        </w:rPr>
        <w:t>10、《公路工程施工分包管理办法》（2021年修订）</w:t>
      </w:r>
    </w:p>
    <w:p w14:paraId="402CC202">
      <w:pPr>
        <w:pStyle w:val="9"/>
        <w:snapToGrid w:val="0"/>
        <w:spacing w:line="620" w:lineRule="exact"/>
        <w:ind w:firstLine="640" w:firstLineChars="200"/>
        <w:textAlignment w:val="baseline"/>
        <w:rPr>
          <w:rFonts w:ascii="楷体_GB2312" w:hAnsi="楷体_GB2312" w:eastAsia="楷体_GB2312" w:cs="楷体_GB2312"/>
          <w:color w:val="000000"/>
          <w:sz w:val="32"/>
          <w:szCs w:val="32"/>
          <w:lang w:val="en-US"/>
        </w:rPr>
      </w:pPr>
    </w:p>
    <w:p w14:paraId="600CA688">
      <w:pPr>
        <w:spacing w:line="620" w:lineRule="exact"/>
        <w:rPr>
          <w:rFonts w:ascii="楷体_GB2312" w:hAnsi="楷体_GB2312" w:eastAsia="楷体_GB2312" w:cs="楷体_GB2312"/>
          <w:color w:val="000000"/>
        </w:rPr>
      </w:pPr>
      <w:r>
        <w:rPr>
          <w:rFonts w:hint="eastAsia" w:ascii="楷体_GB2312" w:hAnsi="楷体_GB2312" w:eastAsia="楷体_GB2312" w:cs="楷体_GB2312"/>
          <w:color w:val="000000"/>
        </w:rPr>
        <w:br w:type="page"/>
      </w:r>
    </w:p>
    <w:p w14:paraId="38FD7F3C">
      <w:pPr>
        <w:pStyle w:val="9"/>
        <w:spacing w:before="280" w:after="280" w:line="620" w:lineRule="exact"/>
        <w:ind w:firstLine="0"/>
        <w:jc w:val="center"/>
        <w:outlineLvl w:val="0"/>
        <w:rPr>
          <w:rFonts w:ascii="黑体" w:hAnsi="黑体" w:eastAsia="黑体" w:cs="黑体"/>
          <w:color w:val="000000"/>
          <w:sz w:val="32"/>
          <w:szCs w:val="32"/>
          <w:lang w:val="en-US"/>
        </w:rPr>
      </w:pPr>
      <w:bookmarkStart w:id="3" w:name="_Toc22854"/>
      <w:r>
        <w:rPr>
          <w:rFonts w:hint="eastAsia" w:ascii="黑体" w:hAnsi="黑体" w:eastAsia="黑体" w:cs="黑体"/>
          <w:color w:val="000000"/>
          <w:sz w:val="32"/>
          <w:szCs w:val="32"/>
          <w:lang w:val="en-US"/>
        </w:rPr>
        <w:t>第二章  对车辆维修企业经营情况的监督检查工作指引</w:t>
      </w:r>
      <w:bookmarkEnd w:id="3"/>
    </w:p>
    <w:p w14:paraId="5AED5CA8">
      <w:pPr>
        <w:pStyle w:val="9"/>
        <w:snapToGrid w:val="0"/>
        <w:spacing w:line="620" w:lineRule="exact"/>
        <w:ind w:firstLine="640" w:firstLineChars="200"/>
        <w:textAlignment w:val="baseline"/>
        <w:rPr>
          <w:rFonts w:eastAsia="黑体" w:cs="黑体"/>
          <w:color w:val="000000"/>
          <w:sz w:val="32"/>
          <w:szCs w:val="32"/>
          <w:lang w:val="en-US"/>
        </w:rPr>
      </w:pPr>
      <w:r>
        <w:rPr>
          <w:rFonts w:hint="eastAsia" w:eastAsia="黑体" w:cs="黑体"/>
          <w:color w:val="000000"/>
          <w:sz w:val="32"/>
          <w:szCs w:val="32"/>
          <w:lang w:val="en-US"/>
        </w:rPr>
        <w:t>一、抽查事项</w:t>
      </w:r>
    </w:p>
    <w:p w14:paraId="605BD441">
      <w:pPr>
        <w:pStyle w:val="9"/>
        <w:snapToGrid w:val="0"/>
        <w:spacing w:line="620" w:lineRule="exact"/>
        <w:ind w:firstLine="640" w:firstLineChars="200"/>
        <w:textAlignment w:val="baseline"/>
        <w:rPr>
          <w:rFonts w:ascii="仿宋" w:hAnsi="仿宋" w:eastAsia="仿宋"/>
          <w:color w:val="000000"/>
          <w:sz w:val="32"/>
          <w:szCs w:val="32"/>
          <w:lang w:val="en-US"/>
        </w:rPr>
      </w:pPr>
      <w:bookmarkStart w:id="4" w:name="bookmark3318"/>
      <w:r>
        <w:rPr>
          <w:rFonts w:hint="eastAsia" w:ascii="仿宋" w:hAnsi="仿宋" w:eastAsia="仿宋"/>
          <w:color w:val="000000"/>
          <w:sz w:val="32"/>
          <w:szCs w:val="32"/>
          <w:lang w:val="en-US"/>
        </w:rPr>
        <w:t>车辆维修企业经营情况的检查</w:t>
      </w:r>
    </w:p>
    <w:bookmarkEnd w:id="4"/>
    <w:p w14:paraId="63BD6173">
      <w:pPr>
        <w:pStyle w:val="9"/>
        <w:snapToGrid w:val="0"/>
        <w:spacing w:line="620" w:lineRule="exact"/>
        <w:ind w:firstLine="640" w:firstLineChars="200"/>
        <w:textAlignment w:val="baseline"/>
        <w:rPr>
          <w:rFonts w:eastAsia="宋体"/>
          <w:color w:val="000000"/>
          <w:sz w:val="32"/>
          <w:szCs w:val="32"/>
          <w:lang w:val="en-US"/>
        </w:rPr>
      </w:pPr>
      <w:r>
        <w:rPr>
          <w:rFonts w:hint="eastAsia" w:eastAsia="黑体" w:cs="黑体"/>
          <w:color w:val="000000"/>
          <w:sz w:val="32"/>
          <w:szCs w:val="32"/>
          <w:lang w:val="en-US"/>
        </w:rPr>
        <w:t>二、检查内容和方法</w:t>
      </w:r>
    </w:p>
    <w:p w14:paraId="6CF2EB16">
      <w:pPr>
        <w:pStyle w:val="9"/>
        <w:snapToGrid w:val="0"/>
        <w:spacing w:line="620" w:lineRule="exact"/>
        <w:ind w:firstLine="640" w:firstLineChars="200"/>
        <w:textAlignment w:val="baseline"/>
        <w:rPr>
          <w:rFonts w:ascii="楷体" w:hAnsi="楷体" w:eastAsia="楷体" w:cs="楷体_GB2312"/>
          <w:color w:val="000000"/>
          <w:sz w:val="32"/>
          <w:szCs w:val="32"/>
          <w:lang w:val="en-US"/>
        </w:rPr>
      </w:pPr>
      <w:r>
        <w:rPr>
          <w:rFonts w:hint="eastAsia" w:ascii="楷体" w:hAnsi="楷体" w:eastAsia="楷体" w:cs="楷体_GB2312"/>
          <w:color w:val="000000"/>
          <w:sz w:val="32"/>
          <w:szCs w:val="32"/>
          <w:lang w:val="en-US"/>
        </w:rPr>
        <w:t>（―）企业经营条件的检查</w:t>
      </w:r>
    </w:p>
    <w:p w14:paraId="33B220F9">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人员条件：查看人员技术档案、人员培训记录、证书等是否符合《汽车维修业开业条件》（GB/T16739 - 2014）关于人员条件的要求。</w:t>
      </w:r>
    </w:p>
    <w:p w14:paraId="45E1418E">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设施、设备条件：查看现场、设施、设备是否符合《汽车维修业开业条件》（GB/T16739 - 2014）关于设施、设备条件的要求。</w:t>
      </w:r>
    </w:p>
    <w:p w14:paraId="2598B94A">
      <w:pPr>
        <w:pStyle w:val="9"/>
        <w:snapToGrid w:val="0"/>
        <w:spacing w:line="620" w:lineRule="exact"/>
        <w:ind w:firstLine="640" w:firstLineChars="200"/>
        <w:textAlignment w:val="baseline"/>
        <w:rPr>
          <w:rFonts w:ascii="楷体" w:hAnsi="楷体" w:eastAsia="楷体" w:cs="楷体_GB2312"/>
          <w:color w:val="000000"/>
          <w:sz w:val="32"/>
          <w:szCs w:val="32"/>
          <w:lang w:val="en-US"/>
        </w:rPr>
      </w:pPr>
      <w:bookmarkStart w:id="5" w:name="bookmark3319"/>
      <w:r>
        <w:rPr>
          <w:rFonts w:hint="eastAsia" w:ascii="楷体" w:hAnsi="楷体" w:eastAsia="楷体" w:cs="楷体_GB2312"/>
          <w:color w:val="000000"/>
          <w:sz w:val="32"/>
          <w:szCs w:val="32"/>
          <w:lang w:val="en-US"/>
        </w:rPr>
        <w:t>（</w:t>
      </w:r>
      <w:bookmarkEnd w:id="5"/>
      <w:r>
        <w:rPr>
          <w:rFonts w:hint="eastAsia" w:ascii="楷体" w:hAnsi="楷体" w:eastAsia="楷体" w:cs="楷体_GB2312"/>
          <w:color w:val="000000"/>
          <w:sz w:val="32"/>
          <w:szCs w:val="32"/>
          <w:lang w:val="en-US"/>
        </w:rPr>
        <w:t>二）安全生产条件的检查</w:t>
      </w:r>
    </w:p>
    <w:p w14:paraId="6377B0CE">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查看制度文本、预案文件，现场是否存在安全隐患。</w:t>
      </w:r>
    </w:p>
    <w:p w14:paraId="5B8FBEF1">
      <w:pPr>
        <w:pStyle w:val="9"/>
        <w:snapToGrid w:val="0"/>
        <w:spacing w:line="620" w:lineRule="exact"/>
        <w:ind w:firstLine="640" w:firstLineChars="200"/>
        <w:textAlignment w:val="baseline"/>
        <w:rPr>
          <w:rFonts w:ascii="楷体" w:hAnsi="楷体" w:eastAsia="楷体" w:cs="楷体_GB2312"/>
          <w:color w:val="000000"/>
          <w:sz w:val="32"/>
          <w:szCs w:val="32"/>
          <w:lang w:val="en-US"/>
        </w:rPr>
      </w:pPr>
      <w:bookmarkStart w:id="6" w:name="bookmark3320"/>
      <w:r>
        <w:rPr>
          <w:rFonts w:hint="eastAsia" w:ascii="楷体" w:hAnsi="楷体" w:eastAsia="楷体" w:cs="楷体_GB2312"/>
          <w:color w:val="000000"/>
          <w:sz w:val="32"/>
          <w:szCs w:val="32"/>
          <w:lang w:val="en-US"/>
        </w:rPr>
        <w:t>（</w:t>
      </w:r>
      <w:bookmarkEnd w:id="6"/>
      <w:r>
        <w:rPr>
          <w:rFonts w:hint="eastAsia" w:ascii="楷体" w:hAnsi="楷体" w:eastAsia="楷体" w:cs="楷体_GB2312"/>
          <w:color w:val="000000"/>
          <w:sz w:val="32"/>
          <w:szCs w:val="32"/>
          <w:lang w:val="en-US"/>
        </w:rPr>
        <w:t>三）维修质量管理情况的检查</w:t>
      </w:r>
    </w:p>
    <w:p w14:paraId="75D490C5">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查看相关文件、资料、质量保证体系文件、车辆维修档案、现场公示以及相关制度、记录是否齐全。</w:t>
      </w:r>
    </w:p>
    <w:p w14:paraId="5F4FC9E3">
      <w:pPr>
        <w:pStyle w:val="9"/>
        <w:snapToGrid w:val="0"/>
        <w:spacing w:line="620" w:lineRule="exact"/>
        <w:ind w:firstLine="640" w:firstLineChars="200"/>
        <w:textAlignment w:val="baseline"/>
        <w:rPr>
          <w:rFonts w:ascii="楷体" w:hAnsi="楷体" w:eastAsia="楷体" w:cs="楷体_GB2312"/>
          <w:color w:val="000000"/>
          <w:sz w:val="32"/>
          <w:szCs w:val="32"/>
          <w:lang w:val="en-US"/>
        </w:rPr>
      </w:pPr>
      <w:bookmarkStart w:id="7" w:name="bookmark3321"/>
      <w:r>
        <w:rPr>
          <w:rFonts w:hint="eastAsia" w:ascii="楷体" w:hAnsi="楷体" w:eastAsia="楷体" w:cs="楷体_GB2312"/>
          <w:color w:val="000000"/>
          <w:sz w:val="32"/>
          <w:szCs w:val="32"/>
          <w:lang w:val="en-US"/>
        </w:rPr>
        <w:t>（</w:t>
      </w:r>
      <w:bookmarkEnd w:id="7"/>
      <w:r>
        <w:rPr>
          <w:rFonts w:hint="eastAsia" w:ascii="楷体" w:hAnsi="楷体" w:eastAsia="楷体" w:cs="楷体_GB2312"/>
          <w:color w:val="000000"/>
          <w:sz w:val="32"/>
          <w:szCs w:val="32"/>
          <w:lang w:val="en-US"/>
        </w:rPr>
        <w:t>四）服务质量管理情况的检查</w:t>
      </w:r>
    </w:p>
    <w:p w14:paraId="7B024065">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查看各种制度、档案、记录是否齐全。</w:t>
      </w:r>
    </w:p>
    <w:p w14:paraId="0AC7B209">
      <w:pPr>
        <w:pStyle w:val="9"/>
        <w:snapToGrid w:val="0"/>
        <w:spacing w:line="620" w:lineRule="exact"/>
        <w:ind w:firstLine="640" w:firstLineChars="200"/>
        <w:textAlignment w:val="baseline"/>
        <w:rPr>
          <w:rFonts w:ascii="楷体" w:hAnsi="楷体" w:eastAsia="楷体" w:cs="楷体_GB2312"/>
          <w:color w:val="000000"/>
          <w:sz w:val="32"/>
          <w:szCs w:val="32"/>
          <w:lang w:val="en-US"/>
        </w:rPr>
      </w:pPr>
      <w:bookmarkStart w:id="8" w:name="bookmark3322"/>
      <w:r>
        <w:rPr>
          <w:rFonts w:hint="eastAsia" w:ascii="楷体" w:hAnsi="楷体" w:eastAsia="楷体" w:cs="楷体_GB2312"/>
          <w:color w:val="000000"/>
          <w:sz w:val="32"/>
          <w:szCs w:val="32"/>
          <w:lang w:val="en-US"/>
        </w:rPr>
        <w:t>（</w:t>
      </w:r>
      <w:bookmarkEnd w:id="8"/>
      <w:r>
        <w:rPr>
          <w:rFonts w:hint="eastAsia" w:ascii="楷体" w:hAnsi="楷体" w:eastAsia="楷体" w:cs="楷体_GB2312"/>
          <w:color w:val="000000"/>
          <w:sz w:val="32"/>
          <w:szCs w:val="32"/>
          <w:lang w:val="en-US"/>
        </w:rPr>
        <w:t>五）应急预案的检查</w:t>
      </w:r>
    </w:p>
    <w:p w14:paraId="28C8DB83">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查看预案文本是否建立。</w:t>
      </w:r>
    </w:p>
    <w:p w14:paraId="52DEB229">
      <w:pPr>
        <w:pStyle w:val="9"/>
        <w:snapToGrid w:val="0"/>
        <w:spacing w:line="620" w:lineRule="exact"/>
        <w:ind w:firstLine="640" w:firstLineChars="200"/>
        <w:textAlignment w:val="baseline"/>
        <w:rPr>
          <w:rFonts w:eastAsia="宋体"/>
          <w:color w:val="000000"/>
          <w:sz w:val="32"/>
          <w:szCs w:val="32"/>
          <w:lang w:val="en-US"/>
        </w:rPr>
      </w:pPr>
      <w:r>
        <w:rPr>
          <w:rFonts w:hint="eastAsia" w:eastAsia="黑体" w:cs="黑体"/>
          <w:color w:val="000000"/>
          <w:sz w:val="32"/>
          <w:szCs w:val="32"/>
          <w:lang w:val="en-US"/>
        </w:rPr>
        <w:t>三、检查依据</w:t>
      </w:r>
    </w:p>
    <w:p w14:paraId="242E56EA">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（一）《中华人民共和国道路运输条例》（2019年3月2日修正版，国务院709号令）</w:t>
      </w:r>
    </w:p>
    <w:p w14:paraId="05A2E24A">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（二）《汽车维修业开业条件》（GB/T16739 - 2014）。</w:t>
      </w:r>
    </w:p>
    <w:p w14:paraId="1ABC6E43">
      <w:pPr>
        <w:pStyle w:val="9"/>
        <w:snapToGrid w:val="0"/>
        <w:spacing w:line="620" w:lineRule="exact"/>
        <w:ind w:left="0" w:leftChars="0" w:firstLine="0" w:firstLineChars="0"/>
        <w:textAlignment w:val="baseline"/>
      </w:pPr>
      <w:r>
        <w:br w:type="page"/>
      </w:r>
    </w:p>
    <w:p w14:paraId="4043268F">
      <w:pPr>
        <w:pStyle w:val="9"/>
        <w:spacing w:before="280" w:after="280" w:line="620" w:lineRule="exact"/>
        <w:ind w:firstLine="0"/>
        <w:jc w:val="center"/>
        <w:outlineLvl w:val="0"/>
        <w:rPr>
          <w:rFonts w:ascii="黑体" w:hAnsi="黑体" w:eastAsia="黑体" w:cs="黑体"/>
          <w:color w:val="000000"/>
          <w:sz w:val="32"/>
          <w:szCs w:val="32"/>
          <w:lang w:val="en-US"/>
        </w:rPr>
      </w:pPr>
      <w:bookmarkStart w:id="9" w:name="_Toc21117"/>
      <w:r>
        <w:rPr>
          <w:rFonts w:hint="eastAsia" w:ascii="黑体" w:hAnsi="黑体" w:eastAsia="黑体" w:cs="黑体"/>
          <w:color w:val="000000"/>
          <w:sz w:val="32"/>
          <w:szCs w:val="32"/>
          <w:lang w:val="en-US"/>
        </w:rPr>
        <w:t>第</w:t>
      </w: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lang w:val="en-US"/>
        </w:rPr>
        <w:t>章 对城市公共汽电车客运（含线路经营）的监督检查工作指引</w:t>
      </w:r>
      <w:bookmarkEnd w:id="9"/>
    </w:p>
    <w:p w14:paraId="3C25AE6B">
      <w:pPr>
        <w:pStyle w:val="9"/>
        <w:snapToGrid w:val="0"/>
        <w:spacing w:line="620" w:lineRule="exact"/>
        <w:ind w:firstLine="640" w:firstLineChars="200"/>
        <w:textAlignment w:val="baseline"/>
        <w:rPr>
          <w:rFonts w:eastAsia="黑体" w:cs="黑体"/>
          <w:color w:val="000000"/>
          <w:sz w:val="32"/>
          <w:szCs w:val="32"/>
          <w:lang w:val="en-US"/>
        </w:rPr>
      </w:pPr>
      <w:r>
        <w:rPr>
          <w:rFonts w:hint="eastAsia" w:eastAsia="黑体" w:cs="黑体"/>
          <w:color w:val="000000"/>
          <w:sz w:val="32"/>
          <w:szCs w:val="32"/>
          <w:lang w:val="en-US"/>
        </w:rPr>
        <w:t>一、抽查事项</w:t>
      </w:r>
    </w:p>
    <w:p w14:paraId="206D5CDD">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城市公共汽电车客运经营企业（含线路经营）</w:t>
      </w:r>
    </w:p>
    <w:p w14:paraId="52EFBE48">
      <w:pPr>
        <w:pStyle w:val="9"/>
        <w:snapToGrid w:val="0"/>
        <w:spacing w:line="620" w:lineRule="exact"/>
        <w:ind w:firstLine="640" w:firstLineChars="200"/>
        <w:textAlignment w:val="baseline"/>
        <w:rPr>
          <w:rFonts w:eastAsia="黑体" w:cs="黑体"/>
          <w:color w:val="000000"/>
          <w:sz w:val="32"/>
          <w:szCs w:val="32"/>
          <w:lang w:val="en-US"/>
        </w:rPr>
      </w:pPr>
      <w:r>
        <w:rPr>
          <w:rFonts w:hint="eastAsia" w:eastAsia="黑体" w:cs="黑体"/>
          <w:color w:val="000000"/>
          <w:sz w:val="32"/>
          <w:szCs w:val="32"/>
          <w:lang w:val="en-US"/>
        </w:rPr>
        <w:t>二、检查内容和方法</w:t>
      </w:r>
    </w:p>
    <w:p w14:paraId="3F12C87E">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（一）投入运营车辆是否与许可一致、与其经营业务相适应并经检测合格。</w:t>
      </w:r>
    </w:p>
    <w:p w14:paraId="27598746">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（二）驾驶人员是否符合规定条件，是否遵守道路运输安全生产制度和操作规程。</w:t>
      </w:r>
    </w:p>
    <w:p w14:paraId="3DF18E78">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（三）运营线路是否符合规定。</w:t>
      </w:r>
    </w:p>
    <w:p w14:paraId="262A787D">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（四）安全生产、运营服务情况。</w:t>
      </w:r>
    </w:p>
    <w:p w14:paraId="0443A3FB">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（五）法律、行政法规规定的其他要求落实情况。</w:t>
      </w:r>
    </w:p>
    <w:p w14:paraId="3D025FF1">
      <w:pPr>
        <w:pStyle w:val="9"/>
        <w:snapToGrid w:val="0"/>
        <w:spacing w:line="620" w:lineRule="exact"/>
        <w:ind w:firstLine="640" w:firstLineChars="200"/>
        <w:textAlignment w:val="baseline"/>
        <w:rPr>
          <w:rFonts w:eastAsia="黑体" w:cs="黑体"/>
          <w:color w:val="000000"/>
          <w:sz w:val="32"/>
          <w:szCs w:val="32"/>
          <w:lang w:val="en-US"/>
        </w:rPr>
      </w:pPr>
      <w:r>
        <w:rPr>
          <w:rFonts w:hint="eastAsia" w:eastAsia="黑体" w:cs="黑体"/>
          <w:color w:val="000000"/>
          <w:sz w:val="32"/>
          <w:szCs w:val="32"/>
          <w:lang w:val="en-US"/>
        </w:rPr>
        <w:t>三、检查依据</w:t>
      </w:r>
    </w:p>
    <w:p w14:paraId="27BB3227">
      <w:pPr>
        <w:pStyle w:val="9"/>
        <w:snapToGrid w:val="0"/>
        <w:spacing w:line="620" w:lineRule="exact"/>
        <w:ind w:firstLine="640" w:firstLineChars="200"/>
        <w:textAlignment w:val="baseline"/>
        <w:rPr>
          <w:rFonts w:ascii="楷体" w:hAnsi="楷体" w:eastAsia="楷体" w:cs="楷体_GB2312"/>
          <w:color w:val="000000"/>
          <w:sz w:val="32"/>
          <w:szCs w:val="32"/>
          <w:lang w:val="en-US"/>
        </w:rPr>
      </w:pPr>
      <w:r>
        <w:rPr>
          <w:rFonts w:hint="eastAsia" w:ascii="楷体" w:hAnsi="楷体" w:eastAsia="楷体" w:cs="楷体_GB2312"/>
          <w:color w:val="000000"/>
          <w:sz w:val="32"/>
          <w:szCs w:val="32"/>
          <w:lang w:val="en-US"/>
        </w:rPr>
        <w:t>（一）《山东省道路运输条例》</w:t>
      </w:r>
    </w:p>
    <w:p w14:paraId="4F79E063">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第四十九条第二款 交通运输行政主管部门应当加强对道路运输市场准入条件的审查，依法对道路运输站（场）安全生产、道路运输车辆技术状况、道路运输从业人员资格进行监督管理，提高道路运输安全生产水平。</w:t>
      </w:r>
    </w:p>
    <w:p w14:paraId="7E5698F9">
      <w:pPr>
        <w:pStyle w:val="9"/>
        <w:snapToGrid w:val="0"/>
        <w:spacing w:line="620" w:lineRule="exact"/>
        <w:ind w:firstLine="640" w:firstLineChars="200"/>
        <w:textAlignment w:val="baseline"/>
        <w:rPr>
          <w:rFonts w:ascii="楷体" w:hAnsi="楷体" w:eastAsia="楷体" w:cs="楷体_GB2312"/>
          <w:color w:val="000000"/>
          <w:sz w:val="32"/>
          <w:szCs w:val="32"/>
          <w:lang w:val="en-US"/>
        </w:rPr>
      </w:pPr>
      <w:r>
        <w:rPr>
          <w:rFonts w:hint="eastAsia" w:ascii="楷体" w:hAnsi="楷体" w:eastAsia="楷体" w:cs="楷体_GB2312"/>
          <w:color w:val="000000"/>
          <w:sz w:val="32"/>
          <w:szCs w:val="32"/>
          <w:lang w:val="en-US"/>
        </w:rPr>
        <w:t>（二）《城市公共汽车和电车客运管理规定》</w:t>
      </w:r>
    </w:p>
    <w:p w14:paraId="07C510B0">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第五十五条 城市公共交通主管部门应当建立“双随机”抽查制度，并定期对城市公共汽电车客运进行监督检查，维护正常的运营秩序，保障运营服务质量。</w:t>
      </w:r>
    </w:p>
    <w:p w14:paraId="2B878516">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第五十七条 城市公共交通主管部门应当建立运营企业服务质量评价制度，定期对运营企业的服务质量进行评价并向社会公布，评价结果作为衡量运营企业运营绩效、发放政府补贴和线路运营权管理等的依据。对服务质量评价不合格的线路，城市公共交通主管部门应当责令相关运营企业整改。整改不合格，严重危害公共利益，或者造成重大安全事故的，城市公共交通主管部门可以终止其部分或者全部线路运营权的协议内容。</w:t>
      </w:r>
    </w:p>
    <w:p w14:paraId="4F19BCA8">
      <w:pPr>
        <w:pStyle w:val="9"/>
        <w:snapToGrid w:val="0"/>
        <w:spacing w:line="620" w:lineRule="exact"/>
        <w:ind w:firstLine="640" w:firstLineChars="200"/>
        <w:textAlignment w:val="baseline"/>
        <w:rPr>
          <w:sz w:val="32"/>
          <w:szCs w:val="32"/>
        </w:rPr>
      </w:pPr>
      <w:r>
        <w:rPr>
          <w:rFonts w:hint="eastAsia"/>
          <w:sz w:val="32"/>
          <w:szCs w:val="32"/>
        </w:rPr>
        <w:br w:type="page"/>
      </w:r>
    </w:p>
    <w:p w14:paraId="1E08BE90">
      <w:pPr>
        <w:pStyle w:val="9"/>
        <w:spacing w:before="280" w:after="280" w:line="620" w:lineRule="exact"/>
        <w:ind w:firstLine="0"/>
        <w:jc w:val="center"/>
        <w:outlineLvl w:val="0"/>
        <w:rPr>
          <w:rFonts w:ascii="黑体" w:hAnsi="黑体" w:eastAsia="黑体" w:cs="黑体"/>
          <w:color w:val="000000"/>
          <w:sz w:val="32"/>
          <w:szCs w:val="32"/>
          <w:lang w:val="en-US"/>
        </w:rPr>
      </w:pPr>
      <w:bookmarkStart w:id="10" w:name="_Toc22010"/>
      <w:r>
        <w:rPr>
          <w:rFonts w:hint="eastAsia" w:ascii="黑体" w:hAnsi="黑体" w:eastAsia="黑体" w:cs="黑体"/>
          <w:color w:val="000000"/>
          <w:sz w:val="32"/>
          <w:szCs w:val="32"/>
          <w:lang w:val="en-US"/>
        </w:rPr>
        <w:t>第</w:t>
      </w: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lang w:val="en-US"/>
        </w:rPr>
        <w:t>章 对巡游出租汽车客运经营企业的监督检查工作指引</w:t>
      </w:r>
      <w:bookmarkEnd w:id="10"/>
    </w:p>
    <w:p w14:paraId="6A507009">
      <w:pPr>
        <w:pStyle w:val="9"/>
        <w:snapToGrid w:val="0"/>
        <w:spacing w:line="620" w:lineRule="exact"/>
        <w:ind w:firstLine="640" w:firstLineChars="200"/>
        <w:textAlignment w:val="baseline"/>
        <w:rPr>
          <w:rFonts w:eastAsia="黑体" w:cs="黑体"/>
          <w:color w:val="000000"/>
          <w:sz w:val="32"/>
          <w:szCs w:val="32"/>
          <w:lang w:val="en-US"/>
        </w:rPr>
      </w:pPr>
      <w:r>
        <w:rPr>
          <w:rFonts w:hint="eastAsia" w:eastAsia="黑体" w:cs="黑体"/>
          <w:color w:val="000000"/>
          <w:sz w:val="32"/>
          <w:szCs w:val="32"/>
          <w:lang w:val="en-US"/>
        </w:rPr>
        <w:t>一、抽查事项</w:t>
      </w:r>
    </w:p>
    <w:p w14:paraId="54445BD8">
      <w:pPr>
        <w:pStyle w:val="9"/>
        <w:snapToGrid w:val="0"/>
        <w:spacing w:line="620" w:lineRule="exact"/>
        <w:ind w:firstLine="640" w:firstLineChars="200"/>
        <w:textAlignment w:val="baseline"/>
        <w:rPr>
          <w:color w:val="000000"/>
          <w:sz w:val="32"/>
          <w:szCs w:val="32"/>
          <w:lang w:val="en-US"/>
        </w:rPr>
      </w:pPr>
      <w:r>
        <w:rPr>
          <w:rFonts w:hint="eastAsia"/>
          <w:color w:val="000000"/>
          <w:sz w:val="32"/>
          <w:szCs w:val="32"/>
          <w:lang w:val="en-US"/>
        </w:rPr>
        <w:t>巡游出租汽车客运企业监督检查</w:t>
      </w:r>
    </w:p>
    <w:p w14:paraId="404A9C27">
      <w:pPr>
        <w:pStyle w:val="9"/>
        <w:snapToGrid w:val="0"/>
        <w:spacing w:line="620" w:lineRule="exact"/>
        <w:ind w:firstLine="640" w:firstLineChars="200"/>
        <w:textAlignment w:val="baseline"/>
        <w:rPr>
          <w:rFonts w:eastAsia="黑体" w:cs="黑体"/>
          <w:color w:val="000000"/>
          <w:sz w:val="32"/>
          <w:szCs w:val="32"/>
          <w:lang w:val="en-US"/>
        </w:rPr>
      </w:pPr>
      <w:r>
        <w:rPr>
          <w:rFonts w:hint="eastAsia" w:eastAsia="黑体" w:cs="黑体"/>
          <w:color w:val="000000"/>
          <w:sz w:val="32"/>
          <w:szCs w:val="32"/>
          <w:lang w:val="en-US"/>
        </w:rPr>
        <w:t>二、检查内容和方法</w:t>
      </w:r>
    </w:p>
    <w:p w14:paraId="16B57593">
      <w:pPr>
        <w:pStyle w:val="9"/>
        <w:snapToGrid w:val="0"/>
        <w:spacing w:line="620" w:lineRule="exact"/>
        <w:ind w:firstLine="640" w:firstLineChars="200"/>
        <w:textAlignment w:val="baseline"/>
        <w:rPr>
          <w:rFonts w:ascii="仿宋" w:hAnsi="仿宋" w:eastAsia="仿宋" w:cs="楷体_GB2312"/>
          <w:color w:val="000000"/>
          <w:sz w:val="32"/>
          <w:szCs w:val="32"/>
          <w:lang w:val="en-US"/>
        </w:rPr>
      </w:pPr>
      <w:r>
        <w:rPr>
          <w:rFonts w:hint="eastAsia" w:ascii="仿宋" w:hAnsi="仿宋" w:eastAsia="仿宋" w:cs="楷体_GB2312"/>
          <w:color w:val="000000"/>
          <w:sz w:val="32"/>
          <w:szCs w:val="32"/>
          <w:lang w:val="en-US"/>
        </w:rPr>
        <w:t>（一）投入运营资金、车辆及配套设施、设备是否符合许可条件。</w:t>
      </w:r>
    </w:p>
    <w:p w14:paraId="5BFC11B0">
      <w:pPr>
        <w:pStyle w:val="9"/>
        <w:snapToGrid w:val="0"/>
        <w:spacing w:line="620" w:lineRule="exact"/>
        <w:ind w:firstLine="640" w:firstLineChars="200"/>
        <w:textAlignment w:val="baseline"/>
        <w:rPr>
          <w:rFonts w:ascii="仿宋" w:hAnsi="仿宋" w:eastAsia="仿宋" w:cs="楷体_GB2312"/>
          <w:color w:val="000000"/>
          <w:sz w:val="32"/>
          <w:szCs w:val="32"/>
          <w:lang w:val="en-US"/>
        </w:rPr>
      </w:pPr>
      <w:r>
        <w:rPr>
          <w:rFonts w:hint="eastAsia" w:ascii="仿宋" w:hAnsi="仿宋" w:eastAsia="仿宋" w:cs="楷体_GB2312"/>
          <w:color w:val="000000"/>
          <w:sz w:val="32"/>
          <w:szCs w:val="32"/>
          <w:lang w:val="en-US"/>
        </w:rPr>
        <w:t>（二）驾驶人员是否符合许可条件。</w:t>
      </w:r>
    </w:p>
    <w:p w14:paraId="71A34D49">
      <w:pPr>
        <w:pStyle w:val="9"/>
        <w:snapToGrid w:val="0"/>
        <w:spacing w:line="620" w:lineRule="exact"/>
        <w:ind w:firstLine="640" w:firstLineChars="200"/>
        <w:textAlignment w:val="baseline"/>
        <w:rPr>
          <w:rFonts w:ascii="仿宋" w:hAnsi="仿宋" w:eastAsia="仿宋" w:cs="楷体_GB2312"/>
          <w:color w:val="000000"/>
          <w:sz w:val="32"/>
          <w:szCs w:val="32"/>
          <w:lang w:val="en-US"/>
        </w:rPr>
      </w:pPr>
      <w:r>
        <w:rPr>
          <w:rFonts w:hint="eastAsia" w:ascii="仿宋" w:hAnsi="仿宋" w:eastAsia="仿宋" w:cs="楷体_GB2312"/>
          <w:color w:val="000000"/>
          <w:sz w:val="32"/>
          <w:szCs w:val="32"/>
          <w:lang w:val="en-US"/>
        </w:rPr>
        <w:t>（三）运营区域是否符合要求。</w:t>
      </w:r>
    </w:p>
    <w:p w14:paraId="221C7223">
      <w:pPr>
        <w:pStyle w:val="9"/>
        <w:snapToGrid w:val="0"/>
        <w:spacing w:line="620" w:lineRule="exact"/>
        <w:ind w:firstLine="640" w:firstLineChars="200"/>
        <w:textAlignment w:val="baseline"/>
        <w:rPr>
          <w:rFonts w:ascii="仿宋" w:hAnsi="仿宋" w:eastAsia="仿宋" w:cs="楷体_GB2312"/>
          <w:color w:val="000000"/>
          <w:sz w:val="32"/>
          <w:szCs w:val="32"/>
          <w:lang w:val="en-US"/>
        </w:rPr>
      </w:pPr>
      <w:r>
        <w:rPr>
          <w:rFonts w:hint="eastAsia" w:ascii="仿宋" w:hAnsi="仿宋" w:eastAsia="仿宋" w:cs="楷体_GB2312"/>
          <w:color w:val="000000"/>
          <w:sz w:val="32"/>
          <w:szCs w:val="32"/>
          <w:lang w:val="en-US"/>
        </w:rPr>
        <w:t>（四）安全生产、运营服务情况。</w:t>
      </w:r>
    </w:p>
    <w:p w14:paraId="301D903F">
      <w:pPr>
        <w:pStyle w:val="9"/>
        <w:snapToGrid w:val="0"/>
        <w:spacing w:line="620" w:lineRule="exact"/>
        <w:ind w:firstLine="640" w:firstLineChars="200"/>
        <w:textAlignment w:val="baseline"/>
        <w:rPr>
          <w:rFonts w:ascii="仿宋" w:hAnsi="仿宋" w:eastAsia="仿宋" w:cs="楷体_GB2312"/>
          <w:color w:val="000000"/>
          <w:sz w:val="32"/>
          <w:szCs w:val="32"/>
          <w:lang w:val="en-US"/>
        </w:rPr>
      </w:pPr>
      <w:r>
        <w:rPr>
          <w:rFonts w:hint="eastAsia" w:ascii="仿宋" w:hAnsi="仿宋" w:eastAsia="仿宋" w:cs="楷体_GB2312"/>
          <w:color w:val="000000"/>
          <w:sz w:val="32"/>
          <w:szCs w:val="32"/>
          <w:lang w:val="en-US"/>
        </w:rPr>
        <w:t>（五）法律、行政法规规定的其他要求落实情况。</w:t>
      </w:r>
    </w:p>
    <w:p w14:paraId="381BFA86">
      <w:pPr>
        <w:pStyle w:val="9"/>
        <w:snapToGrid w:val="0"/>
        <w:spacing w:line="620" w:lineRule="exact"/>
        <w:ind w:firstLine="640" w:firstLineChars="200"/>
        <w:textAlignment w:val="baseline"/>
        <w:rPr>
          <w:rFonts w:eastAsia="黑体" w:cs="黑体"/>
          <w:color w:val="000000"/>
          <w:sz w:val="32"/>
          <w:szCs w:val="32"/>
          <w:lang w:val="en-US"/>
        </w:rPr>
      </w:pPr>
      <w:r>
        <w:rPr>
          <w:rFonts w:hint="eastAsia" w:eastAsia="黑体" w:cs="黑体"/>
          <w:color w:val="000000"/>
          <w:sz w:val="32"/>
          <w:szCs w:val="32"/>
          <w:lang w:val="en-US"/>
        </w:rPr>
        <w:t>三、检查依据</w:t>
      </w:r>
    </w:p>
    <w:p w14:paraId="7E56BC36">
      <w:pPr>
        <w:pStyle w:val="9"/>
        <w:snapToGrid w:val="0"/>
        <w:spacing w:line="620" w:lineRule="exact"/>
        <w:ind w:firstLine="640" w:firstLineChars="200"/>
        <w:textAlignment w:val="baseline"/>
        <w:rPr>
          <w:rFonts w:ascii="楷体" w:hAnsi="楷体" w:eastAsia="楷体" w:cs="楷体_GB2312"/>
          <w:color w:val="000000"/>
          <w:sz w:val="32"/>
          <w:szCs w:val="32"/>
          <w:lang w:val="en-US"/>
        </w:rPr>
      </w:pPr>
      <w:r>
        <w:rPr>
          <w:rFonts w:hint="eastAsia" w:ascii="楷体" w:hAnsi="楷体" w:eastAsia="楷体" w:cs="楷体_GB2312"/>
          <w:color w:val="000000"/>
          <w:sz w:val="32"/>
          <w:szCs w:val="32"/>
          <w:lang w:val="en-US"/>
        </w:rPr>
        <w:t>（一）</w:t>
      </w:r>
      <w:r>
        <w:rPr>
          <w:rFonts w:ascii="楷体" w:hAnsi="楷体" w:eastAsia="楷体" w:cs="楷体_GB2312"/>
          <w:color w:val="000000"/>
          <w:sz w:val="32"/>
          <w:szCs w:val="32"/>
          <w:lang w:val="en-US"/>
        </w:rPr>
        <w:t>《山东省道路运输条例》</w:t>
      </w:r>
    </w:p>
    <w:p w14:paraId="5DA725F8">
      <w:pPr>
        <w:pStyle w:val="9"/>
        <w:snapToGrid w:val="0"/>
        <w:spacing w:line="620" w:lineRule="exact"/>
        <w:ind w:firstLine="640" w:firstLineChars="200"/>
        <w:textAlignment w:val="baseline"/>
        <w:rPr>
          <w:rFonts w:ascii="仿宋" w:hAnsi="仿宋" w:eastAsia="仿宋"/>
          <w:color w:val="000000"/>
          <w:sz w:val="32"/>
          <w:szCs w:val="32"/>
          <w:lang w:val="en-US"/>
        </w:rPr>
      </w:pPr>
      <w:r>
        <w:rPr>
          <w:rFonts w:ascii="仿宋" w:hAnsi="仿宋" w:eastAsia="仿宋"/>
          <w:color w:val="000000"/>
          <w:sz w:val="32"/>
          <w:szCs w:val="32"/>
          <w:lang w:val="en-US"/>
        </w:rPr>
        <w:t>第四十九条</w:t>
      </w:r>
      <w:r>
        <w:rPr>
          <w:rFonts w:hint="eastAsia" w:ascii="仿宋" w:hAnsi="仿宋" w:eastAsia="仿宋"/>
          <w:color w:val="000000"/>
          <w:sz w:val="32"/>
          <w:szCs w:val="32"/>
          <w:lang w:val="en-US"/>
        </w:rPr>
        <w:t xml:space="preserve"> 交通运输行政主管部门应当加强对道路运输市场准入条件的审查，依法对道路运输站（场）安全生产、道路运输车辆技术状况、道路运输从业人员资格进行监督管理，提高道路运输安全生产水平。</w:t>
      </w:r>
    </w:p>
    <w:p w14:paraId="16C8EAB8">
      <w:pPr>
        <w:pStyle w:val="9"/>
        <w:snapToGrid w:val="0"/>
        <w:spacing w:line="620" w:lineRule="exact"/>
        <w:ind w:firstLine="640" w:firstLineChars="200"/>
        <w:textAlignment w:val="baseline"/>
        <w:rPr>
          <w:rFonts w:ascii="楷体" w:hAnsi="楷体" w:eastAsia="楷体" w:cs="楷体_GB2312"/>
          <w:color w:val="000000"/>
          <w:sz w:val="32"/>
          <w:szCs w:val="32"/>
          <w:lang w:val="en-US"/>
        </w:rPr>
      </w:pPr>
      <w:r>
        <w:rPr>
          <w:rFonts w:hint="eastAsia" w:ascii="楷体" w:hAnsi="楷体" w:eastAsia="楷体" w:cs="楷体_GB2312"/>
          <w:color w:val="000000"/>
          <w:sz w:val="32"/>
          <w:szCs w:val="32"/>
          <w:lang w:val="en-US"/>
        </w:rPr>
        <w:t>（二）</w:t>
      </w:r>
      <w:r>
        <w:rPr>
          <w:rFonts w:ascii="楷体" w:hAnsi="楷体" w:eastAsia="楷体" w:cs="楷体_GB2312"/>
          <w:color w:val="000000"/>
          <w:sz w:val="32"/>
          <w:szCs w:val="32"/>
          <w:lang w:val="en-US"/>
        </w:rPr>
        <w:t>《巡游出租汽车经营服务管理规定》第四十条、第四十一条</w:t>
      </w:r>
    </w:p>
    <w:p w14:paraId="0007C3E1">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第四十条 县级以上地方人民政府出租汽车行政主管部门应当加强对巡游出租汽车经营行为的监督检查，会同有关部门纠正、制止非法从事巡游出租汽车经营及其他违法行为，维护出租汽车市场秩序。</w:t>
      </w:r>
    </w:p>
    <w:p w14:paraId="54562703">
      <w:pPr>
        <w:pStyle w:val="9"/>
        <w:snapToGrid w:val="0"/>
        <w:spacing w:line="620" w:lineRule="exact"/>
        <w:ind w:firstLine="640" w:firstLineChars="200"/>
        <w:textAlignment w:val="baseline"/>
        <w:rPr>
          <w:rFonts w:eastAsia="宋体"/>
          <w:color w:val="000000"/>
          <w:sz w:val="32"/>
          <w:szCs w:val="32"/>
          <w:lang w:val="en-US"/>
        </w:rPr>
      </w:pPr>
      <w:r>
        <w:rPr>
          <w:rFonts w:hint="eastAsia" w:ascii="仿宋" w:hAnsi="仿宋" w:eastAsia="仿宋"/>
          <w:color w:val="000000"/>
          <w:sz w:val="32"/>
          <w:szCs w:val="32"/>
          <w:lang w:val="en-US"/>
        </w:rPr>
        <w:t>第四十一条 县级以上地方人民政府出租汽车行政主管部门应当对巡游出租汽车经营者履行经营协议情况进行监督检查，并按照规定对巡游出租汽车经营者和驾驶员进行服务质量信誉考核。</w:t>
      </w:r>
    </w:p>
    <w:p w14:paraId="3D4DF4FE">
      <w:pPr>
        <w:spacing w:line="620" w:lineRule="exact"/>
      </w:pPr>
      <w:r>
        <w:rPr>
          <w:rFonts w:hint="eastAsia"/>
        </w:rPr>
        <w:br w:type="page"/>
      </w:r>
    </w:p>
    <w:p w14:paraId="17691287">
      <w:pPr>
        <w:pStyle w:val="9"/>
        <w:spacing w:before="280" w:after="280" w:line="620" w:lineRule="exact"/>
        <w:ind w:firstLine="0"/>
        <w:jc w:val="center"/>
        <w:outlineLvl w:val="0"/>
        <w:rPr>
          <w:rFonts w:ascii="黑体" w:hAnsi="黑体" w:eastAsia="黑体" w:cs="黑体"/>
          <w:color w:val="000000"/>
          <w:sz w:val="32"/>
          <w:szCs w:val="32"/>
          <w:lang w:val="en-US"/>
        </w:rPr>
      </w:pPr>
      <w:bookmarkStart w:id="11" w:name="_Toc11740"/>
      <w:bookmarkStart w:id="12" w:name="bookmark3634"/>
      <w:r>
        <w:rPr>
          <w:rFonts w:hint="eastAsia" w:ascii="黑体" w:hAnsi="黑体" w:eastAsia="黑体" w:cs="黑体"/>
          <w:color w:val="000000"/>
          <w:sz w:val="32"/>
          <w:szCs w:val="32"/>
          <w:lang w:val="en-US"/>
        </w:rPr>
        <w:t>第</w:t>
      </w: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lang w:val="en-US"/>
        </w:rPr>
        <w:t>章 对涉路工程建设项目的监督检查工作指引</w:t>
      </w:r>
      <w:bookmarkEnd w:id="11"/>
    </w:p>
    <w:bookmarkEnd w:id="12"/>
    <w:p w14:paraId="3A37228A">
      <w:pPr>
        <w:pStyle w:val="9"/>
        <w:snapToGrid w:val="0"/>
        <w:spacing w:line="620" w:lineRule="exact"/>
        <w:ind w:firstLine="640" w:firstLineChars="200"/>
        <w:textAlignment w:val="baseline"/>
        <w:rPr>
          <w:rFonts w:eastAsia="黑体" w:cs="黑体"/>
          <w:color w:val="000000"/>
          <w:sz w:val="32"/>
          <w:szCs w:val="32"/>
          <w:lang w:val="en-US"/>
        </w:rPr>
      </w:pPr>
      <w:r>
        <w:rPr>
          <w:rFonts w:hint="eastAsia" w:eastAsia="黑体" w:cs="黑体"/>
          <w:color w:val="000000"/>
          <w:sz w:val="32"/>
          <w:szCs w:val="32"/>
          <w:lang w:val="en-US"/>
        </w:rPr>
        <w:t>一、抽查事项</w:t>
      </w:r>
    </w:p>
    <w:p w14:paraId="5F9CBD7A">
      <w:pPr>
        <w:pStyle w:val="9"/>
        <w:snapToGrid w:val="0"/>
        <w:spacing w:line="620" w:lineRule="exact"/>
        <w:ind w:firstLine="640" w:firstLineChars="200"/>
        <w:textAlignment w:val="baseline"/>
        <w:rPr>
          <w:rFonts w:ascii="仿宋" w:hAnsi="仿宋" w:eastAsia="仿宋"/>
          <w:color w:val="000000"/>
          <w:sz w:val="32"/>
          <w:szCs w:val="32"/>
          <w:lang w:val="en-US"/>
        </w:rPr>
      </w:pPr>
      <w:bookmarkStart w:id="13" w:name="bookmark3638"/>
      <w:r>
        <w:rPr>
          <w:rFonts w:hint="eastAsia" w:ascii="仿宋" w:hAnsi="仿宋" w:eastAsia="仿宋"/>
          <w:color w:val="000000"/>
          <w:sz w:val="32"/>
          <w:szCs w:val="32"/>
          <w:lang w:val="en-US"/>
        </w:rPr>
        <w:t>对区级许可的涉路工程建设项目的抽查</w:t>
      </w:r>
    </w:p>
    <w:p w14:paraId="401BFDD9">
      <w:pPr>
        <w:pStyle w:val="9"/>
        <w:snapToGrid w:val="0"/>
        <w:spacing w:line="620" w:lineRule="exact"/>
        <w:ind w:firstLine="640" w:firstLineChars="200"/>
        <w:textAlignment w:val="baseline"/>
        <w:rPr>
          <w:rFonts w:eastAsia="黑体" w:cs="黑体"/>
          <w:color w:val="000000"/>
          <w:sz w:val="32"/>
          <w:szCs w:val="32"/>
          <w:lang w:val="en-US"/>
        </w:rPr>
      </w:pPr>
      <w:r>
        <w:rPr>
          <w:rFonts w:hint="eastAsia" w:eastAsia="黑体" w:cs="黑体"/>
          <w:color w:val="000000"/>
          <w:sz w:val="32"/>
          <w:szCs w:val="32"/>
          <w:lang w:val="en-US"/>
        </w:rPr>
        <w:t>二</w:t>
      </w:r>
      <w:bookmarkEnd w:id="13"/>
      <w:r>
        <w:rPr>
          <w:rFonts w:hint="eastAsia" w:eastAsia="黑体" w:cs="黑体"/>
          <w:color w:val="000000"/>
          <w:sz w:val="32"/>
          <w:szCs w:val="32"/>
          <w:lang w:val="en-US"/>
        </w:rPr>
        <w:t>、抽查实施办法</w:t>
      </w:r>
    </w:p>
    <w:p w14:paraId="0E7C4982">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依据法律、法规、规章规定，通过随机方式，从相应市场主体名录库中随机抽取检查对象，从检查人员名录库中随机选派执法检查人员。按照“谁抽查、谁公示”的原则，对抽查结果正常的项目和市场主体，现场检查人员应在检查结束后20个工作日内将抽查结果公示；对抽查有问题的项目和市场主体，区分情况依法依规作出处理并向社会公示。检查人员要依照法定程序严格执法，遵守保密规定。对违反法律法规的应当给予处罚和立案处理；对涉嫌犯罪的要移交司法机关进行处理，确保监管执法到位。</w:t>
      </w:r>
    </w:p>
    <w:p w14:paraId="1D0563C2">
      <w:pPr>
        <w:pStyle w:val="9"/>
        <w:snapToGrid w:val="0"/>
        <w:spacing w:line="620" w:lineRule="exact"/>
        <w:ind w:firstLine="640" w:firstLineChars="200"/>
        <w:textAlignment w:val="baseline"/>
        <w:rPr>
          <w:rFonts w:eastAsia="黑体" w:cs="黑体"/>
          <w:color w:val="000000"/>
          <w:sz w:val="32"/>
          <w:szCs w:val="32"/>
          <w:lang w:val="en-US"/>
        </w:rPr>
      </w:pPr>
      <w:r>
        <w:rPr>
          <w:rFonts w:hint="eastAsia" w:eastAsia="黑体" w:cs="黑体"/>
          <w:color w:val="000000"/>
          <w:sz w:val="32"/>
          <w:szCs w:val="32"/>
          <w:lang w:val="en-US"/>
        </w:rPr>
        <w:t>三、抽查内容</w:t>
      </w:r>
    </w:p>
    <w:p w14:paraId="59757924">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项目是否取得涉路工程建设许可后施工；涉路工程的主要技术指标是否按照许可施工图纸进行施工；涉路工程建设单位是否按照许可要求和协议进行涉路工程建设；损坏的公路、公路附属设施、边沟、绿化等相关路产是否按规定恢复；交通安全防护设施设置及施工交通组织是否按照相关方案进行组织；涉路工程施工现场的其他施工规范检查。</w:t>
      </w:r>
    </w:p>
    <w:p w14:paraId="2E3E68EB">
      <w:pPr>
        <w:pStyle w:val="9"/>
        <w:snapToGrid w:val="0"/>
        <w:spacing w:line="620" w:lineRule="exact"/>
        <w:ind w:firstLine="640" w:firstLineChars="200"/>
        <w:textAlignment w:val="baseline"/>
        <w:rPr>
          <w:rFonts w:eastAsia="黑体" w:cs="黑体"/>
          <w:color w:val="000000"/>
          <w:sz w:val="32"/>
          <w:szCs w:val="32"/>
          <w:lang w:val="en-US"/>
        </w:rPr>
      </w:pPr>
      <w:r>
        <w:rPr>
          <w:rFonts w:hint="eastAsia" w:eastAsia="黑体" w:cs="黑体"/>
          <w:color w:val="000000"/>
          <w:sz w:val="32"/>
          <w:szCs w:val="32"/>
          <w:lang w:val="en-US"/>
        </w:rPr>
        <w:t>四、监督检查依据</w:t>
      </w:r>
    </w:p>
    <w:p w14:paraId="4616D469">
      <w:pPr>
        <w:pStyle w:val="9"/>
        <w:snapToGrid w:val="0"/>
        <w:spacing w:line="620" w:lineRule="exact"/>
        <w:ind w:firstLine="640" w:firstLineChars="200"/>
        <w:textAlignment w:val="baseline"/>
        <w:rPr>
          <w:rFonts w:ascii="楷体" w:hAnsi="楷体" w:eastAsia="楷体" w:cs="楷体_GB2312"/>
          <w:color w:val="000000"/>
          <w:sz w:val="32"/>
          <w:szCs w:val="32"/>
          <w:lang w:val="en-US"/>
        </w:rPr>
      </w:pPr>
      <w:r>
        <w:rPr>
          <w:rFonts w:hint="eastAsia" w:ascii="楷体" w:hAnsi="楷体" w:eastAsia="楷体" w:cs="楷体_GB2312"/>
          <w:color w:val="000000"/>
          <w:sz w:val="32"/>
          <w:szCs w:val="32"/>
          <w:lang w:val="en-US"/>
        </w:rPr>
        <w:t>（一）《中华人民共和国公路法》</w:t>
      </w:r>
    </w:p>
    <w:p w14:paraId="4057B5E6">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 xml:space="preserve">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 </w:t>
      </w:r>
    </w:p>
    <w:p w14:paraId="224F79F7">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第五十六条 除公路防护、养护需要的以外，禁止在公路两侧的建筑控制区内修建建筑物和地面构筑物；需要在建筑控制区内埋设管线、电缆等设施的，应当事先经县级以上地方人民政府交通主管部门批准。前款规定的建筑控制区的范围，由县级以上地方人民政府按照保障公路运行安全和节约用地的原则，依照国务院的规定划定。 建筑控制区范围经县级以上地方人民政府依照前款规定划定后，由县级以上地方人民政府交通主管部门设置标桩、界桩。任何单位和个人不得损坏、擅自挪动该标桩、界桩。</w:t>
      </w:r>
    </w:p>
    <w:p w14:paraId="373C24B4">
      <w:pPr>
        <w:pStyle w:val="9"/>
        <w:snapToGrid w:val="0"/>
        <w:spacing w:line="620" w:lineRule="exact"/>
        <w:ind w:firstLine="640" w:firstLineChars="200"/>
        <w:textAlignment w:val="baseline"/>
        <w:rPr>
          <w:rFonts w:ascii="楷体_GB2312" w:hAnsi="楷体_GB2312" w:eastAsia="楷体_GB2312" w:cs="楷体_GB2312"/>
          <w:color w:val="000000"/>
          <w:sz w:val="32"/>
          <w:szCs w:val="32"/>
          <w:lang w:val="en-US"/>
        </w:rPr>
      </w:pPr>
      <w:r>
        <w:rPr>
          <w:rFonts w:hint="eastAsia" w:ascii="楷体" w:hAnsi="楷体" w:eastAsia="楷体" w:cs="楷体_GB2312"/>
          <w:color w:val="000000"/>
          <w:sz w:val="32"/>
          <w:szCs w:val="32"/>
          <w:lang w:val="en-US"/>
        </w:rPr>
        <w:t>（二）《公路安全保护条例》</w:t>
      </w:r>
      <w:r>
        <w:rPr>
          <w:rFonts w:hint="eastAsia" w:ascii="楷体_GB2312" w:hAnsi="楷体_GB2312" w:eastAsia="楷体_GB2312" w:cs="楷体_GB2312"/>
          <w:color w:val="000000"/>
          <w:sz w:val="32"/>
          <w:szCs w:val="32"/>
          <w:lang w:val="en-US"/>
        </w:rPr>
        <w:t>　</w:t>
      </w:r>
    </w:p>
    <w:p w14:paraId="01A9B440">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第二十七条　进行下列涉路施工活动，建设单位应当向公路管理机构提出申请：1、因修建铁路、机场、供电、水利、通信等建设工程需要占用、挖掘公路、公路用地或者使公路改线；2、跨越、穿越公路修建桥梁、渡槽或者架设、埋设管道、电缆等设施；3、在公路用地范围内架设、埋设管道、电缆等设施；4、利用公路桥梁、公路隧道、涵洞铺设电缆等设施；5、利用跨越公路的设施悬挂非公路标志；6、在公路上增设或者改造平面交叉道口；7、在公路建筑控制区内埋设管道、电缆等设施。</w:t>
      </w:r>
    </w:p>
    <w:p w14:paraId="718E3855">
      <w:pPr>
        <w:pStyle w:val="9"/>
        <w:snapToGrid w:val="0"/>
        <w:spacing w:line="620" w:lineRule="exact"/>
        <w:ind w:firstLine="640" w:firstLineChars="200"/>
        <w:textAlignment w:val="baseline"/>
        <w:rPr>
          <w:rFonts w:ascii="楷体_GB2312" w:hAnsi="楷体_GB2312" w:eastAsia="楷体_GB2312" w:cs="楷体_GB2312"/>
          <w:color w:val="000000"/>
          <w:sz w:val="32"/>
          <w:szCs w:val="32"/>
          <w:lang w:val="en-US"/>
        </w:rPr>
      </w:pPr>
      <w:r>
        <w:rPr>
          <w:rFonts w:hint="eastAsia" w:ascii="楷体" w:hAnsi="楷体" w:eastAsia="楷体" w:cs="楷体_GB2312"/>
          <w:color w:val="000000"/>
          <w:sz w:val="32"/>
          <w:szCs w:val="32"/>
          <w:lang w:val="en-US"/>
        </w:rPr>
        <w:t>（三）《山东省公路路政条例》</w:t>
      </w:r>
    </w:p>
    <w:p w14:paraId="079B79B6">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第九条 进行下列涉路工程建设，建设单位应当向公路路政管理部门提出许可申请：1、因修建铁路、机场、供电、水利、通信等建设工程需要占用、挖掘公路、公路用地或者使公路改线；2、跨越、穿越公路修建桥梁、渡槽或者架设、埋设管道、电缆等设施；3、在公路用地范围内架设、埋设管线、电缆等设施；4、利用公路桥梁、公路隧道、涵洞铺设电缆等设施；5、在公路上增设或者改造平面交叉道口.</w:t>
      </w:r>
    </w:p>
    <w:p w14:paraId="648AFD4D">
      <w:pPr>
        <w:spacing w:line="620" w:lineRule="exact"/>
        <w:rPr>
          <w:color w:val="000000"/>
        </w:rPr>
      </w:pPr>
      <w:r>
        <w:rPr>
          <w:rFonts w:hint="eastAsia"/>
          <w:color w:val="000000"/>
        </w:rPr>
        <w:br w:type="page"/>
      </w:r>
    </w:p>
    <w:p w14:paraId="0A8BF272">
      <w:pPr>
        <w:pStyle w:val="9"/>
        <w:snapToGrid w:val="0"/>
        <w:spacing w:line="620" w:lineRule="exact"/>
        <w:ind w:firstLine="640" w:firstLineChars="200"/>
        <w:textAlignment w:val="baseline"/>
        <w:rPr>
          <w:color w:val="000000"/>
          <w:sz w:val="32"/>
          <w:szCs w:val="32"/>
          <w:lang w:val="en-US"/>
        </w:rPr>
      </w:pPr>
    </w:p>
    <w:p w14:paraId="34E7223C">
      <w:pPr>
        <w:pStyle w:val="9"/>
        <w:spacing w:before="280" w:after="280" w:line="620" w:lineRule="exact"/>
        <w:ind w:firstLine="0"/>
        <w:jc w:val="center"/>
        <w:outlineLvl w:val="0"/>
        <w:rPr>
          <w:rFonts w:ascii="黑体" w:hAnsi="黑体" w:eastAsia="黑体" w:cs="黑体"/>
          <w:color w:val="000000"/>
          <w:sz w:val="32"/>
          <w:szCs w:val="32"/>
          <w:lang w:val="en-US"/>
        </w:rPr>
      </w:pPr>
      <w:bookmarkStart w:id="14" w:name="bookmark3563"/>
      <w:bookmarkStart w:id="15" w:name="bookmark3562"/>
      <w:bookmarkStart w:id="16" w:name="bookmark3564"/>
      <w:bookmarkStart w:id="17" w:name="_Toc17691"/>
      <w:r>
        <w:rPr>
          <w:rFonts w:hint="eastAsia" w:ascii="黑体" w:hAnsi="黑体" w:eastAsia="黑体" w:cs="黑体"/>
          <w:color w:val="000000"/>
          <w:sz w:val="32"/>
          <w:szCs w:val="32"/>
          <w:lang w:val="en-US"/>
        </w:rPr>
        <w:t>第</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lang w:val="en-US"/>
        </w:rPr>
        <w:t xml:space="preserve">章 </w:t>
      </w:r>
      <w:bookmarkEnd w:id="14"/>
      <w:bookmarkEnd w:id="15"/>
      <w:bookmarkEnd w:id="16"/>
      <w:r>
        <w:rPr>
          <w:rFonts w:hint="eastAsia" w:ascii="黑体" w:hAnsi="黑体" w:eastAsia="黑体" w:cs="黑体"/>
          <w:color w:val="000000"/>
          <w:sz w:val="32"/>
          <w:szCs w:val="32"/>
          <w:lang w:val="en-US"/>
        </w:rPr>
        <w:t>对非公路标志设置的监督检查工作指引</w:t>
      </w:r>
      <w:bookmarkEnd w:id="17"/>
    </w:p>
    <w:p w14:paraId="1BFD6EC1">
      <w:pPr>
        <w:pStyle w:val="9"/>
        <w:snapToGrid w:val="0"/>
        <w:spacing w:line="620" w:lineRule="exact"/>
        <w:ind w:firstLine="640" w:firstLineChars="200"/>
        <w:textAlignment w:val="baseline"/>
        <w:rPr>
          <w:rFonts w:eastAsia="黑体" w:cs="黑体"/>
          <w:color w:val="000000"/>
          <w:sz w:val="32"/>
          <w:szCs w:val="32"/>
          <w:lang w:val="en-US"/>
        </w:rPr>
      </w:pPr>
      <w:r>
        <w:rPr>
          <w:rFonts w:hint="eastAsia" w:eastAsia="黑体" w:cs="黑体"/>
          <w:color w:val="000000"/>
          <w:sz w:val="32"/>
          <w:szCs w:val="32"/>
          <w:lang w:val="en-US"/>
        </w:rPr>
        <w:t>一、抽查事项</w:t>
      </w:r>
    </w:p>
    <w:p w14:paraId="60B419D3">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对区级许可的利用跨越公路设施及在公路用地范围内设置的非公路标志抽查</w:t>
      </w:r>
    </w:p>
    <w:p w14:paraId="37D0B4F0">
      <w:pPr>
        <w:pStyle w:val="9"/>
        <w:snapToGrid w:val="0"/>
        <w:spacing w:line="620" w:lineRule="exact"/>
        <w:ind w:firstLine="640" w:firstLineChars="200"/>
        <w:textAlignment w:val="baseline"/>
        <w:rPr>
          <w:rFonts w:eastAsia="黑体" w:cs="黑体"/>
          <w:color w:val="000000"/>
          <w:sz w:val="32"/>
          <w:szCs w:val="32"/>
          <w:lang w:val="en-US"/>
        </w:rPr>
      </w:pPr>
      <w:r>
        <w:rPr>
          <w:rFonts w:hint="eastAsia" w:eastAsia="黑体" w:cs="黑体"/>
          <w:color w:val="000000"/>
          <w:sz w:val="32"/>
          <w:szCs w:val="32"/>
          <w:lang w:val="en-US"/>
        </w:rPr>
        <w:t>二、抽查实施办法</w:t>
      </w:r>
    </w:p>
    <w:p w14:paraId="5AD05796">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依据法律、法规、规章规定，通过随机方式，从相应市场主体名录库中随机抽取检查对象，从检查人员名录库中随机选派执法检查人员。按照“谁抽查、谁公示”的原则，对抽查结果正常的项目和市场主体，现场检查人员应在检查结束后20个工作日内将抽查结果公示；对抽查有问题的项目和市场主体，区分情况依法依规作出处理并向社会公示。检查人员要依照法定程序严格执法，遵守保密规定。对违反法律法规的应当给予处罚和立案处理；对涉嫌犯罪的要移交司法机关进行处理，确保监管执法到位。</w:t>
      </w:r>
    </w:p>
    <w:p w14:paraId="4E79AAD9">
      <w:pPr>
        <w:pStyle w:val="9"/>
        <w:snapToGrid w:val="0"/>
        <w:spacing w:line="620" w:lineRule="exact"/>
        <w:ind w:firstLine="640" w:firstLineChars="200"/>
        <w:textAlignment w:val="baseline"/>
        <w:rPr>
          <w:rFonts w:eastAsia="黑体" w:cs="黑体"/>
          <w:color w:val="000000"/>
          <w:sz w:val="32"/>
          <w:szCs w:val="32"/>
          <w:lang w:val="en-US"/>
        </w:rPr>
      </w:pPr>
      <w:r>
        <w:rPr>
          <w:rFonts w:hint="eastAsia" w:eastAsia="黑体" w:cs="黑体"/>
          <w:color w:val="000000"/>
          <w:sz w:val="32"/>
          <w:szCs w:val="32"/>
          <w:lang w:val="en-US"/>
        </w:rPr>
        <w:t>三、抽查内容</w:t>
      </w:r>
    </w:p>
    <w:p w14:paraId="43845298">
      <w:pPr>
        <w:pStyle w:val="9"/>
        <w:snapToGrid w:val="0"/>
        <w:spacing w:line="620" w:lineRule="exact"/>
        <w:ind w:firstLine="640" w:firstLineChars="200"/>
        <w:textAlignment w:val="baseline"/>
        <w:rPr>
          <w:rFonts w:eastAsia="宋体"/>
          <w:color w:val="000000"/>
          <w:sz w:val="32"/>
          <w:szCs w:val="32"/>
          <w:lang w:val="en-US"/>
        </w:rPr>
      </w:pPr>
      <w:r>
        <w:rPr>
          <w:rFonts w:hint="eastAsia" w:ascii="仿宋" w:hAnsi="仿宋" w:eastAsia="仿宋"/>
          <w:color w:val="000000"/>
          <w:sz w:val="32"/>
          <w:szCs w:val="32"/>
          <w:lang w:val="en-US"/>
        </w:rPr>
        <w:t>否取得非公路标志许可后施工；施工位置 、施工方案 、技术指标等是否与许可的内容一致；因施工造成公路及附属设施损坏的 ，是否按标准及时修复； 交通安全设施设置是否规范、完好； 是否符合保障公路及附属设施质量和安全的要求</w:t>
      </w:r>
      <w:r>
        <w:rPr>
          <w:rFonts w:hint="eastAsia" w:eastAsia="宋体"/>
          <w:color w:val="000000"/>
          <w:sz w:val="32"/>
          <w:szCs w:val="32"/>
          <w:lang w:val="en-US"/>
        </w:rPr>
        <w:t>。</w:t>
      </w:r>
    </w:p>
    <w:p w14:paraId="304B5D57">
      <w:pPr>
        <w:pStyle w:val="9"/>
        <w:snapToGrid w:val="0"/>
        <w:spacing w:line="620" w:lineRule="exact"/>
        <w:ind w:firstLine="640" w:firstLineChars="200"/>
        <w:textAlignment w:val="baseline"/>
        <w:rPr>
          <w:rFonts w:eastAsia="黑体" w:cs="黑体"/>
          <w:color w:val="000000"/>
          <w:sz w:val="32"/>
          <w:szCs w:val="32"/>
          <w:lang w:val="en-US"/>
        </w:rPr>
      </w:pPr>
      <w:r>
        <w:rPr>
          <w:rFonts w:hint="eastAsia" w:eastAsia="黑体" w:cs="黑体"/>
          <w:color w:val="000000"/>
          <w:sz w:val="32"/>
          <w:szCs w:val="32"/>
          <w:lang w:val="en-US"/>
        </w:rPr>
        <w:t>四、监督检查依据</w:t>
      </w:r>
    </w:p>
    <w:p w14:paraId="0B0E9401">
      <w:pPr>
        <w:pStyle w:val="9"/>
        <w:snapToGrid w:val="0"/>
        <w:spacing w:line="620" w:lineRule="exact"/>
        <w:ind w:firstLine="640" w:firstLineChars="200"/>
        <w:textAlignment w:val="baseline"/>
        <w:rPr>
          <w:rFonts w:ascii="楷体" w:hAnsi="楷体" w:eastAsia="楷体" w:cs="楷体_GB2312"/>
          <w:color w:val="000000"/>
          <w:sz w:val="32"/>
          <w:szCs w:val="32"/>
          <w:lang w:val="en-US"/>
        </w:rPr>
      </w:pPr>
      <w:r>
        <w:rPr>
          <w:rFonts w:hint="eastAsia" w:ascii="楷体" w:hAnsi="楷体" w:eastAsia="楷体" w:cs="楷体_GB2312"/>
          <w:color w:val="000000"/>
          <w:sz w:val="32"/>
          <w:szCs w:val="32"/>
          <w:lang w:val="en-US"/>
        </w:rPr>
        <w:t>（一）《中华人民共和国公路法》</w:t>
      </w:r>
    </w:p>
    <w:p w14:paraId="1E7FB4D3">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第五十四条</w:t>
      </w:r>
      <w:r>
        <w:rPr>
          <w:rFonts w:ascii="Calibri" w:hAnsi="Calibri" w:eastAsia="仿宋" w:cs="Calibri"/>
          <w:color w:val="000000"/>
          <w:sz w:val="32"/>
          <w:szCs w:val="32"/>
          <w:lang w:val="en-US"/>
        </w:rPr>
        <w:t> </w:t>
      </w:r>
      <w:r>
        <w:rPr>
          <w:rFonts w:ascii="仿宋" w:hAnsi="仿宋" w:eastAsia="仿宋"/>
          <w:color w:val="000000"/>
          <w:sz w:val="32"/>
          <w:szCs w:val="32"/>
          <w:lang w:val="en-US"/>
        </w:rPr>
        <w:t>任何单位和个人未经县级以上地方人民政府交通主管部门批准，不得在公路用地范围内设置公路标志以外的其他标志。</w:t>
      </w:r>
    </w:p>
    <w:p w14:paraId="30C42D3E">
      <w:pPr>
        <w:pStyle w:val="9"/>
        <w:snapToGrid w:val="0"/>
        <w:spacing w:line="620" w:lineRule="exact"/>
        <w:ind w:firstLine="640" w:firstLineChars="200"/>
        <w:textAlignment w:val="baseline"/>
        <w:rPr>
          <w:rFonts w:ascii="楷体" w:hAnsi="楷体" w:eastAsia="楷体" w:cs="楷体_GB2312"/>
          <w:color w:val="000000"/>
          <w:sz w:val="32"/>
          <w:szCs w:val="32"/>
          <w:lang w:val="en-US"/>
        </w:rPr>
      </w:pPr>
      <w:r>
        <w:rPr>
          <w:rFonts w:hint="eastAsia" w:ascii="楷体" w:hAnsi="楷体" w:eastAsia="楷体" w:cs="楷体_GB2312"/>
          <w:color w:val="000000"/>
          <w:sz w:val="32"/>
          <w:szCs w:val="32"/>
          <w:lang w:val="en-US"/>
        </w:rPr>
        <w:t>（二）《公路安全保护条例》　</w:t>
      </w:r>
    </w:p>
    <w:p w14:paraId="6564A929">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第二十七条　进行下列涉路施工活动，建设单位应当向公路管理机构提出申请：1、因修建铁路、机场、供电、水利、通信等建设工程需要占用、挖掘公路、公路用地或者使公路改线；2、跨越、穿越公路修建桥梁、渡槽或者架设、埋设管道、电缆等设施；3、在公路用地范围内架设、埋设管道、电缆等设施；4、利用公路桥梁、公路隧道、涵洞铺设电缆等设施；5、利用跨越公路的设施悬挂非公路标志；6、在公路上增设或者改造平面交叉道口；7、在公路建筑控制区内埋设管道、电缆等设施。</w:t>
      </w:r>
    </w:p>
    <w:p w14:paraId="537D0053">
      <w:pPr>
        <w:pStyle w:val="9"/>
        <w:snapToGrid w:val="0"/>
        <w:spacing w:line="620" w:lineRule="exact"/>
        <w:ind w:firstLine="640" w:firstLineChars="200"/>
        <w:textAlignment w:val="baseline"/>
        <w:rPr>
          <w:rFonts w:ascii="楷体" w:hAnsi="楷体" w:eastAsia="楷体" w:cs="楷体_GB2312"/>
          <w:color w:val="000000"/>
          <w:sz w:val="32"/>
          <w:szCs w:val="32"/>
          <w:lang w:val="en-US"/>
        </w:rPr>
      </w:pPr>
      <w:r>
        <w:rPr>
          <w:rFonts w:hint="eastAsia" w:ascii="楷体" w:hAnsi="楷体" w:eastAsia="楷体" w:cs="楷体_GB2312"/>
          <w:color w:val="000000"/>
          <w:sz w:val="32"/>
          <w:szCs w:val="32"/>
          <w:lang w:val="en-US"/>
        </w:rPr>
        <w:t>（三）《山东省公路路政条例》</w:t>
      </w:r>
    </w:p>
    <w:p w14:paraId="2F19D7FC">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第十一条 利用跨越公路桥梁等设施悬挂或者在公路用地范围内设置非公路标志的，应当依法向交通运输主管部门申请许可，并提交施工图设计、施工方案及相应的技术评价报告。</w:t>
      </w:r>
    </w:p>
    <w:p w14:paraId="79737615">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设置非公路标志，应当符合非公路标志设置规划、技术标准和公路安全畅通的要求。</w:t>
      </w:r>
    </w:p>
    <w:p w14:paraId="5A07BFE3">
      <w:pPr>
        <w:pStyle w:val="9"/>
        <w:snapToGrid w:val="0"/>
        <w:spacing w:line="620" w:lineRule="exact"/>
        <w:ind w:firstLine="640" w:firstLineChars="200"/>
        <w:textAlignment w:val="baseline"/>
        <w:rPr>
          <w:rFonts w:eastAsia="宋体"/>
          <w:color w:val="000000"/>
          <w:sz w:val="32"/>
          <w:szCs w:val="32"/>
          <w:lang w:val="en-US"/>
        </w:rPr>
      </w:pPr>
      <w:r>
        <w:rPr>
          <w:rFonts w:hint="eastAsia" w:eastAsia="宋体"/>
          <w:color w:val="000000"/>
          <w:sz w:val="32"/>
          <w:szCs w:val="32"/>
          <w:lang w:val="en-US"/>
        </w:rPr>
        <w:br w:type="page"/>
      </w:r>
    </w:p>
    <w:p w14:paraId="6AC7C44B">
      <w:pPr>
        <w:pStyle w:val="9"/>
        <w:spacing w:before="280" w:after="280" w:line="620" w:lineRule="exact"/>
        <w:ind w:firstLine="0"/>
        <w:jc w:val="center"/>
        <w:outlineLvl w:val="0"/>
        <w:rPr>
          <w:rFonts w:ascii="黑体" w:hAnsi="黑体" w:eastAsia="黑体" w:cs="黑体"/>
          <w:color w:val="000000"/>
          <w:sz w:val="32"/>
          <w:szCs w:val="32"/>
          <w:lang w:val="en-US"/>
        </w:rPr>
      </w:pPr>
      <w:bookmarkStart w:id="18" w:name="_Toc24895"/>
      <w:r>
        <w:rPr>
          <w:rFonts w:hint="eastAsia" w:ascii="黑体" w:hAnsi="黑体" w:eastAsia="黑体" w:cs="黑体"/>
          <w:color w:val="000000"/>
          <w:sz w:val="32"/>
          <w:szCs w:val="32"/>
          <w:lang w:val="en-US"/>
        </w:rPr>
        <w:t>第</w:t>
      </w: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lang w:val="en-US"/>
        </w:rPr>
        <w:t>章 对</w:t>
      </w:r>
      <w:bookmarkStart w:id="19" w:name="_Hlk88895549"/>
      <w:r>
        <w:rPr>
          <w:rFonts w:hint="eastAsia" w:ascii="黑体" w:hAnsi="黑体" w:eastAsia="黑体" w:cs="黑体"/>
          <w:color w:val="000000"/>
          <w:sz w:val="32"/>
          <w:szCs w:val="32"/>
          <w:lang w:val="en-US"/>
        </w:rPr>
        <w:t>道路危险货物运输企业的监督检查</w:t>
      </w:r>
      <w:bookmarkEnd w:id="19"/>
      <w:r>
        <w:rPr>
          <w:rFonts w:hint="eastAsia" w:ascii="黑体" w:hAnsi="黑体" w:eastAsia="黑体" w:cs="黑体"/>
          <w:color w:val="000000"/>
          <w:sz w:val="32"/>
          <w:szCs w:val="32"/>
          <w:lang w:val="en-US"/>
        </w:rPr>
        <w:t>工作指引</w:t>
      </w:r>
      <w:bookmarkEnd w:id="18"/>
    </w:p>
    <w:p w14:paraId="5B4ACCED">
      <w:pPr>
        <w:pStyle w:val="9"/>
        <w:snapToGrid w:val="0"/>
        <w:spacing w:line="620" w:lineRule="exact"/>
        <w:ind w:firstLine="640" w:firstLineChars="200"/>
        <w:textAlignment w:val="baseline"/>
        <w:rPr>
          <w:rFonts w:eastAsia="黑体" w:cs="黑体"/>
          <w:color w:val="000000"/>
          <w:sz w:val="32"/>
          <w:szCs w:val="32"/>
          <w:lang w:val="en-US"/>
        </w:rPr>
      </w:pPr>
      <w:r>
        <w:rPr>
          <w:rFonts w:hint="eastAsia" w:eastAsia="黑体" w:cs="黑体"/>
          <w:color w:val="000000"/>
          <w:sz w:val="32"/>
          <w:szCs w:val="32"/>
          <w:lang w:val="en-US"/>
        </w:rPr>
        <w:t>一、抽查事项</w:t>
      </w:r>
    </w:p>
    <w:p w14:paraId="32A10480">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道路危险货物运输企业检查</w:t>
      </w:r>
    </w:p>
    <w:p w14:paraId="6BE73824">
      <w:pPr>
        <w:pStyle w:val="9"/>
        <w:snapToGrid w:val="0"/>
        <w:spacing w:line="620" w:lineRule="exact"/>
        <w:ind w:firstLine="640" w:firstLineChars="200"/>
        <w:textAlignment w:val="baseline"/>
        <w:rPr>
          <w:sz w:val="32"/>
          <w:szCs w:val="32"/>
          <w:lang w:val="en-US"/>
        </w:rPr>
      </w:pPr>
      <w:r>
        <w:rPr>
          <w:rFonts w:hint="eastAsia" w:eastAsia="黑体" w:cs="黑体"/>
          <w:sz w:val="32"/>
          <w:szCs w:val="32"/>
          <w:lang w:val="en-US"/>
        </w:rPr>
        <w:t>二、检查内容和方法</w:t>
      </w:r>
    </w:p>
    <w:p w14:paraId="323C1404">
      <w:pPr>
        <w:pStyle w:val="9"/>
        <w:snapToGrid w:val="0"/>
        <w:spacing w:line="620" w:lineRule="exact"/>
        <w:ind w:firstLine="640" w:firstLineChars="200"/>
        <w:jc w:val="both"/>
        <w:textAlignment w:val="baseline"/>
        <w:rPr>
          <w:rFonts w:ascii="楷体" w:hAnsi="楷体" w:eastAsia="楷体" w:cs="楷体_GB2312"/>
          <w:sz w:val="32"/>
          <w:szCs w:val="32"/>
          <w:lang w:val="en-US"/>
        </w:rPr>
      </w:pPr>
      <w:r>
        <w:rPr>
          <w:rFonts w:hint="eastAsia" w:ascii="楷体" w:hAnsi="楷体" w:eastAsia="楷体" w:cs="楷体_GB2312"/>
          <w:sz w:val="32"/>
          <w:szCs w:val="32"/>
          <w:lang w:val="en-US"/>
        </w:rPr>
        <w:t>（一）营业执照、道路运输经营许可证规范使用情况的检查</w:t>
      </w:r>
    </w:p>
    <w:p w14:paraId="1FF12D6D">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检查是否将营业执照、道路运输经营许可证置于营业场所醒目位置；营业执照、道路运输经营许可证是否存在涂改行为；是否存在超出经营期限、经营范围开展经营活动的行为。</w:t>
      </w:r>
    </w:p>
    <w:p w14:paraId="71745DE1">
      <w:pPr>
        <w:pStyle w:val="9"/>
        <w:snapToGrid w:val="0"/>
        <w:spacing w:line="620" w:lineRule="exact"/>
        <w:ind w:firstLine="640" w:firstLineChars="200"/>
        <w:jc w:val="both"/>
        <w:textAlignment w:val="baseline"/>
        <w:rPr>
          <w:rFonts w:ascii="楷体" w:hAnsi="楷体" w:eastAsia="楷体" w:cs="楷体_GB2312"/>
          <w:sz w:val="32"/>
          <w:szCs w:val="32"/>
          <w:lang w:val="en-US"/>
        </w:rPr>
      </w:pPr>
      <w:r>
        <w:rPr>
          <w:rFonts w:hint="eastAsia" w:ascii="楷体" w:hAnsi="楷体" w:eastAsia="楷体" w:cs="楷体_GB2312"/>
          <w:sz w:val="32"/>
          <w:szCs w:val="32"/>
          <w:lang w:val="en-US"/>
        </w:rPr>
        <w:t>（二）有符合下列要求的从业人员和安全管理人员</w:t>
      </w:r>
    </w:p>
    <w:p w14:paraId="68780188">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1.专用车辆的驾驶人员取得相应机动车驾驶证，年龄不超过60周岁。</w:t>
      </w:r>
    </w:p>
    <w:p w14:paraId="2029E08A">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2.从事道路危险货物运输的驾驶人员、装卸管理人员、押运人员应当经所在地设区的市级 人民政府交通运输主管部门考试合格，并取得相应的从业资格证；从事剧毒化学品、爆炸品道路 运输的驾驶人员、装卸管理人员、押运人员，应当经考试合格，取得注明为“剧毒化学品运输”或者“爆炸品运输”类别的从业资格证。</w:t>
      </w:r>
    </w:p>
    <w:p w14:paraId="644B66D1">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3.企业应当配备专职安全管理人员。</w:t>
      </w:r>
    </w:p>
    <w:p w14:paraId="60D5A694">
      <w:pPr>
        <w:pStyle w:val="9"/>
        <w:snapToGrid w:val="0"/>
        <w:spacing w:line="620" w:lineRule="exact"/>
        <w:ind w:firstLine="640" w:firstLineChars="200"/>
        <w:textAlignment w:val="baseline"/>
        <w:rPr>
          <w:rFonts w:ascii="楷体" w:hAnsi="楷体" w:eastAsia="楷体" w:cs="楷体_GB2312"/>
          <w:sz w:val="32"/>
          <w:szCs w:val="32"/>
          <w:lang w:val="en-US"/>
        </w:rPr>
      </w:pPr>
      <w:r>
        <w:rPr>
          <w:rFonts w:hint="eastAsia" w:ascii="楷体" w:hAnsi="楷体" w:eastAsia="楷体" w:cs="楷体_GB2312"/>
          <w:sz w:val="32"/>
          <w:szCs w:val="32"/>
          <w:lang w:val="en-US"/>
        </w:rPr>
        <w:t>（三）车辆条件</w:t>
      </w:r>
    </w:p>
    <w:p w14:paraId="06D1F1CB">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1.自有专用车辆（挂车除外）5辆以上；运输剧毒化学品、爆炸品的，自有专用车辆（挂 车除外）10辆以上。</w:t>
      </w:r>
    </w:p>
    <w:p w14:paraId="081F506D">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2.专用车辆技术性能符合国家标准《营运车辆综合性能要求和检验方法》（GB18565）的要 求；技术等级达到行业标准《营运车辆技术等级划分和评定要求》（JT/T198）规定的一级技术 等级。</w:t>
      </w:r>
    </w:p>
    <w:p w14:paraId="6767D779">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3.专用车辆外廓尺寸、轴荷和质量符合国家标准《道路车辆外廓尺寸、轴荷和质量限值》 （GB1589）的要求。</w:t>
      </w:r>
    </w:p>
    <w:p w14:paraId="76657CDE">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4.专用车辆燃料消耗量符合行业标准《营运货车燃料消耗量限值及测量方法》（JT719）的 要求。</w:t>
      </w:r>
    </w:p>
    <w:p w14:paraId="09DFE6D0">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5.配备有效的通讯工具。</w:t>
      </w:r>
    </w:p>
    <w:p w14:paraId="6500AF64">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6.专用车辆应当安装具有行驶记录功能的卫星定位装置。</w:t>
      </w:r>
    </w:p>
    <w:p w14:paraId="06CB7CA2">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7.运输剧毒化学品、爆炸品、易制爆危险化学品的，应当配备罐式、厢式专用车辆或者压 力容器等专用容器。</w:t>
      </w:r>
    </w:p>
    <w:p w14:paraId="5083EE71">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8.罐式专用车辆的罐体应当经质量检验部门检验合格，且罐体载货后总质量与专用车辆核 定载质量相匹配。运输爆炸品、强腐蚀性危险货物的罐式专用车辆的罐体容积不得超过20立方米，运输剧毒化学品的罐式专用车辆的罐体容积不得超过10立方米，但符合国家有关标准的罐式集装箱除外。</w:t>
      </w:r>
    </w:p>
    <w:p w14:paraId="055C6AB8">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9.运输剧毒化学品、爆炸品、强腐蚀性危险货物的非罐式专用车辆，核定载质量不得超过10吨，但符合国家有关标准的集装箱运输专用车辆除外。</w:t>
      </w:r>
    </w:p>
    <w:p w14:paraId="612DF283">
      <w:pPr>
        <w:pStyle w:val="9"/>
        <w:snapToGrid w:val="0"/>
        <w:spacing w:line="620" w:lineRule="exact"/>
        <w:ind w:firstLine="640" w:firstLineChars="200"/>
        <w:textAlignment w:val="baseline"/>
        <w:rPr>
          <w:rFonts w:eastAsia="宋体"/>
          <w:color w:val="000000"/>
          <w:sz w:val="32"/>
          <w:szCs w:val="32"/>
          <w:lang w:val="en-US"/>
        </w:rPr>
      </w:pPr>
      <w:r>
        <w:rPr>
          <w:rFonts w:hint="eastAsia" w:ascii="仿宋" w:hAnsi="仿宋" w:eastAsia="仿宋"/>
          <w:color w:val="000000"/>
          <w:sz w:val="32"/>
          <w:szCs w:val="32"/>
          <w:lang w:val="en-US"/>
        </w:rPr>
        <w:t>10.配备与运输的危险货物性质相适应的安全防护、环境保护和消防设施设备。</w:t>
      </w:r>
    </w:p>
    <w:p w14:paraId="657560CB">
      <w:pPr>
        <w:pStyle w:val="9"/>
        <w:snapToGrid w:val="0"/>
        <w:spacing w:line="620" w:lineRule="exact"/>
        <w:ind w:firstLine="640" w:firstLineChars="200"/>
        <w:textAlignment w:val="baseline"/>
        <w:rPr>
          <w:rFonts w:ascii="楷体" w:hAnsi="楷体" w:eastAsia="楷体" w:cs="楷体_GB2312"/>
          <w:sz w:val="32"/>
          <w:szCs w:val="32"/>
          <w:lang w:val="en-US"/>
        </w:rPr>
      </w:pPr>
      <w:r>
        <w:rPr>
          <w:rFonts w:hint="eastAsia" w:ascii="楷体" w:hAnsi="楷体" w:eastAsia="楷体" w:cs="楷体_GB2312"/>
          <w:sz w:val="32"/>
          <w:szCs w:val="32"/>
          <w:lang w:val="en-US"/>
        </w:rPr>
        <w:t>（四）有符合下列要求的停车场地</w:t>
      </w:r>
    </w:p>
    <w:p w14:paraId="046D4889">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1.自有或者租借期限为3年以上，且与经营范围、规模相适应的停车场地，停车场地应当位于企业注册地市级行政区域内。</w:t>
      </w:r>
    </w:p>
    <w:p w14:paraId="69ABD0D0">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2.运输剧毒化学品、爆炸品专用车辆以及罐式专用车辆，数量为20辆（含）以下的，停车场地面积不低于车辆正投影面积的1.5倍，数量为20辆以上的，超过部分，每辆车的停车场地面积不低于车辆正投影面积；运输其他危险货物的，专用车辆数量为10辆（含）以下的，停车场地面积不低于车辆正投影面积的1.5倍；数量为10辆以上的，超过部分，每辆车的停车场地面积不低于车辆正投影面积。</w:t>
      </w:r>
    </w:p>
    <w:p w14:paraId="0F6F0CE7">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3.停车场地应当封闭并设立明显标志，不得妨碍居民生活和威胁公共安全。</w:t>
      </w:r>
    </w:p>
    <w:p w14:paraId="53E763E3">
      <w:pPr>
        <w:pStyle w:val="9"/>
        <w:snapToGrid w:val="0"/>
        <w:spacing w:line="620" w:lineRule="exact"/>
        <w:ind w:firstLine="640" w:firstLineChars="200"/>
        <w:textAlignment w:val="baseline"/>
        <w:rPr>
          <w:rFonts w:ascii="楷体" w:hAnsi="楷体" w:eastAsia="楷体" w:cs="楷体_GB2312"/>
          <w:sz w:val="32"/>
          <w:szCs w:val="32"/>
          <w:lang w:val="en-US"/>
        </w:rPr>
      </w:pPr>
      <w:r>
        <w:rPr>
          <w:rFonts w:hint="eastAsia" w:ascii="楷体" w:hAnsi="楷体" w:eastAsia="楷体" w:cs="楷体_GB2312"/>
          <w:sz w:val="32"/>
          <w:szCs w:val="32"/>
          <w:lang w:val="en-US"/>
        </w:rPr>
        <w:t>（五）有健全的安全生产管理制度</w:t>
      </w:r>
    </w:p>
    <w:p w14:paraId="6AAC5625">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1.企业主要负责人、安全管理部门负责人、专职安全管理人员安全生产责任制度。</w:t>
      </w:r>
    </w:p>
    <w:p w14:paraId="0E6683D4">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2.从业人员安全生产责任制度。</w:t>
      </w:r>
    </w:p>
    <w:p w14:paraId="33EE254C">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3.安全生产监督检查制度。</w:t>
      </w:r>
    </w:p>
    <w:p w14:paraId="0D5367B4">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4.安全生产教育培训制度。</w:t>
      </w:r>
    </w:p>
    <w:p w14:paraId="68FF1E4C">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5.从业人员、专用车辆、设备及停车场地安全管理制度。</w:t>
      </w:r>
    </w:p>
    <w:p w14:paraId="2565CF2E">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6.应急救援预案制度。</w:t>
      </w:r>
    </w:p>
    <w:p w14:paraId="52AF4DE7">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7.安全生产作业规程。</w:t>
      </w:r>
    </w:p>
    <w:p w14:paraId="54162A02">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8.安全生产考核与奖惩制度。</w:t>
      </w:r>
    </w:p>
    <w:p w14:paraId="1C8CFB04">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9.安全事故报告、统计与处理制度。</w:t>
      </w:r>
    </w:p>
    <w:p w14:paraId="712D064A">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检查方式：现场检查</w:t>
      </w:r>
    </w:p>
    <w:p w14:paraId="6B12004C">
      <w:pPr>
        <w:pStyle w:val="9"/>
        <w:snapToGrid w:val="0"/>
        <w:spacing w:line="620" w:lineRule="exact"/>
        <w:ind w:firstLine="640" w:firstLineChars="200"/>
        <w:textAlignment w:val="baseline"/>
        <w:rPr>
          <w:sz w:val="32"/>
          <w:szCs w:val="32"/>
          <w:lang w:val="en-US"/>
        </w:rPr>
      </w:pPr>
      <w:r>
        <w:rPr>
          <w:rFonts w:hint="eastAsia" w:eastAsia="黑体" w:cs="黑体"/>
          <w:sz w:val="32"/>
          <w:szCs w:val="32"/>
          <w:lang w:val="en-US"/>
        </w:rPr>
        <w:t>三、检查依据</w:t>
      </w:r>
    </w:p>
    <w:p w14:paraId="72D795CE">
      <w:pPr>
        <w:pStyle w:val="9"/>
        <w:snapToGrid w:val="0"/>
        <w:spacing w:line="620" w:lineRule="exact"/>
        <w:ind w:firstLine="640" w:firstLineChars="200"/>
        <w:textAlignment w:val="baseline"/>
        <w:rPr>
          <w:rFonts w:ascii="仿宋" w:hAnsi="仿宋" w:eastAsia="仿宋" w:cs="楷体_GB2312"/>
          <w:sz w:val="32"/>
          <w:szCs w:val="32"/>
          <w:lang w:val="en-US"/>
        </w:rPr>
      </w:pPr>
      <w:r>
        <w:rPr>
          <w:rFonts w:hint="eastAsia" w:ascii="仿宋" w:hAnsi="仿宋" w:eastAsia="仿宋" w:cs="楷体_GB2312"/>
          <w:sz w:val="32"/>
          <w:szCs w:val="32"/>
          <w:lang w:val="en-US"/>
        </w:rPr>
        <w:t>《道路危险货物运输管理规定》（中华人民共和国交通运输部令 2019年第42号）</w:t>
      </w:r>
    </w:p>
    <w:p w14:paraId="608E8483">
      <w:pPr>
        <w:pStyle w:val="9"/>
        <w:snapToGrid w:val="0"/>
        <w:spacing w:line="620" w:lineRule="exact"/>
        <w:ind w:firstLine="640" w:firstLineChars="200"/>
        <w:textAlignment w:val="baseline"/>
        <w:rPr>
          <w:rFonts w:ascii="仿宋" w:hAnsi="仿宋" w:eastAsia="仿宋"/>
          <w:color w:val="000000"/>
          <w:sz w:val="32"/>
          <w:szCs w:val="32"/>
          <w:lang w:val="en-US"/>
        </w:rPr>
      </w:pPr>
    </w:p>
    <w:p w14:paraId="0AF6745A">
      <w:pPr>
        <w:spacing w:line="620" w:lineRule="exact"/>
      </w:pPr>
      <w:r>
        <w:rPr>
          <w:rFonts w:hint="eastAsia"/>
        </w:rPr>
        <w:br w:type="page"/>
      </w:r>
    </w:p>
    <w:p w14:paraId="61284A1C">
      <w:pPr>
        <w:pStyle w:val="9"/>
        <w:spacing w:before="280" w:after="280" w:line="620" w:lineRule="exact"/>
        <w:ind w:firstLine="0"/>
        <w:jc w:val="center"/>
        <w:outlineLvl w:val="0"/>
        <w:rPr>
          <w:rFonts w:ascii="黑体" w:hAnsi="黑体" w:eastAsia="黑体" w:cs="黑体"/>
          <w:color w:val="000000"/>
          <w:sz w:val="32"/>
          <w:szCs w:val="32"/>
          <w:lang w:val="en-US"/>
        </w:rPr>
      </w:pPr>
      <w:bookmarkStart w:id="20" w:name="_Toc19239"/>
      <w:r>
        <w:rPr>
          <w:rFonts w:hint="eastAsia" w:ascii="黑体" w:hAnsi="黑体" w:eastAsia="黑体" w:cs="黑体"/>
          <w:color w:val="000000"/>
          <w:sz w:val="32"/>
          <w:szCs w:val="32"/>
          <w:lang w:val="en-US"/>
        </w:rPr>
        <w:t>第</w:t>
      </w: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lang w:val="en-US"/>
        </w:rPr>
        <w:t>章 对旅游包车客运企业的监督检查工作指引</w:t>
      </w:r>
      <w:bookmarkEnd w:id="20"/>
    </w:p>
    <w:p w14:paraId="6E430E69">
      <w:pPr>
        <w:pStyle w:val="9"/>
        <w:snapToGrid w:val="0"/>
        <w:spacing w:line="620" w:lineRule="exact"/>
        <w:ind w:firstLine="640" w:firstLineChars="200"/>
        <w:textAlignment w:val="baseline"/>
        <w:rPr>
          <w:rFonts w:eastAsia="黑体" w:cs="黑体"/>
          <w:color w:val="000000"/>
          <w:sz w:val="32"/>
          <w:szCs w:val="32"/>
          <w:lang w:val="en-US"/>
        </w:rPr>
      </w:pPr>
      <w:r>
        <w:rPr>
          <w:rFonts w:hint="eastAsia" w:eastAsia="黑体" w:cs="黑体"/>
          <w:color w:val="000000"/>
          <w:sz w:val="32"/>
          <w:szCs w:val="32"/>
          <w:lang w:val="en-US"/>
        </w:rPr>
        <w:t>一、抽查事项</w:t>
      </w:r>
    </w:p>
    <w:p w14:paraId="46CAD6A3">
      <w:pPr>
        <w:pStyle w:val="9"/>
        <w:snapToGrid w:val="0"/>
        <w:spacing w:line="620" w:lineRule="exact"/>
        <w:ind w:firstLine="640" w:firstLineChars="200"/>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旅游包车客运企业的监督抽查</w:t>
      </w:r>
    </w:p>
    <w:p w14:paraId="5D9DCD45">
      <w:pPr>
        <w:pStyle w:val="9"/>
        <w:snapToGrid w:val="0"/>
        <w:spacing w:line="620" w:lineRule="exact"/>
        <w:ind w:firstLine="640" w:firstLineChars="200"/>
        <w:textAlignment w:val="baseline"/>
        <w:rPr>
          <w:color w:val="000000"/>
          <w:sz w:val="32"/>
          <w:szCs w:val="32"/>
          <w:lang w:val="en-US"/>
        </w:rPr>
      </w:pPr>
      <w:r>
        <w:rPr>
          <w:rFonts w:hint="eastAsia" w:eastAsia="黑体" w:cs="黑体"/>
          <w:color w:val="000000"/>
          <w:sz w:val="32"/>
          <w:szCs w:val="32"/>
          <w:lang w:val="en-US"/>
        </w:rPr>
        <w:t>二、检查内容和方法</w:t>
      </w:r>
    </w:p>
    <w:p w14:paraId="000BABE5">
      <w:pPr>
        <w:pStyle w:val="9"/>
        <w:snapToGrid w:val="0"/>
        <w:spacing w:line="620" w:lineRule="exact"/>
        <w:ind w:firstLine="640" w:firstLineChars="200"/>
        <w:textAlignment w:val="baseline"/>
        <w:rPr>
          <w:rFonts w:ascii="楷体" w:hAnsi="楷体" w:eastAsia="楷体" w:cs="楷体_GB2312"/>
          <w:color w:val="000000"/>
          <w:sz w:val="32"/>
          <w:szCs w:val="32"/>
          <w:lang w:val="en-US"/>
        </w:rPr>
      </w:pPr>
      <w:r>
        <w:rPr>
          <w:rFonts w:hint="eastAsia" w:ascii="楷体" w:hAnsi="楷体" w:eastAsia="楷体" w:cs="楷体_GB2312"/>
          <w:color w:val="000000"/>
          <w:sz w:val="32"/>
          <w:szCs w:val="32"/>
          <w:lang w:val="en-US"/>
        </w:rPr>
        <w:t>（―）营业执照、道路运输经营许可证规范使用情况的检查</w:t>
      </w:r>
    </w:p>
    <w:p w14:paraId="2DC0CBDB">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检查是否将营业执照、道路运输经营许可证置于营业场所醒目位置；营业执照、道路运输经营许可证是否存在涂改行为；是否存在超出经营期限、经营范围开展经营活动的行为。</w:t>
      </w:r>
    </w:p>
    <w:p w14:paraId="7576C625">
      <w:pPr>
        <w:pStyle w:val="9"/>
        <w:snapToGrid w:val="0"/>
        <w:spacing w:line="620" w:lineRule="exact"/>
        <w:ind w:firstLine="640" w:firstLineChars="200"/>
        <w:textAlignment w:val="baseline"/>
        <w:rPr>
          <w:rFonts w:ascii="楷体" w:hAnsi="楷体" w:eastAsia="楷体" w:cs="楷体_GB2312"/>
          <w:color w:val="000000"/>
          <w:sz w:val="32"/>
          <w:szCs w:val="32"/>
          <w:lang w:val="en-US"/>
        </w:rPr>
      </w:pPr>
      <w:r>
        <w:rPr>
          <w:rFonts w:hint="eastAsia" w:ascii="楷体" w:hAnsi="楷体" w:eastAsia="楷体" w:cs="楷体_GB2312"/>
          <w:color w:val="000000"/>
          <w:sz w:val="32"/>
          <w:szCs w:val="32"/>
          <w:lang w:val="en-US"/>
        </w:rPr>
        <w:t>（二）人员条件</w:t>
      </w:r>
    </w:p>
    <w:p w14:paraId="22B798C5">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是否建立驾驶人员管理档案，已聘用或者拟聘用驾驶人员的驾驶证和从业资格证及其复印件，公安部门出具的3年内无重大以上交通责任事故的证明；是否建立驾驶人员岗前培训、安全培训教育情况。</w:t>
      </w:r>
    </w:p>
    <w:p w14:paraId="0A6FE3C4">
      <w:pPr>
        <w:pStyle w:val="9"/>
        <w:snapToGrid w:val="0"/>
        <w:spacing w:line="620" w:lineRule="exact"/>
        <w:ind w:firstLine="640" w:firstLineChars="200"/>
        <w:textAlignment w:val="baseline"/>
        <w:rPr>
          <w:rFonts w:ascii="楷体" w:hAnsi="楷体" w:eastAsia="楷体" w:cs="楷体_GB2312"/>
          <w:color w:val="000000"/>
          <w:sz w:val="32"/>
          <w:szCs w:val="32"/>
          <w:lang w:val="en-US"/>
        </w:rPr>
      </w:pPr>
      <w:r>
        <w:rPr>
          <w:rFonts w:hint="eastAsia" w:ascii="楷体" w:hAnsi="楷体" w:eastAsia="楷体" w:cs="楷体_GB2312"/>
          <w:color w:val="000000"/>
          <w:sz w:val="32"/>
          <w:szCs w:val="32"/>
          <w:lang w:val="en-US"/>
        </w:rPr>
        <w:t>（三）车辆条件</w:t>
      </w:r>
    </w:p>
    <w:p w14:paraId="2FD3AA58">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从事包车客运的客车，其类型等级应当达到中级以上。</w:t>
      </w:r>
    </w:p>
    <w:p w14:paraId="72F0E842">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经营省际包车客运的经营者，应当自有中高级营运客车20辆以上。</w:t>
      </w:r>
    </w:p>
    <w:p w14:paraId="28865A73">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经营省内包车客运的经营者，应当自有营运客车10辆以上。</w:t>
      </w:r>
    </w:p>
    <w:p w14:paraId="77E5565E">
      <w:pPr>
        <w:pStyle w:val="9"/>
        <w:snapToGrid w:val="0"/>
        <w:spacing w:line="620" w:lineRule="exact"/>
        <w:ind w:firstLine="640" w:firstLineChars="200"/>
        <w:textAlignment w:val="baseline"/>
        <w:rPr>
          <w:rFonts w:ascii="楷体_GB2312" w:hAnsi="楷体_GB2312" w:eastAsia="楷体_GB2312" w:cs="楷体_GB2312"/>
          <w:color w:val="000000"/>
          <w:sz w:val="32"/>
          <w:szCs w:val="32"/>
          <w:lang w:val="en-US"/>
        </w:rPr>
      </w:pPr>
      <w:r>
        <w:rPr>
          <w:rFonts w:hint="eastAsia" w:ascii="楷体" w:hAnsi="楷体" w:eastAsia="楷体" w:cs="楷体_GB2312"/>
          <w:color w:val="000000"/>
          <w:sz w:val="32"/>
          <w:szCs w:val="32"/>
          <w:lang w:val="en-US"/>
        </w:rPr>
        <w:t>（四）安全生产管理制度</w:t>
      </w:r>
    </w:p>
    <w:p w14:paraId="74E547BD">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是否制定安全生产责任制、安全生产操作流程、安全生产监督检查、驾驶人员和车辆安全生产管理等制度；是否按规定设置安全管理机构；是否建立安全生产培训教育制度，有无相关记录；是否开展安全生产例会和安全生产检查，有无相关参加人员签名的相关例会和检查情况记录；企业是否安装卫星定位系统监控平台及监控人员配备和24小时值班制度，有无相关值班和监控情况记录；是否制定公共突发事件的应急预案；是否制定事故应急救援预案。</w:t>
      </w:r>
    </w:p>
    <w:p w14:paraId="3DE1F049">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检查方式：现场检查</w:t>
      </w:r>
    </w:p>
    <w:p w14:paraId="7139427E">
      <w:pPr>
        <w:pStyle w:val="9"/>
        <w:snapToGrid w:val="0"/>
        <w:spacing w:line="620" w:lineRule="exact"/>
        <w:ind w:firstLine="640" w:firstLineChars="200"/>
        <w:textAlignment w:val="baseline"/>
        <w:rPr>
          <w:color w:val="000000"/>
          <w:sz w:val="32"/>
          <w:szCs w:val="32"/>
          <w:lang w:val="en-US"/>
        </w:rPr>
      </w:pPr>
      <w:r>
        <w:rPr>
          <w:rFonts w:hint="eastAsia" w:eastAsia="黑体" w:cs="黑体"/>
          <w:color w:val="000000"/>
          <w:sz w:val="32"/>
          <w:szCs w:val="32"/>
          <w:lang w:val="en-US"/>
        </w:rPr>
        <w:t>三、检查依据</w:t>
      </w:r>
    </w:p>
    <w:p w14:paraId="57F5A897">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（一）《中华人民共和国道路运输条例》（2019年国务院令第709号）</w:t>
      </w:r>
    </w:p>
    <w:p w14:paraId="46DA9C80">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（二）交通运输部《道路旅客运输及客运站管理规定》（中华人民共和国交通运输部令2020年第17号）》</w:t>
      </w:r>
    </w:p>
    <w:p w14:paraId="06BD9F0F">
      <w:pPr>
        <w:spacing w:line="620" w:lineRule="exact"/>
        <w:rPr>
          <w:color w:val="000000"/>
        </w:rPr>
      </w:pPr>
      <w:r>
        <w:rPr>
          <w:rFonts w:hint="eastAsia"/>
          <w:color w:val="000000"/>
        </w:rPr>
        <w:br w:type="page"/>
      </w:r>
    </w:p>
    <w:p w14:paraId="57E63BAE">
      <w:pPr>
        <w:pStyle w:val="9"/>
        <w:spacing w:before="280" w:after="280" w:line="620" w:lineRule="exact"/>
        <w:ind w:firstLine="0"/>
        <w:jc w:val="center"/>
        <w:outlineLvl w:val="0"/>
        <w:rPr>
          <w:rFonts w:ascii="黑体" w:hAnsi="黑体" w:eastAsia="黑体" w:cs="黑体"/>
          <w:color w:val="000000"/>
          <w:sz w:val="32"/>
          <w:szCs w:val="32"/>
          <w:lang w:val="en-US"/>
        </w:rPr>
      </w:pPr>
      <w:bookmarkStart w:id="21" w:name="_Hlk88895608"/>
      <w:bookmarkStart w:id="22" w:name="_Toc19554"/>
      <w:r>
        <w:rPr>
          <w:rFonts w:hint="eastAsia" w:ascii="黑体" w:hAnsi="黑体" w:eastAsia="黑体" w:cs="黑体"/>
          <w:color w:val="000000"/>
          <w:sz w:val="32"/>
          <w:szCs w:val="32"/>
          <w:lang w:val="en-US"/>
        </w:rPr>
        <w:t>第</w:t>
      </w:r>
      <w:r>
        <w:rPr>
          <w:rFonts w:hint="eastAsia" w:ascii="黑体" w:hAnsi="黑体" w:eastAsia="黑体" w:cs="黑体"/>
          <w:color w:val="000000"/>
          <w:sz w:val="32"/>
          <w:szCs w:val="32"/>
          <w:lang w:val="en-US" w:eastAsia="zh-CN"/>
        </w:rPr>
        <w:t>九</w:t>
      </w:r>
      <w:bookmarkStart w:id="23" w:name="_GoBack"/>
      <w:bookmarkEnd w:id="23"/>
      <w:r>
        <w:rPr>
          <w:rFonts w:hint="eastAsia" w:ascii="黑体" w:hAnsi="黑体" w:eastAsia="黑体" w:cs="黑体"/>
          <w:color w:val="000000"/>
          <w:sz w:val="32"/>
          <w:szCs w:val="32"/>
          <w:lang w:val="en-US"/>
        </w:rPr>
        <w:t>章 对道路普通货物运输企业的监督检查工作指引</w:t>
      </w:r>
      <w:bookmarkEnd w:id="21"/>
      <w:bookmarkEnd w:id="22"/>
    </w:p>
    <w:p w14:paraId="685D0AD2">
      <w:pPr>
        <w:pStyle w:val="9"/>
        <w:snapToGrid w:val="0"/>
        <w:spacing w:line="620" w:lineRule="exact"/>
        <w:ind w:firstLine="640" w:firstLineChars="200"/>
        <w:jc w:val="both"/>
        <w:textAlignment w:val="baseline"/>
        <w:rPr>
          <w:color w:val="000000"/>
          <w:sz w:val="32"/>
          <w:szCs w:val="32"/>
          <w:lang w:val="en-US"/>
        </w:rPr>
      </w:pPr>
      <w:r>
        <w:rPr>
          <w:rFonts w:hint="eastAsia" w:eastAsia="黑体" w:cs="黑体"/>
          <w:color w:val="000000"/>
          <w:sz w:val="32"/>
          <w:szCs w:val="32"/>
          <w:lang w:val="en-US"/>
        </w:rPr>
        <w:t>一、抽查事项</w:t>
      </w:r>
    </w:p>
    <w:p w14:paraId="02110405">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对道路普通货物运输企业的检查</w:t>
      </w:r>
    </w:p>
    <w:p w14:paraId="3222AAFF">
      <w:pPr>
        <w:pStyle w:val="9"/>
        <w:snapToGrid w:val="0"/>
        <w:spacing w:line="620" w:lineRule="exact"/>
        <w:ind w:firstLine="640" w:firstLineChars="200"/>
        <w:jc w:val="both"/>
        <w:textAlignment w:val="baseline"/>
        <w:rPr>
          <w:color w:val="000000"/>
          <w:sz w:val="32"/>
          <w:szCs w:val="32"/>
          <w:lang w:val="en-US"/>
        </w:rPr>
      </w:pPr>
      <w:r>
        <w:rPr>
          <w:rFonts w:hint="eastAsia" w:eastAsia="黑体" w:cs="黑体"/>
          <w:color w:val="000000"/>
          <w:sz w:val="32"/>
          <w:szCs w:val="32"/>
          <w:lang w:val="en-US"/>
        </w:rPr>
        <w:t>二、检查内容和方法</w:t>
      </w:r>
    </w:p>
    <w:p w14:paraId="07BD1799">
      <w:pPr>
        <w:pStyle w:val="9"/>
        <w:snapToGrid w:val="0"/>
        <w:spacing w:line="620" w:lineRule="exact"/>
        <w:ind w:firstLine="640" w:firstLineChars="200"/>
        <w:jc w:val="both"/>
        <w:textAlignment w:val="baseline"/>
        <w:rPr>
          <w:rFonts w:ascii="楷体" w:hAnsi="楷体" w:eastAsia="楷体" w:cs="楷体_GB2312"/>
          <w:color w:val="000000"/>
          <w:sz w:val="32"/>
          <w:szCs w:val="32"/>
          <w:lang w:val="en-US"/>
        </w:rPr>
      </w:pPr>
      <w:r>
        <w:rPr>
          <w:rFonts w:hint="eastAsia" w:ascii="楷体" w:hAnsi="楷体" w:eastAsia="楷体" w:cs="楷体_GB2312"/>
          <w:color w:val="000000"/>
          <w:sz w:val="32"/>
          <w:szCs w:val="32"/>
          <w:lang w:val="en-US"/>
        </w:rPr>
        <w:t>（一）营业执照（登记证）规范使用情况的检查</w:t>
      </w:r>
    </w:p>
    <w:p w14:paraId="02E51E06">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检查是否将营业执照置于住所或者营业场所醒目位置，营业执照是否存在涂改行为。</w:t>
      </w:r>
    </w:p>
    <w:p w14:paraId="7E9A08A3">
      <w:pPr>
        <w:pStyle w:val="9"/>
        <w:snapToGrid w:val="0"/>
        <w:spacing w:line="620" w:lineRule="exact"/>
        <w:ind w:firstLine="640" w:firstLineChars="200"/>
        <w:jc w:val="both"/>
        <w:textAlignment w:val="baseline"/>
        <w:rPr>
          <w:rFonts w:ascii="楷体" w:hAnsi="楷体" w:eastAsia="楷体" w:cs="楷体_GB2312"/>
          <w:color w:val="000000"/>
          <w:sz w:val="32"/>
          <w:szCs w:val="32"/>
          <w:lang w:val="en-US"/>
        </w:rPr>
      </w:pPr>
      <w:r>
        <w:rPr>
          <w:rFonts w:hint="eastAsia" w:ascii="楷体" w:hAnsi="楷体" w:eastAsia="楷体" w:cs="楷体_GB2312"/>
          <w:color w:val="000000"/>
          <w:sz w:val="32"/>
          <w:szCs w:val="32"/>
          <w:lang w:val="en-US"/>
        </w:rPr>
        <w:t>（二）有符合下列要求的从业人员</w:t>
      </w:r>
    </w:p>
    <w:p w14:paraId="09115F43">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1.取得与驾驶车辆相适应的机动车驾驶证，</w:t>
      </w:r>
    </w:p>
    <w:p w14:paraId="7642BFB0">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2.年龄不超过60周岁。</w:t>
      </w:r>
    </w:p>
    <w:p w14:paraId="6D35ED0A">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3.经设区的市级道路运输管理机构对有关道路货物运输法规、机动车维修和货物及装载保管基本知识考试合格，并取得从业资格证。</w:t>
      </w:r>
    </w:p>
    <w:p w14:paraId="379C911D">
      <w:pPr>
        <w:pStyle w:val="9"/>
        <w:snapToGrid w:val="0"/>
        <w:spacing w:line="620" w:lineRule="exact"/>
        <w:ind w:firstLine="640" w:firstLineChars="200"/>
        <w:jc w:val="both"/>
        <w:textAlignment w:val="baseline"/>
        <w:rPr>
          <w:rFonts w:ascii="楷体" w:hAnsi="楷体" w:eastAsia="楷体" w:cs="楷体_GB2312"/>
          <w:color w:val="000000"/>
          <w:sz w:val="32"/>
          <w:szCs w:val="32"/>
          <w:lang w:val="en-US"/>
        </w:rPr>
      </w:pPr>
      <w:r>
        <w:rPr>
          <w:rFonts w:hint="eastAsia" w:ascii="楷体" w:hAnsi="楷体" w:eastAsia="楷体" w:cs="楷体_GB2312"/>
          <w:color w:val="000000"/>
          <w:sz w:val="32"/>
          <w:szCs w:val="32"/>
          <w:lang w:val="en-US"/>
        </w:rPr>
        <w:t>（三）车辆条件</w:t>
      </w:r>
    </w:p>
    <w:p w14:paraId="65663BEF">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1.车辆技术要求应当符合《道路运输车辆技术管理规定》有关规定。</w:t>
      </w:r>
    </w:p>
    <w:p w14:paraId="77587655">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2.车辆其他要求：</w:t>
      </w:r>
    </w:p>
    <w:p w14:paraId="24299D45">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（1）从事大型物件运输经营的，应当具有与所运输大型物件相适应的超重型车组；</w:t>
      </w:r>
    </w:p>
    <w:p w14:paraId="45141B42">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（2）从事冷藏保鲜、罐式容器等专用运输的，应当具有与运输货物相适应的专用容器、设备、设施，并固定在专用车辆上；</w:t>
      </w:r>
    </w:p>
    <w:p w14:paraId="2CB2CDFD">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（3）从事集装箱运输的，车辆还应当有固定集装箱的转锁装置。</w:t>
      </w:r>
    </w:p>
    <w:p w14:paraId="3007A93B">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检查方式：现场检查</w:t>
      </w:r>
    </w:p>
    <w:p w14:paraId="7FD33961">
      <w:pPr>
        <w:pStyle w:val="9"/>
        <w:snapToGrid w:val="0"/>
        <w:spacing w:line="620" w:lineRule="exact"/>
        <w:ind w:firstLine="640" w:firstLineChars="200"/>
        <w:jc w:val="both"/>
        <w:textAlignment w:val="baseline"/>
        <w:rPr>
          <w:color w:val="000000"/>
          <w:sz w:val="32"/>
          <w:szCs w:val="32"/>
          <w:lang w:val="en-US"/>
        </w:rPr>
      </w:pPr>
      <w:r>
        <w:rPr>
          <w:rFonts w:hint="eastAsia" w:eastAsia="黑体" w:cs="黑体"/>
          <w:color w:val="000000"/>
          <w:sz w:val="32"/>
          <w:szCs w:val="32"/>
          <w:lang w:val="en-US"/>
        </w:rPr>
        <w:t>三、检查依据</w:t>
      </w:r>
    </w:p>
    <w:p w14:paraId="19EA323D">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（一）《中华人民共和国道路运输条例》（2019年国务院令第709号）</w:t>
      </w:r>
    </w:p>
    <w:p w14:paraId="2C41980D">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第五十八条 道路运输管理机构的工作人员应当严格按照职责权限和程序进行监督检查，不得乱设卡、乱收费、乱罚款。</w:t>
      </w:r>
    </w:p>
    <w:p w14:paraId="7C6B17A9">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道路运输管理机构的工作人员应当重点在道路运输及相关业务经营场所、客货集散地进行监督检查。</w:t>
      </w:r>
    </w:p>
    <w:p w14:paraId="149CC1BB">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道路运输管理机构的工作人员在公路路口进行监督检查时，不得随意拦截正常行驶的道路运 输车辆。</w:t>
      </w:r>
    </w:p>
    <w:p w14:paraId="04E6911F">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（二）《道路货物运输及站场管理规定》（交通运输部令2019年第17号）</w:t>
      </w:r>
    </w:p>
    <w:p w14:paraId="341E03AA">
      <w:pPr>
        <w:pStyle w:val="9"/>
        <w:snapToGrid w:val="0"/>
        <w:spacing w:line="620" w:lineRule="exact"/>
        <w:ind w:firstLine="640" w:firstLineChars="200"/>
        <w:jc w:val="both"/>
        <w:textAlignment w:val="baseline"/>
        <w:rPr>
          <w:rFonts w:ascii="仿宋" w:hAnsi="仿宋" w:eastAsia="仿宋"/>
          <w:color w:val="000000"/>
          <w:sz w:val="32"/>
          <w:szCs w:val="32"/>
          <w:lang w:val="en-US"/>
        </w:rPr>
      </w:pPr>
      <w:r>
        <w:rPr>
          <w:rFonts w:hint="eastAsia" w:ascii="仿宋" w:hAnsi="仿宋" w:eastAsia="仿宋"/>
          <w:color w:val="000000"/>
          <w:sz w:val="32"/>
          <w:szCs w:val="32"/>
          <w:lang w:val="en-US"/>
        </w:rPr>
        <w:t>第四十八条道路运输管理机构应当加强对道路货物运输经营和货运站经营活动的监督检查。道路运输管理机构工作人员应当严格按照职责权限和法定程序进行监督检查。</w:t>
      </w:r>
    </w:p>
    <w:p w14:paraId="7EE68238">
      <w:pPr>
        <w:pStyle w:val="9"/>
        <w:snapToGrid w:val="0"/>
        <w:spacing w:line="620" w:lineRule="exact"/>
        <w:ind w:firstLine="640" w:firstLineChars="200"/>
        <w:jc w:val="both"/>
        <w:textAlignment w:val="baseline"/>
        <w:rPr>
          <w:rFonts w:ascii="仿宋" w:hAnsi="仿宋" w:eastAsia="仿宋"/>
          <w:color w:val="000000"/>
          <w:sz w:val="32"/>
          <w:szCs w:val="32"/>
          <w:lang w:val="en-US"/>
        </w:rPr>
      </w:pPr>
    </w:p>
    <w:sectPr>
      <w:footerReference r:id="rId3" w:type="default"/>
      <w:pgSz w:w="11906" w:h="16838"/>
      <w:pgMar w:top="1588" w:right="1588" w:bottom="1588" w:left="1588" w:header="851" w:footer="992" w:gutter="0"/>
      <w:pgNumType w:fmt="numberInDash" w:start="1"/>
      <w:cols w:space="720" w:num="1"/>
      <w:docGrid w:type="lines" w:linePitch="6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EBFB4">
    <w:pPr>
      <w:pStyle w:val="4"/>
      <w:framePr w:wrap="around" w:vAnchor="text" w:hAnchor="margin" w:xAlign="outside" w:y="1"/>
      <w:rPr>
        <w:rStyle w:val="8"/>
        <w:rFonts w:ascii="宋体" w:hAnsi="宋体" w:eastAsia="宋体"/>
        <w:sz w:val="28"/>
        <w:szCs w:val="28"/>
      </w:rPr>
    </w:pP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- 1 -</w:t>
    </w:r>
    <w:r>
      <w:rPr>
        <w:rStyle w:val="8"/>
        <w:rFonts w:ascii="宋体" w:hAnsi="宋体" w:eastAsia="宋体"/>
        <w:sz w:val="28"/>
        <w:szCs w:val="28"/>
      </w:rPr>
      <w:fldChar w:fldCharType="end"/>
    </w:r>
  </w:p>
  <w:p w14:paraId="5CF035BB">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MTRjMmZhZGNkYzIyODc3NTlmMDZkOGE4MmRjOTcifQ=="/>
  </w:docVars>
  <w:rsids>
    <w:rsidRoot w:val="00745251"/>
    <w:rsid w:val="003E64C1"/>
    <w:rsid w:val="004750E9"/>
    <w:rsid w:val="00745251"/>
    <w:rsid w:val="007C438D"/>
    <w:rsid w:val="00DF0080"/>
    <w:rsid w:val="00EB45E0"/>
    <w:rsid w:val="00F45D6C"/>
    <w:rsid w:val="00FF2B2E"/>
    <w:rsid w:val="01226984"/>
    <w:rsid w:val="047D2E89"/>
    <w:rsid w:val="0CE3333F"/>
    <w:rsid w:val="0E785A7A"/>
    <w:rsid w:val="18F109F3"/>
    <w:rsid w:val="20532727"/>
    <w:rsid w:val="383E1AFC"/>
    <w:rsid w:val="461A6804"/>
    <w:rsid w:val="468F0ACD"/>
    <w:rsid w:val="4C854555"/>
    <w:rsid w:val="4D6C55A5"/>
    <w:rsid w:val="54B50332"/>
    <w:rsid w:val="585C2BA5"/>
    <w:rsid w:val="5BC04FF3"/>
    <w:rsid w:val="5EB218B6"/>
    <w:rsid w:val="6ADA4D56"/>
    <w:rsid w:val="6F703837"/>
    <w:rsid w:val="7A956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2"/>
    <w:basedOn w:val="1"/>
    <w:next w:val="1"/>
    <w:qFormat/>
    <w:uiPriority w:val="9"/>
    <w:pPr>
      <w:spacing w:before="100" w:beforeAutospacing="1" w:after="100" w:afterAutospacing="1"/>
      <w:jc w:val="left"/>
      <w:outlineLvl w:val="1"/>
    </w:pPr>
    <w:rPr>
      <w:rFonts w:hint="eastAsia" w:ascii="宋体" w:hAnsi="宋体"/>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autoRedefine/>
    <w:qFormat/>
    <w:uiPriority w:val="0"/>
  </w:style>
  <w:style w:type="paragraph" w:customStyle="1" w:styleId="9">
    <w:name w:val="Body text|1"/>
    <w:basedOn w:val="1"/>
    <w:qFormat/>
    <w:uiPriority w:val="0"/>
    <w:pPr>
      <w:spacing w:line="319" w:lineRule="auto"/>
      <w:ind w:firstLine="400"/>
      <w:jc w:val="left"/>
    </w:pPr>
    <w:rPr>
      <w:rFonts w:ascii="宋体" w:hAnsi="宋体" w:cs="宋体"/>
      <w:kern w:val="0"/>
      <w:sz w:val="20"/>
      <w:szCs w:val="20"/>
      <w:lang w:val="zh-CN" w:bidi="zh-CN"/>
    </w:rPr>
  </w:style>
  <w:style w:type="paragraph" w:customStyle="1" w:styleId="10">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24</Pages>
  <Words>7231</Words>
  <Characters>7386</Characters>
  <Lines>64</Lines>
  <Paragraphs>18</Paragraphs>
  <TotalTime>46</TotalTime>
  <ScaleCrop>false</ScaleCrop>
  <LinksUpToDate>false</LinksUpToDate>
  <CharactersWithSpaces>7502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2022-02-16T02:28:00Z</dcterms:created>
  <dc:creator>Administrator.PC-20200930LMHJ</dc:creator>
  <cp:lastModifiedBy>詋</cp:lastModifiedBy>
  <dcterms:modified xsi:type="dcterms:W3CDTF">2025-03-28T08:58:36Z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C721DDBB357C482885E73F444CB4BEE7</vt:lpwstr>
  </property>
  <property fmtid="{D5CDD505-2E9C-101B-9397-08002B2CF9AE}" pid="4" name="KSOTemplateDocerSaveRecord">
    <vt:lpwstr>eyJoZGlkIjoiMWVlZjFlZmM2ZTViMmFlMTBjYjBjZjhmOGM5NmZlYmEiLCJ1c2VySWQiOiI0MDg3Njk1MTkifQ==</vt:lpwstr>
  </property>
</Properties>
</file>