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ind w:left="0" w:leftChars="0" w:right="0" w:rightChars="0"/>
        <w:jc w:val="center"/>
        <w:textAlignment w:val="auto"/>
        <w:rPr>
          <w:rFonts w:hint="default" w:ascii="Times New Roman" w:hAnsi="Times New Roman" w:eastAsia="方正小标宋简体" w:cs="Times New Roman"/>
          <w:bCs/>
          <w:color w:val="333333"/>
          <w:kern w:val="0"/>
          <w:sz w:val="44"/>
          <w:szCs w:val="44"/>
        </w:rPr>
      </w:pPr>
    </w:p>
    <w:p>
      <w:pPr>
        <w:keepNext w:val="0"/>
        <w:keepLines w:val="0"/>
        <w:pageBreakBefore w:val="0"/>
        <w:widowControl/>
        <w:shd w:val="clear" w:color="auto" w:fill="FFFFFF"/>
        <w:kinsoku/>
        <w:wordWrap/>
        <w:overflowPunct/>
        <w:topLinePunct w:val="0"/>
        <w:autoSpaceDE/>
        <w:autoSpaceDN/>
        <w:bidi w:val="0"/>
        <w:snapToGrid w:val="0"/>
        <w:spacing w:line="620" w:lineRule="exact"/>
        <w:ind w:left="0" w:leftChars="0" w:right="0" w:rightChars="0"/>
        <w:jc w:val="center"/>
        <w:textAlignment w:val="auto"/>
        <w:rPr>
          <w:rFonts w:hint="default" w:ascii="Times New Roman" w:hAnsi="Times New Roman" w:eastAsia="方正小标宋简体" w:cs="Times New Roman"/>
          <w:bCs/>
          <w:color w:val="333333"/>
          <w:kern w:val="0"/>
          <w:sz w:val="44"/>
          <w:szCs w:val="44"/>
        </w:rPr>
      </w:pPr>
      <w:r>
        <w:rPr>
          <w:rFonts w:hint="default" w:ascii="Times New Roman" w:hAnsi="Times New Roman" w:eastAsia="方正小标宋简体" w:cs="Times New Roman"/>
          <w:bCs/>
          <w:color w:val="333333"/>
          <w:kern w:val="0"/>
          <w:sz w:val="44"/>
          <w:szCs w:val="44"/>
          <w:lang w:eastAsia="zh-CN"/>
        </w:rPr>
        <w:t>淄博市</w:t>
      </w:r>
      <w:r>
        <w:rPr>
          <w:rFonts w:hint="default" w:ascii="Times New Roman" w:hAnsi="Times New Roman" w:eastAsia="方正小标宋简体" w:cs="Times New Roman"/>
          <w:bCs/>
          <w:color w:val="333333"/>
          <w:kern w:val="0"/>
          <w:sz w:val="44"/>
          <w:szCs w:val="44"/>
        </w:rPr>
        <w:t>淄川区</w:t>
      </w:r>
      <w:r>
        <w:rPr>
          <w:rFonts w:hint="default" w:ascii="Times New Roman" w:hAnsi="Times New Roman" w:eastAsia="方正小标宋简体" w:cs="Times New Roman"/>
          <w:bCs/>
          <w:color w:val="333333"/>
          <w:kern w:val="0"/>
          <w:sz w:val="44"/>
          <w:szCs w:val="44"/>
        </w:rPr>
        <w:t>交通运输局</w:t>
      </w:r>
    </w:p>
    <w:p>
      <w:pPr>
        <w:keepNext w:val="0"/>
        <w:keepLines w:val="0"/>
        <w:pageBreakBefore w:val="0"/>
        <w:widowControl/>
        <w:shd w:val="clear" w:color="auto" w:fill="FFFFFF"/>
        <w:kinsoku/>
        <w:wordWrap/>
        <w:overflowPunct/>
        <w:topLinePunct w:val="0"/>
        <w:autoSpaceDE/>
        <w:autoSpaceDN/>
        <w:bidi w:val="0"/>
        <w:snapToGrid w:val="0"/>
        <w:spacing w:line="620" w:lineRule="exact"/>
        <w:ind w:left="0" w:leftChars="0" w:right="0" w:rightChars="0"/>
        <w:jc w:val="center"/>
        <w:textAlignment w:val="auto"/>
        <w:rPr>
          <w:rFonts w:hint="default" w:ascii="Times New Roman" w:hAnsi="Times New Roman" w:eastAsia="方正小标宋简体" w:cs="Times New Roman"/>
          <w:bCs/>
          <w:color w:val="333333"/>
          <w:kern w:val="0"/>
          <w:sz w:val="44"/>
          <w:szCs w:val="44"/>
        </w:rPr>
      </w:pPr>
      <w:r>
        <w:rPr>
          <w:rFonts w:hint="default" w:ascii="Times New Roman" w:hAnsi="Times New Roman" w:eastAsia="方正小标宋简体" w:cs="Times New Roman"/>
          <w:bCs/>
          <w:color w:val="333333"/>
          <w:kern w:val="0"/>
          <w:sz w:val="44"/>
          <w:szCs w:val="44"/>
        </w:rPr>
        <w:t>2021年度政府信息公开工作年度报告</w:t>
      </w:r>
    </w:p>
    <w:p>
      <w:pPr>
        <w:keepNext w:val="0"/>
        <w:keepLines w:val="0"/>
        <w:pageBreakBefore w:val="0"/>
        <w:widowControl/>
        <w:shd w:val="clear" w:color="auto" w:fill="FFFFFF"/>
        <w:kinsoku/>
        <w:wordWrap/>
        <w:overflowPunct/>
        <w:topLinePunct w:val="0"/>
        <w:autoSpaceDE/>
        <w:autoSpaceDN/>
        <w:bidi w:val="0"/>
        <w:adjustRightInd w:val="0"/>
        <w:ind w:left="0" w:leftChars="0" w:right="0" w:rightChars="0"/>
        <w:textAlignment w:val="auto"/>
        <w:rPr>
          <w:rFonts w:hint="default" w:ascii="Times New Roman" w:hAnsi="Times New Roman" w:eastAsia="黑体" w:cs="Times New Roman"/>
          <w:bCs/>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spacing w:line="600" w:lineRule="exact"/>
        <w:ind w:left="0" w:leftChars="0" w:right="0" w:rightChars="0" w:firstLine="640" w:firstLineChars="200"/>
        <w:textAlignment w:val="auto"/>
        <w:rPr>
          <w:rFonts w:hint="default" w:ascii="Times New Roman" w:hAnsi="Times New Roman" w:eastAsia="仿宋_GB2312" w:cs="Times New Roman"/>
          <w:bCs/>
          <w:color w:val="333333"/>
          <w:kern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lang w:eastAsia="zh-CN"/>
        </w:rPr>
        <w:t>淄博市淄川区交通运输局按照《中华人民共和国政府信息公开条例》规定和《国务院办公厅政府信息与政务公开办公室关于印发《中华人民共和国政府信息公开工作年度报告格式》的通知（国办公开办函〔2021〕30号）要求，编制本机关</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2021年政府信息公开工作年度报告。本报告所列数据统计期限为2021年1月1日至2021年12月31日。</w:t>
      </w:r>
    </w:p>
    <w:p>
      <w:pPr>
        <w:keepNext w:val="0"/>
        <w:keepLines w:val="0"/>
        <w:pageBreakBefore w:val="0"/>
        <w:widowControl/>
        <w:shd w:val="clear" w:color="auto" w:fill="FFFFFF"/>
        <w:kinsoku/>
        <w:wordWrap/>
        <w:overflowPunct/>
        <w:topLinePunct w:val="0"/>
        <w:autoSpaceDE/>
        <w:autoSpaceDN/>
        <w:bidi w:val="0"/>
        <w:adjustRightInd w:val="0"/>
        <w:snapToGrid/>
        <w:spacing w:line="600" w:lineRule="exact"/>
        <w:ind w:left="0" w:leftChars="0" w:right="0" w:rightChars="0" w:firstLine="640" w:firstLineChars="200"/>
        <w:textAlignment w:val="auto"/>
        <w:rPr>
          <w:rFonts w:hint="default" w:ascii="Times New Roman" w:hAnsi="Times New Roman" w:eastAsia="黑体" w:cs="Times New Roman"/>
          <w:color w:val="333333"/>
          <w:kern w:val="0"/>
          <w:sz w:val="32"/>
          <w:szCs w:val="32"/>
        </w:rPr>
      </w:pPr>
      <w:r>
        <w:rPr>
          <w:rFonts w:hint="default" w:ascii="Times New Roman" w:hAnsi="Times New Roman" w:eastAsia="黑体" w:cs="Times New Roman"/>
          <w:bCs/>
          <w:color w:val="333333"/>
          <w:kern w:val="0"/>
          <w:sz w:val="32"/>
          <w:szCs w:val="32"/>
        </w:rPr>
        <w:t>一、总体情况</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rPr>
        <w:t>（一）主动公开</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2021年</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淄川区交通运输局</w:t>
      </w:r>
      <w:r>
        <w:rPr>
          <w:rFonts w:hint="default" w:ascii="Times New Roman" w:hAnsi="Times New Roman" w:eastAsia="仿宋_GB2312" w:cs="Times New Roman"/>
          <w:kern w:val="0"/>
          <w:sz w:val="32"/>
          <w:szCs w:val="32"/>
          <w:lang w:eastAsia="zh-CN"/>
        </w:rPr>
        <w:t>通过淄川区人民政府网站</w:t>
      </w:r>
      <w:r>
        <w:rPr>
          <w:rFonts w:hint="default" w:ascii="Times New Roman" w:hAnsi="Times New Roman" w:eastAsia="仿宋_GB2312" w:cs="Times New Roman"/>
          <w:kern w:val="0"/>
          <w:sz w:val="32"/>
          <w:szCs w:val="32"/>
        </w:rPr>
        <w:t>主动公开政府信息135条，政策文件35条，行政执法公示78条（行政处罚事项68条），建议提案办理14条（人大代表建议9条、政协委员提案5条），其他方面信息8条。</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rPr>
        <w:t>（二）依申请公开</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2021年</w:t>
      </w:r>
      <w:r>
        <w:rPr>
          <w:rFonts w:hint="default" w:ascii="Times New Roman" w:hAnsi="Times New Roman" w:eastAsia="仿宋_GB2312" w:cs="Times New Roman"/>
          <w:kern w:val="0"/>
          <w:sz w:val="32"/>
          <w:szCs w:val="32"/>
        </w:rPr>
        <w:t>收到</w:t>
      </w:r>
      <w:r>
        <w:rPr>
          <w:rFonts w:hint="default" w:ascii="Times New Roman" w:hAnsi="Times New Roman" w:eastAsia="仿宋_GB2312" w:cs="Times New Roman"/>
          <w:kern w:val="0"/>
          <w:sz w:val="32"/>
          <w:szCs w:val="32"/>
          <w:lang w:eastAsia="zh-CN"/>
        </w:rPr>
        <w:t>政府信息公开申请</w:t>
      </w:r>
      <w:r>
        <w:rPr>
          <w:rFonts w:hint="default" w:ascii="Times New Roman" w:hAnsi="Times New Roman" w:eastAsia="仿宋_GB2312" w:cs="Times New Roman"/>
          <w:kern w:val="0"/>
          <w:sz w:val="32"/>
          <w:szCs w:val="32"/>
          <w:lang w:val="en-US" w:eastAsia="zh-CN"/>
        </w:rPr>
        <w:t>2件，均按法定程序在规定时间内予以答复。</w:t>
      </w:r>
      <w:r>
        <w:rPr>
          <w:rFonts w:hint="default" w:ascii="Times New Roman" w:hAnsi="Times New Roman" w:eastAsia="仿宋_GB2312" w:cs="Times New Roman"/>
          <w:kern w:val="0"/>
          <w:sz w:val="32"/>
          <w:szCs w:val="32"/>
        </w:rPr>
        <w:t>没有因政府信息公开</w:t>
      </w:r>
      <w:r>
        <w:rPr>
          <w:rFonts w:hint="default" w:ascii="Times New Roman" w:hAnsi="Times New Roman" w:eastAsia="仿宋_GB2312" w:cs="Times New Roman"/>
          <w:kern w:val="0"/>
          <w:sz w:val="32"/>
          <w:szCs w:val="32"/>
          <w:lang w:eastAsia="zh-CN"/>
        </w:rPr>
        <w:t>引发的申请</w:t>
      </w:r>
      <w:r>
        <w:rPr>
          <w:rFonts w:hint="default" w:ascii="Times New Roman" w:hAnsi="Times New Roman" w:eastAsia="仿宋_GB2312" w:cs="Times New Roman"/>
          <w:kern w:val="0"/>
          <w:sz w:val="32"/>
          <w:szCs w:val="32"/>
        </w:rPr>
        <w:t>行政复议</w:t>
      </w:r>
      <w:r>
        <w:rPr>
          <w:rFonts w:hint="default" w:ascii="Times New Roman" w:hAnsi="Times New Roman" w:eastAsia="仿宋_GB2312" w:cs="Times New Roman"/>
          <w:kern w:val="0"/>
          <w:sz w:val="32"/>
          <w:szCs w:val="32"/>
          <w:lang w:eastAsia="zh-CN"/>
        </w:rPr>
        <w:t>或</w:t>
      </w:r>
      <w:r>
        <w:rPr>
          <w:rFonts w:hint="default" w:ascii="Times New Roman" w:hAnsi="Times New Roman" w:eastAsia="仿宋_GB2312" w:cs="Times New Roman"/>
          <w:kern w:val="0"/>
          <w:sz w:val="32"/>
          <w:szCs w:val="32"/>
        </w:rPr>
        <w:t>提起行政诉讼。</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rPr>
        <w:t>（三）政府信息管理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按照《淄川区人民政府办公室关于印发淄川区2021年政务公开工作要点的通知》要求，结合我局工作实际，制定《2021年政务公开工作实施方案》，保证各项工作落到实处。2021年我局没有制发规章，没有制发规范性文件。</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rPr>
        <w:t>（四）政府信息公开平台建设</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依托区政务公开平台按照“以公开为原则，不公开为例外”的要求，除法定保密事项外，主动、及时、准确公开交通政务信息。同时加强微信公众号的建设管理工作，为群众提供信息查询、违章处理等各项便民服务。</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rPr>
        <w:t>（五）监督保障</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建立健全政务公开工作领导小组，成立由局长任组长、分管副局长任副组长、相关科室负责人为成员的政务公开工作领导小组，坚持主要领导亲自抓，分管领导具体抓，职能科室抓落实的领导体制，明确专人负责，压实主体责任。同时积极参加区里开展的各项政务公开工作培训，提高业务水平和工作能力，确保政务公开工作再上新台阶。 </w:t>
      </w:r>
    </w:p>
    <w:p>
      <w:pPr>
        <w:keepNext w:val="0"/>
        <w:keepLines w:val="0"/>
        <w:pageBreakBefore w:val="0"/>
        <w:widowControl/>
        <w:shd w:val="clear" w:color="auto" w:fill="FFFFFF"/>
        <w:kinsoku/>
        <w:wordWrap/>
        <w:overflowPunct/>
        <w:topLinePunct w:val="0"/>
        <w:autoSpaceDE/>
        <w:autoSpaceDN/>
        <w:bidi w:val="0"/>
        <w:spacing w:line="620" w:lineRule="exact"/>
        <w:ind w:left="0" w:leftChars="0" w:right="0" w:rightChars="0" w:firstLine="640" w:firstLineChars="200"/>
        <w:textAlignment w:val="auto"/>
        <w:rPr>
          <w:rFonts w:hint="default" w:ascii="Times New Roman" w:hAnsi="Times New Roman" w:eastAsia="仿宋_GB2312" w:cs="Times New Roman"/>
          <w:kern w:val="0"/>
          <w:sz w:val="34"/>
          <w:szCs w:val="34"/>
        </w:rPr>
      </w:pPr>
      <w:r>
        <w:rPr>
          <w:rFonts w:hint="default" w:ascii="Times New Roman" w:hAnsi="Times New Roman" w:eastAsia="黑体" w:cs="Times New Roman"/>
          <w:bCs/>
          <w:color w:val="333333"/>
          <w:kern w:val="0"/>
          <w:sz w:val="32"/>
          <w:szCs w:val="32"/>
        </w:rPr>
        <w:t>二、主动公开政府信息情况</w:t>
      </w:r>
    </w:p>
    <w:tbl>
      <w:tblPr>
        <w:tblStyle w:val="5"/>
        <w:tblW w:w="5000" w:type="pct"/>
        <w:jc w:val="center"/>
        <w:tblLayout w:type="autofit"/>
        <w:tblCellMar>
          <w:top w:w="0" w:type="dxa"/>
          <w:left w:w="0" w:type="dxa"/>
          <w:bottom w:w="0" w:type="dxa"/>
          <w:right w:w="0" w:type="dxa"/>
        </w:tblCellMar>
      </w:tblPr>
      <w:tblGrid>
        <w:gridCol w:w="1946"/>
        <w:gridCol w:w="1946"/>
        <w:gridCol w:w="1946"/>
        <w:gridCol w:w="1953"/>
      </w:tblGrid>
      <w:tr>
        <w:tblPrEx>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第二十条第（一）项</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信息内容</w:t>
            </w:r>
          </w:p>
        </w:tc>
        <w:tc>
          <w:tcPr>
            <w:tcW w:w="1249"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本年</w:t>
            </w:r>
            <w:r>
              <w:rPr>
                <w:rFonts w:hint="default" w:ascii="Times New Roman" w:hAnsi="Times New Roman" w:eastAsia="宋体" w:cs="Times New Roman"/>
                <w:kern w:val="0"/>
                <w:sz w:val="24"/>
                <w:szCs w:val="24"/>
              </w:rPr>
              <w:t>制发件数</w:t>
            </w:r>
          </w:p>
        </w:tc>
        <w:tc>
          <w:tcPr>
            <w:tcW w:w="1249"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本年废止件数</w:t>
            </w:r>
          </w:p>
        </w:tc>
        <w:tc>
          <w:tcPr>
            <w:tcW w:w="1251"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现行有效件</w:t>
            </w:r>
            <w:r>
              <w:rPr>
                <w:rFonts w:hint="default" w:ascii="Times New Roman" w:hAnsi="Times New Roman" w:eastAsia="宋体" w:cs="Times New Roman"/>
                <w:kern w:val="0"/>
                <w:sz w:val="24"/>
                <w:szCs w:val="24"/>
              </w:rPr>
              <w:t>数</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规章</w:t>
            </w:r>
          </w:p>
        </w:tc>
        <w:tc>
          <w:tcPr>
            <w:tcW w:w="1249"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　　0</w:t>
            </w:r>
          </w:p>
        </w:tc>
        <w:tc>
          <w:tcPr>
            <w:tcW w:w="1249"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 　0</w:t>
            </w:r>
          </w:p>
        </w:tc>
        <w:tc>
          <w:tcPr>
            <w:tcW w:w="1251"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0</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行政规范性文件</w:t>
            </w:r>
          </w:p>
        </w:tc>
        <w:tc>
          <w:tcPr>
            <w:tcW w:w="1249"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　　0</w:t>
            </w:r>
          </w:p>
        </w:tc>
        <w:tc>
          <w:tcPr>
            <w:tcW w:w="1249"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 　0</w:t>
            </w:r>
          </w:p>
        </w:tc>
        <w:tc>
          <w:tcPr>
            <w:tcW w:w="1251"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0</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第二十条第（五）项</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信息内容</w:t>
            </w:r>
          </w:p>
        </w:tc>
        <w:tc>
          <w:tcPr>
            <w:tcW w:w="3750" w:type="pct"/>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本年处理决定数量</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行政许可</w:t>
            </w:r>
          </w:p>
        </w:tc>
        <w:tc>
          <w:tcPr>
            <w:tcW w:w="3750" w:type="pct"/>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0</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第二十条第（六）项</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信息内容</w:t>
            </w:r>
          </w:p>
        </w:tc>
        <w:tc>
          <w:tcPr>
            <w:tcW w:w="3750" w:type="pct"/>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本年处理决定数量</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行政处罚</w:t>
            </w:r>
          </w:p>
        </w:tc>
        <w:tc>
          <w:tcPr>
            <w:tcW w:w="3750" w:type="pct"/>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1106</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行政强制</w:t>
            </w:r>
          </w:p>
        </w:tc>
        <w:tc>
          <w:tcPr>
            <w:tcW w:w="3750" w:type="pct"/>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　0</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第二十条第（八）项</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信息内容</w:t>
            </w:r>
          </w:p>
        </w:tc>
        <w:tc>
          <w:tcPr>
            <w:tcW w:w="3750" w:type="pct"/>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本年收费金额（单位：万元）</w:t>
            </w:r>
          </w:p>
        </w:tc>
      </w:tr>
      <w:tr>
        <w:tblPrEx>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行政事业性收费</w:t>
            </w:r>
          </w:p>
        </w:tc>
        <w:tc>
          <w:tcPr>
            <w:tcW w:w="3750" w:type="pct"/>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r>
    </w:tbl>
    <w:p>
      <w:pPr>
        <w:keepNext w:val="0"/>
        <w:keepLines w:val="0"/>
        <w:pageBreakBefore w:val="0"/>
        <w:widowControl/>
        <w:shd w:val="clear" w:color="auto" w:fill="FFFFFF"/>
        <w:kinsoku/>
        <w:wordWrap/>
        <w:overflowPunct/>
        <w:topLinePunct w:val="0"/>
        <w:autoSpaceDE/>
        <w:autoSpaceDN/>
        <w:bidi w:val="0"/>
        <w:adjustRightInd w:val="0"/>
        <w:ind w:left="0" w:leftChars="0" w:right="0" w:rightChars="0" w:firstLine="640" w:firstLineChars="200"/>
        <w:textAlignment w:val="auto"/>
        <w:rPr>
          <w:rFonts w:hint="default" w:ascii="Times New Roman" w:hAnsi="Times New Roman" w:eastAsia="黑体" w:cs="Times New Roman"/>
          <w:color w:val="333333"/>
          <w:kern w:val="0"/>
          <w:sz w:val="32"/>
          <w:szCs w:val="32"/>
        </w:rPr>
      </w:pPr>
      <w:r>
        <w:rPr>
          <w:rFonts w:hint="default" w:ascii="Times New Roman" w:hAnsi="Times New Roman" w:eastAsia="黑体" w:cs="Times New Roman"/>
          <w:bCs/>
          <w:color w:val="333333"/>
          <w:kern w:val="0"/>
          <w:sz w:val="32"/>
          <w:szCs w:val="32"/>
        </w:rPr>
        <w:t>三、收到和处理政府信息公开申请情况</w:t>
      </w:r>
    </w:p>
    <w:tbl>
      <w:tblPr>
        <w:tblStyle w:val="5"/>
        <w:tblW w:w="4999" w:type="pct"/>
        <w:jc w:val="center"/>
        <w:tblLayout w:type="autofit"/>
        <w:tblCellMar>
          <w:top w:w="0" w:type="dxa"/>
          <w:left w:w="0" w:type="dxa"/>
          <w:bottom w:w="0" w:type="dxa"/>
          <w:right w:w="0" w:type="dxa"/>
        </w:tblCellMar>
      </w:tblPr>
      <w:tblGrid>
        <w:gridCol w:w="618"/>
        <w:gridCol w:w="762"/>
        <w:gridCol w:w="2579"/>
        <w:gridCol w:w="552"/>
        <w:gridCol w:w="552"/>
        <w:gridCol w:w="552"/>
        <w:gridCol w:w="552"/>
        <w:gridCol w:w="552"/>
        <w:gridCol w:w="561"/>
        <w:gridCol w:w="560"/>
      </w:tblGrid>
      <w:tr>
        <w:tblPrEx>
          <w:tblCellMar>
            <w:top w:w="0" w:type="dxa"/>
            <w:left w:w="0" w:type="dxa"/>
            <w:bottom w:w="0" w:type="dxa"/>
            <w:right w:w="0" w:type="dxa"/>
          </w:tblCellMar>
        </w:tblPrEx>
        <w:trPr>
          <w:jc w:val="center"/>
        </w:trPr>
        <w:tc>
          <w:tcPr>
            <w:tcW w:w="2525" w:type="pct"/>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（本列数据的勾稽关系为：第一项加第二项之和，等于第三项加第四项之和）</w:t>
            </w:r>
          </w:p>
        </w:tc>
        <w:tc>
          <w:tcPr>
            <w:tcW w:w="2474" w:type="pct"/>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申请人情况</w:t>
            </w:r>
          </w:p>
        </w:tc>
      </w:tr>
      <w:tr>
        <w:tblPrEx>
          <w:tblCellMar>
            <w:top w:w="0" w:type="dxa"/>
            <w:left w:w="0" w:type="dxa"/>
            <w:bottom w:w="0" w:type="dxa"/>
            <w:right w:w="0" w:type="dxa"/>
          </w:tblCellMar>
        </w:tblPrEx>
        <w:trPr>
          <w:jc w:val="center"/>
        </w:trPr>
        <w:tc>
          <w:tcPr>
            <w:tcW w:w="2525" w:type="pct"/>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352" w:type="pct"/>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自然人</w:t>
            </w:r>
          </w:p>
        </w:tc>
        <w:tc>
          <w:tcPr>
            <w:tcW w:w="1766" w:type="pct"/>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法人或其他组织</w:t>
            </w:r>
          </w:p>
        </w:tc>
        <w:tc>
          <w:tcPr>
            <w:tcW w:w="354" w:type="pct"/>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总计</w:t>
            </w:r>
          </w:p>
        </w:tc>
      </w:tr>
      <w:tr>
        <w:tblPrEx>
          <w:tblCellMar>
            <w:top w:w="0" w:type="dxa"/>
            <w:left w:w="0" w:type="dxa"/>
            <w:bottom w:w="0" w:type="dxa"/>
            <w:right w:w="0" w:type="dxa"/>
          </w:tblCellMar>
        </w:tblPrEx>
        <w:trPr>
          <w:jc w:val="center"/>
        </w:trPr>
        <w:tc>
          <w:tcPr>
            <w:tcW w:w="2525" w:type="pct"/>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352" w:type="pct"/>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商业</w:t>
            </w:r>
          </w:p>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企业</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科研</w:t>
            </w:r>
          </w:p>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机构</w:t>
            </w:r>
          </w:p>
        </w:tc>
        <w:tc>
          <w:tcPr>
            <w:tcW w:w="352"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社会公益组织</w:t>
            </w:r>
          </w:p>
        </w:tc>
        <w:tc>
          <w:tcPr>
            <w:tcW w:w="352"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法律服务机构</w:t>
            </w:r>
          </w:p>
        </w:tc>
        <w:tc>
          <w:tcPr>
            <w:tcW w:w="355"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其他</w:t>
            </w:r>
          </w:p>
        </w:tc>
        <w:tc>
          <w:tcPr>
            <w:tcW w:w="354" w:type="pct"/>
            <w:vMerge w:val="continue"/>
            <w:tcBorders>
              <w:top w:val="single"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25" w:type="pct"/>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一、本年新收政府信息公开申请数量</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r>
      <w:tr>
        <w:tblPrEx>
          <w:tblCellMar>
            <w:top w:w="0" w:type="dxa"/>
            <w:left w:w="0" w:type="dxa"/>
            <w:bottom w:w="0" w:type="dxa"/>
            <w:right w:w="0" w:type="dxa"/>
          </w:tblCellMar>
        </w:tblPrEx>
        <w:trPr>
          <w:jc w:val="center"/>
        </w:trPr>
        <w:tc>
          <w:tcPr>
            <w:tcW w:w="2525" w:type="pct"/>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二、上年结转政府信息公开申请数量</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三、本年度办理结果</w:t>
            </w:r>
          </w:p>
        </w:tc>
        <w:tc>
          <w:tcPr>
            <w:tcW w:w="2131" w:type="pct"/>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（一）予以公开</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2131" w:type="pct"/>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（二）部分公开（区分处理的，只计这一情形，不计其他情形）</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（三）不予公开</w:t>
            </w: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1.属于国家秘密</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2.其他法律行政法规禁止公开</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3.危及“三安全一稳定”</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4.保护第三方合法权益</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5.属于三类内部事务信息</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6.属于四类过程性信息</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7.属于行政执法案卷</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8.属于行政查询事项</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（四）无法提供</w:t>
            </w: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1.本机关不掌握相关政府信息</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2.没有现成信息需要另行制作</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3.补正后申请内容仍不明确</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（五）不予处理</w:t>
            </w: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1.信访举报投诉类申请</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2.重复申请</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3.要求提供公开出版物</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4.无正当理由大量反复申请</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trHeight w:val="779" w:hRule="atLeast"/>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5.要求行政机关确认或重新出具已获取信息</w:t>
            </w:r>
          </w:p>
        </w:tc>
        <w:tc>
          <w:tcPr>
            <w:tcW w:w="352" w:type="pc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（六）其他处理</w:t>
            </w:r>
          </w:p>
        </w:tc>
        <w:tc>
          <w:tcPr>
            <w:tcW w:w="164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1.申请人无正当理由逾期不补正、行政机关不再处理其政府信息公开申请</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inset"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2.申请人逾期未按收费通知要求缴纳费用、行政机关不再处理其政府信息公开申请</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486" w:type="pct"/>
            <w:vMerge w:val="continue"/>
            <w:tcBorders>
              <w:top w:val="inset"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164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3.其他</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r>
        <w:tblPrEx>
          <w:tblCellMar>
            <w:top w:w="0" w:type="dxa"/>
            <w:left w:w="0" w:type="dxa"/>
            <w:bottom w:w="0" w:type="dxa"/>
            <w:right w:w="0" w:type="dxa"/>
          </w:tblCellMar>
        </w:tblPrEx>
        <w:trPr>
          <w:jc w:val="center"/>
        </w:trPr>
        <w:tc>
          <w:tcPr>
            <w:tcW w:w="394" w:type="pct"/>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p>
        </w:tc>
        <w:tc>
          <w:tcPr>
            <w:tcW w:w="2131" w:type="pct"/>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（七）总计</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r>
      <w:tr>
        <w:tblPrEx>
          <w:tblCellMar>
            <w:top w:w="0" w:type="dxa"/>
            <w:left w:w="0" w:type="dxa"/>
            <w:bottom w:w="0" w:type="dxa"/>
            <w:right w:w="0" w:type="dxa"/>
          </w:tblCellMar>
        </w:tblPrEx>
        <w:trPr>
          <w:jc w:val="center"/>
        </w:trPr>
        <w:tc>
          <w:tcPr>
            <w:tcW w:w="2525" w:type="pct"/>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四、结转下年度继续办理</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2"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5"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c>
          <w:tcPr>
            <w:tcW w:w="354" w:type="pc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w:t>
            </w:r>
          </w:p>
        </w:tc>
      </w:tr>
    </w:tbl>
    <w:p>
      <w:pPr>
        <w:keepNext w:val="0"/>
        <w:keepLines w:val="0"/>
        <w:pageBreakBefore w:val="0"/>
        <w:widowControl/>
        <w:shd w:val="clear" w:color="auto" w:fill="FFFFFF"/>
        <w:kinsoku/>
        <w:wordWrap/>
        <w:overflowPunct/>
        <w:topLinePunct w:val="0"/>
        <w:autoSpaceDE/>
        <w:autoSpaceDN/>
        <w:bidi w:val="0"/>
        <w:adjustRightInd w:val="0"/>
        <w:ind w:left="0" w:leftChars="0" w:right="0" w:rightChars="0" w:firstLine="640" w:firstLineChars="200"/>
        <w:textAlignment w:val="auto"/>
        <w:rPr>
          <w:rFonts w:hint="default" w:ascii="Times New Roman" w:hAnsi="Times New Roman" w:eastAsia="黑体" w:cs="Times New Roman"/>
          <w:color w:val="333333"/>
          <w:kern w:val="0"/>
          <w:sz w:val="32"/>
          <w:szCs w:val="32"/>
        </w:rPr>
      </w:pPr>
      <w:r>
        <w:rPr>
          <w:rFonts w:hint="default" w:ascii="Times New Roman" w:hAnsi="Times New Roman" w:eastAsia="黑体" w:cs="Times New Roman"/>
          <w:bCs/>
          <w:color w:val="333333"/>
          <w:kern w:val="0"/>
          <w:sz w:val="32"/>
          <w:szCs w:val="32"/>
        </w:rPr>
        <w:t>四、</w:t>
      </w:r>
      <w:r>
        <w:rPr>
          <w:rFonts w:hint="eastAsia" w:ascii="Times New Roman" w:hAnsi="Times New Roman" w:eastAsia="黑体" w:cs="Times New Roman"/>
          <w:bCs/>
          <w:color w:val="333333"/>
          <w:kern w:val="0"/>
          <w:sz w:val="32"/>
          <w:szCs w:val="32"/>
          <w:lang w:eastAsia="zh-CN"/>
        </w:rPr>
        <w:t>因</w:t>
      </w:r>
      <w:r>
        <w:rPr>
          <w:rFonts w:hint="default" w:ascii="Times New Roman" w:hAnsi="Times New Roman" w:eastAsia="黑体" w:cs="Times New Roman"/>
          <w:bCs/>
          <w:color w:val="333333"/>
          <w:kern w:val="0"/>
          <w:sz w:val="32"/>
          <w:szCs w:val="32"/>
        </w:rPr>
        <w:t>政府信息公开</w:t>
      </w:r>
      <w:r>
        <w:rPr>
          <w:rFonts w:hint="eastAsia" w:ascii="Times New Roman" w:hAnsi="Times New Roman" w:eastAsia="黑体" w:cs="Times New Roman"/>
          <w:bCs/>
          <w:color w:val="333333"/>
          <w:kern w:val="0"/>
          <w:sz w:val="32"/>
          <w:szCs w:val="32"/>
          <w:lang w:eastAsia="zh-CN"/>
        </w:rPr>
        <w:t>工作被申请</w:t>
      </w:r>
      <w:r>
        <w:rPr>
          <w:rFonts w:hint="default" w:ascii="Times New Roman" w:hAnsi="Times New Roman" w:eastAsia="黑体" w:cs="Times New Roman"/>
          <w:bCs/>
          <w:color w:val="333333"/>
          <w:kern w:val="0"/>
          <w:sz w:val="32"/>
          <w:szCs w:val="32"/>
        </w:rPr>
        <w:t>行政复议、</w:t>
      </w:r>
      <w:r>
        <w:rPr>
          <w:rFonts w:hint="eastAsia" w:ascii="Times New Roman" w:hAnsi="Times New Roman" w:eastAsia="黑体" w:cs="Times New Roman"/>
          <w:bCs/>
          <w:color w:val="333333"/>
          <w:kern w:val="0"/>
          <w:sz w:val="32"/>
          <w:szCs w:val="32"/>
          <w:lang w:eastAsia="zh-CN"/>
        </w:rPr>
        <w:t>提起</w:t>
      </w:r>
      <w:r>
        <w:rPr>
          <w:rFonts w:hint="default" w:ascii="Times New Roman" w:hAnsi="Times New Roman" w:eastAsia="黑体" w:cs="Times New Roman"/>
          <w:bCs/>
          <w:color w:val="333333"/>
          <w:kern w:val="0"/>
          <w:sz w:val="32"/>
          <w:szCs w:val="32"/>
        </w:rPr>
        <w:t>行政诉讼情况</w:t>
      </w:r>
    </w:p>
    <w:tbl>
      <w:tblPr>
        <w:tblStyle w:val="5"/>
        <w:tblW w:w="4999" w:type="pct"/>
        <w:jc w:val="center"/>
        <w:tblLayout w:type="autofit"/>
        <w:tblCellMar>
          <w:top w:w="0" w:type="dxa"/>
          <w:left w:w="0" w:type="dxa"/>
          <w:bottom w:w="0" w:type="dxa"/>
          <w:right w:w="0" w:type="dxa"/>
        </w:tblCellMar>
      </w:tblPr>
      <w:tblGrid>
        <w:gridCol w:w="523"/>
        <w:gridCol w:w="523"/>
        <w:gridCol w:w="524"/>
        <w:gridCol w:w="524"/>
        <w:gridCol w:w="530"/>
        <w:gridCol w:w="524"/>
        <w:gridCol w:w="524"/>
        <w:gridCol w:w="526"/>
        <w:gridCol w:w="526"/>
        <w:gridCol w:w="529"/>
        <w:gridCol w:w="526"/>
        <w:gridCol w:w="526"/>
        <w:gridCol w:w="526"/>
        <w:gridCol w:w="526"/>
        <w:gridCol w:w="534"/>
      </w:tblGrid>
      <w:tr>
        <w:tblPrEx>
          <w:tblCellMar>
            <w:top w:w="0" w:type="dxa"/>
            <w:left w:w="0" w:type="dxa"/>
            <w:bottom w:w="0" w:type="dxa"/>
            <w:right w:w="0" w:type="dxa"/>
          </w:tblCellMar>
        </w:tblPrEx>
        <w:trPr>
          <w:jc w:val="center"/>
        </w:trPr>
        <w:tc>
          <w:tcPr>
            <w:tcW w:w="1664" w:type="pct"/>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行政复议</w:t>
            </w:r>
          </w:p>
        </w:tc>
        <w:tc>
          <w:tcPr>
            <w:tcW w:w="3335" w:type="pct"/>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行政诉讼</w:t>
            </w:r>
          </w:p>
        </w:tc>
      </w:tr>
      <w:tr>
        <w:tblPrEx>
          <w:tblCellMar>
            <w:top w:w="0" w:type="dxa"/>
            <w:left w:w="0" w:type="dxa"/>
            <w:bottom w:w="0" w:type="dxa"/>
            <w:right w:w="0" w:type="dxa"/>
          </w:tblCellMar>
        </w:tblPrEx>
        <w:trPr>
          <w:jc w:val="center"/>
        </w:trPr>
        <w:tc>
          <w:tcPr>
            <w:tcW w:w="332"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结果维持</w:t>
            </w:r>
          </w:p>
        </w:tc>
        <w:tc>
          <w:tcPr>
            <w:tcW w:w="332"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w:t>
            </w:r>
            <w:r>
              <w:rPr>
                <w:rFonts w:hint="default" w:ascii="Times New Roman" w:hAnsi="Times New Roman" w:eastAsia="宋体" w:cs="Times New Roman"/>
                <w:kern w:val="0"/>
                <w:sz w:val="22"/>
                <w:szCs w:val="32"/>
              </w:rPr>
              <w:br w:type="textWrapping"/>
            </w:r>
            <w:r>
              <w:rPr>
                <w:rFonts w:hint="default" w:ascii="Times New Roman" w:hAnsi="Times New Roman" w:eastAsia="宋体" w:cs="Times New Roman"/>
                <w:kern w:val="0"/>
                <w:sz w:val="22"/>
                <w:szCs w:val="32"/>
              </w:rPr>
              <w:t>纠正</w:t>
            </w:r>
          </w:p>
        </w:tc>
        <w:tc>
          <w:tcPr>
            <w:tcW w:w="332"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其他</w:t>
            </w:r>
            <w:r>
              <w:rPr>
                <w:rFonts w:hint="default" w:ascii="Times New Roman" w:hAnsi="Times New Roman" w:eastAsia="宋体" w:cs="Times New Roman"/>
                <w:kern w:val="0"/>
                <w:sz w:val="22"/>
                <w:szCs w:val="32"/>
              </w:rPr>
              <w:br w:type="textWrapping"/>
            </w:r>
            <w:r>
              <w:rPr>
                <w:rFonts w:hint="default" w:ascii="Times New Roman" w:hAnsi="Times New Roman" w:eastAsia="宋体" w:cs="Times New Roman"/>
                <w:kern w:val="0"/>
                <w:sz w:val="22"/>
                <w:szCs w:val="32"/>
              </w:rPr>
              <w:t>结果</w:t>
            </w:r>
          </w:p>
        </w:tc>
        <w:tc>
          <w:tcPr>
            <w:tcW w:w="332"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尚未</w:t>
            </w:r>
            <w:r>
              <w:rPr>
                <w:rFonts w:hint="default" w:ascii="Times New Roman" w:hAnsi="Times New Roman" w:eastAsia="宋体" w:cs="Times New Roman"/>
                <w:kern w:val="0"/>
                <w:sz w:val="22"/>
                <w:szCs w:val="32"/>
              </w:rPr>
              <w:br w:type="textWrapping"/>
            </w:r>
            <w:r>
              <w:rPr>
                <w:rFonts w:hint="default" w:ascii="Times New Roman" w:hAnsi="Times New Roman" w:eastAsia="宋体" w:cs="Times New Roman"/>
                <w:kern w:val="0"/>
                <w:sz w:val="22"/>
                <w:szCs w:val="32"/>
              </w:rPr>
              <w:t>审结</w:t>
            </w:r>
          </w:p>
        </w:tc>
        <w:tc>
          <w:tcPr>
            <w:tcW w:w="333"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总计</w:t>
            </w:r>
          </w:p>
        </w:tc>
        <w:tc>
          <w:tcPr>
            <w:tcW w:w="1665" w:type="pct"/>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未经复议直接起诉</w:t>
            </w:r>
          </w:p>
        </w:tc>
        <w:tc>
          <w:tcPr>
            <w:tcW w:w="1670" w:type="pct"/>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复议后起诉</w:t>
            </w:r>
          </w:p>
        </w:tc>
      </w:tr>
      <w:tr>
        <w:tblPrEx>
          <w:tblCellMar>
            <w:top w:w="0" w:type="dxa"/>
            <w:left w:w="0" w:type="dxa"/>
            <w:bottom w:w="0" w:type="dxa"/>
            <w:right w:w="0" w:type="dxa"/>
          </w:tblCellMar>
        </w:tblPrEx>
        <w:trPr>
          <w:jc w:val="center"/>
        </w:trPr>
        <w:tc>
          <w:tcPr>
            <w:tcW w:w="332"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2"/>
                <w:szCs w:val="32"/>
              </w:rPr>
            </w:pPr>
          </w:p>
        </w:tc>
        <w:tc>
          <w:tcPr>
            <w:tcW w:w="332"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2"/>
                <w:szCs w:val="32"/>
              </w:rPr>
            </w:pPr>
          </w:p>
        </w:tc>
        <w:tc>
          <w:tcPr>
            <w:tcW w:w="332" w:type="pct"/>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2"/>
                <w:szCs w:val="32"/>
              </w:rPr>
            </w:pPr>
          </w:p>
        </w:tc>
        <w:tc>
          <w:tcPr>
            <w:tcW w:w="332" w:type="pct"/>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2"/>
                <w:szCs w:val="32"/>
              </w:rPr>
            </w:pPr>
          </w:p>
        </w:tc>
        <w:tc>
          <w:tcPr>
            <w:tcW w:w="333" w:type="pct"/>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2"/>
                <w:szCs w:val="32"/>
              </w:rPr>
            </w:pP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w:t>
            </w:r>
            <w:r>
              <w:rPr>
                <w:rFonts w:hint="default" w:ascii="Times New Roman" w:hAnsi="Times New Roman" w:eastAsia="宋体" w:cs="Times New Roman"/>
                <w:kern w:val="0"/>
                <w:sz w:val="22"/>
                <w:szCs w:val="32"/>
              </w:rPr>
              <w:br w:type="textWrapping"/>
            </w:r>
            <w:r>
              <w:rPr>
                <w:rFonts w:hint="default" w:ascii="Times New Roman" w:hAnsi="Times New Roman" w:eastAsia="宋体" w:cs="Times New Roman"/>
                <w:kern w:val="0"/>
                <w:sz w:val="22"/>
                <w:szCs w:val="32"/>
              </w:rPr>
              <w:t>维持</w:t>
            </w: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w:t>
            </w:r>
            <w:r>
              <w:rPr>
                <w:rFonts w:hint="default" w:ascii="Times New Roman" w:hAnsi="Times New Roman" w:eastAsia="宋体" w:cs="Times New Roman"/>
                <w:kern w:val="0"/>
                <w:sz w:val="22"/>
                <w:szCs w:val="32"/>
              </w:rPr>
              <w:br w:type="textWrapping"/>
            </w:r>
            <w:r>
              <w:rPr>
                <w:rFonts w:hint="default" w:ascii="Times New Roman" w:hAnsi="Times New Roman" w:eastAsia="宋体" w:cs="Times New Roman"/>
                <w:kern w:val="0"/>
                <w:sz w:val="22"/>
                <w:szCs w:val="32"/>
              </w:rPr>
              <w:t>纠正</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其他</w:t>
            </w:r>
            <w:r>
              <w:rPr>
                <w:rFonts w:hint="default" w:ascii="Times New Roman" w:hAnsi="Times New Roman" w:eastAsia="宋体" w:cs="Times New Roman"/>
                <w:kern w:val="0"/>
                <w:sz w:val="22"/>
                <w:szCs w:val="32"/>
              </w:rPr>
              <w:br w:type="textWrapping"/>
            </w:r>
            <w:r>
              <w:rPr>
                <w:rFonts w:hint="default" w:ascii="Times New Roman" w:hAnsi="Times New Roman" w:eastAsia="宋体" w:cs="Times New Roman"/>
                <w:kern w:val="0"/>
                <w:sz w:val="22"/>
                <w:szCs w:val="32"/>
              </w:rPr>
              <w:t>结果</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尚未</w:t>
            </w:r>
            <w:r>
              <w:rPr>
                <w:rFonts w:hint="default" w:ascii="Times New Roman" w:hAnsi="Times New Roman" w:eastAsia="宋体" w:cs="Times New Roman"/>
                <w:kern w:val="0"/>
                <w:sz w:val="22"/>
                <w:szCs w:val="32"/>
              </w:rPr>
              <w:br w:type="textWrapping"/>
            </w:r>
            <w:r>
              <w:rPr>
                <w:rFonts w:hint="default" w:ascii="Times New Roman" w:hAnsi="Times New Roman" w:eastAsia="宋体" w:cs="Times New Roman"/>
                <w:kern w:val="0"/>
                <w:sz w:val="22"/>
                <w:szCs w:val="32"/>
              </w:rPr>
              <w:t>审结</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color w:val="000000"/>
                <w:kern w:val="0"/>
                <w:sz w:val="22"/>
                <w:szCs w:val="32"/>
              </w:rPr>
              <w:t>总计</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w:t>
            </w:r>
            <w:r>
              <w:rPr>
                <w:rFonts w:hint="default" w:ascii="Times New Roman" w:hAnsi="Times New Roman" w:eastAsia="宋体" w:cs="Times New Roman"/>
                <w:kern w:val="0"/>
                <w:sz w:val="22"/>
                <w:szCs w:val="32"/>
              </w:rPr>
              <w:br w:type="textWrapping"/>
            </w:r>
            <w:r>
              <w:rPr>
                <w:rFonts w:hint="default" w:ascii="Times New Roman" w:hAnsi="Times New Roman" w:eastAsia="宋体" w:cs="Times New Roman"/>
                <w:kern w:val="0"/>
                <w:sz w:val="22"/>
                <w:szCs w:val="32"/>
              </w:rPr>
              <w:t>维持</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结果</w:t>
            </w:r>
            <w:r>
              <w:rPr>
                <w:rFonts w:hint="default" w:ascii="Times New Roman" w:hAnsi="Times New Roman" w:eastAsia="宋体" w:cs="Times New Roman"/>
                <w:kern w:val="0"/>
                <w:sz w:val="22"/>
                <w:szCs w:val="32"/>
              </w:rPr>
              <w:br w:type="textWrapping"/>
            </w:r>
            <w:r>
              <w:rPr>
                <w:rFonts w:hint="default" w:ascii="Times New Roman" w:hAnsi="Times New Roman" w:eastAsia="宋体" w:cs="Times New Roman"/>
                <w:kern w:val="0"/>
                <w:sz w:val="22"/>
                <w:szCs w:val="32"/>
              </w:rPr>
              <w:t>纠正</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color w:val="000000"/>
                <w:kern w:val="0"/>
                <w:sz w:val="22"/>
                <w:szCs w:val="32"/>
              </w:rPr>
              <w:t>其他</w:t>
            </w:r>
            <w:r>
              <w:rPr>
                <w:rFonts w:hint="default" w:ascii="Times New Roman" w:hAnsi="Times New Roman" w:eastAsia="宋体" w:cs="Times New Roman"/>
                <w:color w:val="000000"/>
                <w:kern w:val="0"/>
                <w:sz w:val="22"/>
                <w:szCs w:val="32"/>
              </w:rPr>
              <w:br w:type="textWrapping"/>
            </w:r>
            <w:r>
              <w:rPr>
                <w:rFonts w:hint="default" w:ascii="Times New Roman" w:hAnsi="Times New Roman" w:eastAsia="宋体" w:cs="Times New Roman"/>
                <w:color w:val="000000"/>
                <w:kern w:val="0"/>
                <w:sz w:val="22"/>
                <w:szCs w:val="32"/>
              </w:rPr>
              <w:t>结果</w:t>
            </w:r>
          </w:p>
        </w:tc>
        <w:tc>
          <w:tcPr>
            <w:tcW w:w="33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尚未</w:t>
            </w:r>
            <w:r>
              <w:rPr>
                <w:rFonts w:hint="default" w:ascii="Times New Roman" w:hAnsi="Times New Roman" w:eastAsia="宋体" w:cs="Times New Roman"/>
                <w:kern w:val="0"/>
                <w:sz w:val="22"/>
                <w:szCs w:val="32"/>
              </w:rPr>
              <w:br w:type="textWrapping"/>
            </w:r>
            <w:r>
              <w:rPr>
                <w:rFonts w:hint="default" w:ascii="Times New Roman" w:hAnsi="Times New Roman" w:eastAsia="宋体" w:cs="Times New Roman"/>
                <w:kern w:val="0"/>
                <w:sz w:val="22"/>
                <w:szCs w:val="32"/>
              </w:rPr>
              <w:t>审结</w:t>
            </w:r>
          </w:p>
        </w:tc>
        <w:tc>
          <w:tcPr>
            <w:tcW w:w="33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color w:val="000000"/>
                <w:kern w:val="0"/>
                <w:sz w:val="22"/>
                <w:szCs w:val="32"/>
              </w:rPr>
              <w:t>总计</w:t>
            </w:r>
          </w:p>
        </w:tc>
      </w:tr>
      <w:tr>
        <w:tblPrEx>
          <w:tblCellMar>
            <w:top w:w="0" w:type="dxa"/>
            <w:left w:w="0" w:type="dxa"/>
            <w:bottom w:w="0" w:type="dxa"/>
            <w:right w:w="0" w:type="dxa"/>
          </w:tblCellMar>
        </w:tblPrEx>
        <w:trPr>
          <w:trHeight w:val="672" w:hRule="atLeast"/>
          <w:jc w:val="center"/>
        </w:trPr>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 0</w:t>
            </w: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 0</w:t>
            </w: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 0</w:t>
            </w: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 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 0</w:t>
            </w: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 0</w:t>
            </w:r>
          </w:p>
        </w:tc>
        <w:tc>
          <w:tcPr>
            <w:tcW w:w="33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 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 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 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0 </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0 </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 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 0</w:t>
            </w:r>
          </w:p>
        </w:tc>
        <w:tc>
          <w:tcPr>
            <w:tcW w:w="3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center"/>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0 </w:t>
            </w:r>
          </w:p>
        </w:tc>
        <w:tc>
          <w:tcPr>
            <w:tcW w:w="33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ind w:left="0" w:leftChars="0" w:right="0" w:rightChars="0"/>
              <w:jc w:val="left"/>
              <w:textAlignment w:val="auto"/>
              <w:rPr>
                <w:rFonts w:hint="default" w:ascii="Times New Roman" w:hAnsi="Times New Roman" w:eastAsia="宋体" w:cs="Times New Roman"/>
                <w:kern w:val="0"/>
                <w:sz w:val="22"/>
                <w:szCs w:val="32"/>
              </w:rPr>
            </w:pPr>
            <w:r>
              <w:rPr>
                <w:rFonts w:hint="default" w:ascii="Times New Roman" w:hAnsi="Times New Roman" w:eastAsia="宋体" w:cs="Times New Roman"/>
                <w:kern w:val="0"/>
                <w:sz w:val="22"/>
                <w:szCs w:val="32"/>
              </w:rPr>
              <w:t>0</w:t>
            </w:r>
          </w:p>
        </w:tc>
      </w:tr>
    </w:tbl>
    <w:p>
      <w:pPr>
        <w:keepNext w:val="0"/>
        <w:keepLines w:val="0"/>
        <w:pageBreakBefore w:val="0"/>
        <w:widowControl/>
        <w:shd w:val="clear" w:color="auto" w:fill="FFFFFF"/>
        <w:kinsoku/>
        <w:wordWrap/>
        <w:overflowPunct/>
        <w:topLinePunct w:val="0"/>
        <w:autoSpaceDE/>
        <w:autoSpaceDN/>
        <w:bidi w:val="0"/>
        <w:adjustRightInd w:val="0"/>
        <w:snapToGrid/>
        <w:spacing w:line="600" w:lineRule="exact"/>
        <w:ind w:left="0" w:leftChars="0" w:right="0" w:rightChars="0" w:firstLine="640" w:firstLineChars="200"/>
        <w:textAlignment w:val="auto"/>
        <w:rPr>
          <w:rFonts w:hint="default" w:ascii="Times New Roman" w:hAnsi="Times New Roman" w:eastAsia="黑体" w:cs="Times New Roman"/>
          <w:bCs/>
          <w:color w:val="333333"/>
          <w:kern w:val="0"/>
          <w:sz w:val="32"/>
          <w:szCs w:val="32"/>
        </w:rPr>
      </w:pPr>
      <w:r>
        <w:rPr>
          <w:rFonts w:hint="default" w:ascii="Times New Roman" w:hAnsi="Times New Roman" w:eastAsia="黑体" w:cs="Times New Roman"/>
          <w:bCs/>
          <w:color w:val="333333"/>
          <w:kern w:val="0"/>
          <w:sz w:val="32"/>
          <w:szCs w:val="32"/>
        </w:rPr>
        <w:t>五、存在的主要问题及改进情况</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2021年我局政务公开工作主要存在以下问题：</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一是对政务公开的监管机制需要进一步完善；二是部分单位、科室对政务公开工作平台的操作有待进一步提高。</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针对上述问题，我局主要</w:t>
      </w:r>
      <w:r>
        <w:rPr>
          <w:rFonts w:hint="eastAsia" w:ascii="Times New Roman" w:hAnsi="Times New Roman" w:eastAsia="仿宋_GB2312" w:cs="Times New Roman"/>
          <w:kern w:val="0"/>
          <w:sz w:val="32"/>
          <w:szCs w:val="32"/>
          <w:lang w:eastAsia="zh-CN"/>
        </w:rPr>
        <w:t>作出以下改进</w:t>
      </w:r>
      <w:r>
        <w:rPr>
          <w:rFonts w:hint="default" w:ascii="Times New Roman" w:hAnsi="Times New Roman" w:eastAsia="仿宋_GB2312" w:cs="Times New Roman"/>
          <w:kern w:val="0"/>
          <w:sz w:val="32"/>
          <w:szCs w:val="32"/>
        </w:rPr>
        <w:t>：</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是加强政务公开工作日常检查，强化监管机制，从严把关，严禁不真实、不准确、不安全的信息上传发布，未经审核的信息不得上传发布，严格防止涉密信息泄露。积极督促局属各单位、各科室及时查缺补漏，进一步扩展政务公开内容，着力推进决策、执行、管理、服务、结果“五公开”，不断提升政务公开质量与实效。</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二是加强政务公开工作的学习。定期组织业务培训，学习相关条例和服务指南，完善政务公开平台操作流程，进一步优化政务公开系统操作，提高政务公开业务水平。</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kern w:val="0"/>
          <w:sz w:val="32"/>
          <w:szCs w:val="32"/>
          <w:lang w:eastAsia="zh-CN"/>
        </w:rPr>
        <w:t>六、其他需要报告的事项</w:t>
      </w:r>
      <w:r>
        <w:rPr>
          <w:rFonts w:hint="default" w:ascii="Times New Roman" w:hAnsi="Times New Roman" w:eastAsia="仿宋_GB2312" w:cs="Times New Roman"/>
          <w:kern w:val="0"/>
          <w:sz w:val="34"/>
          <w:szCs w:val="34"/>
          <w:lang w:eastAsia="zh-CN"/>
        </w:rPr>
        <w:br w:type="textWrapping"/>
      </w:r>
      <w:r>
        <w:rPr>
          <w:rFonts w:hint="default" w:ascii="Times New Roman" w:hAnsi="Times New Roman" w:eastAsia="仿宋_GB2312" w:cs="Times New Roman"/>
          <w:kern w:val="0"/>
          <w:sz w:val="34"/>
          <w:szCs w:val="34"/>
          <w:lang w:val="en-US" w:eastAsia="zh-CN"/>
        </w:rPr>
        <w:t xml:space="preserve">    </w:t>
      </w: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w:t>
      </w:r>
      <w:r>
        <w:rPr>
          <w:rFonts w:hint="default" w:ascii="Times New Roman" w:hAnsi="Times New Roman" w:eastAsia="仿宋_GB2312" w:cs="Times New Roman"/>
          <w:i w:val="0"/>
          <w:caps w:val="0"/>
          <w:color w:val="000000"/>
          <w:spacing w:val="0"/>
          <w:sz w:val="32"/>
          <w:szCs w:val="32"/>
        </w:rPr>
        <w:t>依据《国务院办公厅关于印发&lt;政府信息公开信息处理费管理办法&gt;的通知》（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2、落实上级年度政务公开工作要点情况。</w:t>
      </w:r>
      <w:r>
        <w:rPr>
          <w:rFonts w:hint="default" w:ascii="Times New Roman" w:hAnsi="Times New Roman" w:eastAsia="仿宋_GB2312" w:cs="Times New Roman"/>
          <w:color w:val="000000" w:themeColor="text1"/>
          <w:sz w:val="32"/>
          <w:szCs w:val="32"/>
          <w14:textFill>
            <w14:solidFill>
              <w14:schemeClr w14:val="tx1"/>
            </w14:solidFill>
          </w14:textFill>
        </w:rPr>
        <w:t>认真落实国家、省、市、区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政务公开工作要点</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i w:val="0"/>
          <w:caps w:val="0"/>
          <w:color w:val="000000"/>
          <w:spacing w:val="0"/>
          <w:sz w:val="32"/>
          <w:szCs w:val="32"/>
        </w:rPr>
        <w:t>在拓宽公开渠道、提升公开标准上下功夫，政府信息公开、政策解读、办事服务公开标准化水平明显提升</w:t>
      </w:r>
      <w:r>
        <w:rPr>
          <w:rFonts w:hint="default"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rPr>
        <w:t>紧紧围绕经济社会发展和社会公众关切，及时梳理公开事项，细化公开内容，进一步提高基层政务公开的针对性、实效性。</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3、人大代表建议和政协提案办理结果公开情况。2021年淄川区交通运输局一共办理建议提案1</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件，分别为人大建议</w:t>
      </w:r>
      <w:r>
        <w:rPr>
          <w:rFonts w:hint="eastAsia" w:ascii="Times New Roman" w:hAnsi="Times New Roman" w:eastAsia="仿宋_GB2312" w:cs="Times New Roman"/>
          <w:kern w:val="0"/>
          <w:sz w:val="32"/>
          <w:szCs w:val="32"/>
          <w:lang w:val="en-US" w:eastAsia="zh-CN"/>
        </w:rPr>
        <w:t>9</w:t>
      </w:r>
      <w:bookmarkStart w:id="0" w:name="_GoBack"/>
      <w:bookmarkEnd w:id="0"/>
      <w:r>
        <w:rPr>
          <w:rFonts w:hint="default" w:ascii="Times New Roman" w:hAnsi="Times New Roman" w:eastAsia="仿宋_GB2312" w:cs="Times New Roman"/>
          <w:kern w:val="0"/>
          <w:sz w:val="32"/>
          <w:szCs w:val="32"/>
          <w:lang w:val="en-US" w:eastAsia="zh-CN"/>
        </w:rPr>
        <w:t>件，政协提案5件。人大代表建议和政协委员提案答复文件均按法定程序面复代表和委员，面复率100%，办复率100%，代表委员满意达100%。2021年未有上级建议提案办理任务。</w:t>
      </w:r>
    </w:p>
    <w:p>
      <w:pPr>
        <w:keepNext w:val="0"/>
        <w:keepLines w:val="0"/>
        <w:pageBreakBefore w:val="0"/>
        <w:widowControl/>
        <w:shd w:val="clear" w:color="auto" w:fill="FFFFFF"/>
        <w:kinsoku/>
        <w:wordWrap/>
        <w:overflowPunct/>
        <w:topLinePunct w:val="0"/>
        <w:autoSpaceDE/>
        <w:autoSpaceDN/>
        <w:bidi w:val="0"/>
        <w:snapToGrid/>
        <w:spacing w:line="600" w:lineRule="exact"/>
        <w:ind w:left="0" w:leftChars="0" w:right="0" w:rightChars="0" w:firstLine="680" w:firstLineChars="200"/>
        <w:textAlignment w:val="auto"/>
        <w:rPr>
          <w:rFonts w:hint="default" w:ascii="Times New Roman" w:hAnsi="Times New Roman" w:eastAsia="仿宋_GB2312" w:cs="Times New Roman"/>
          <w:kern w:val="0"/>
          <w:sz w:val="34"/>
          <w:szCs w:val="34"/>
        </w:rPr>
      </w:pPr>
    </w:p>
    <w:p>
      <w:pPr>
        <w:keepNext w:val="0"/>
        <w:keepLines w:val="0"/>
        <w:pageBreakBefore w:val="0"/>
        <w:kinsoku/>
        <w:wordWrap/>
        <w:overflowPunct/>
        <w:topLinePunct w:val="0"/>
        <w:autoSpaceDE/>
        <w:autoSpaceDN/>
        <w:bidi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napToGrid/>
        <w:spacing w:line="600" w:lineRule="exact"/>
        <w:ind w:left="0" w:leftChars="0" w:right="0" w:rightChars="0"/>
        <w:textAlignment w:val="auto"/>
        <w:rPr>
          <w:rFonts w:hint="default" w:ascii="Times New Roman" w:hAnsi="Times New Roman" w:eastAsia="仿宋_GB2312" w:cs="Times New Roman"/>
          <w:sz w:val="32"/>
          <w:szCs w:val="32"/>
        </w:rPr>
      </w:pPr>
    </w:p>
    <w:p>
      <w:pPr>
        <w:keepNext w:val="0"/>
        <w:keepLines w:val="0"/>
        <w:pageBreakBefore w:val="0"/>
        <w:widowControl/>
        <w:shd w:val="clear" w:color="auto" w:fill="FFFFFF"/>
        <w:kinsoku/>
        <w:wordWrap/>
        <w:overflowPunct/>
        <w:topLinePunct w:val="0"/>
        <w:autoSpaceDE/>
        <w:autoSpaceDN/>
        <w:bidi w:val="0"/>
        <w:snapToGrid/>
        <w:spacing w:line="600" w:lineRule="exact"/>
        <w:ind w:right="0" w:righ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淄川区交通运输局</w:t>
      </w:r>
    </w:p>
    <w:p>
      <w:pPr>
        <w:keepNext w:val="0"/>
        <w:keepLines w:val="0"/>
        <w:pageBreakBefore w:val="0"/>
        <w:widowControl/>
        <w:shd w:val="clear" w:color="auto" w:fill="FFFFFF"/>
        <w:kinsoku/>
        <w:wordWrap/>
        <w:overflowPunct/>
        <w:topLinePunct w:val="0"/>
        <w:autoSpaceDE/>
        <w:autoSpaceDN/>
        <w:bidi w:val="0"/>
        <w:snapToGrid/>
        <w:spacing w:line="600" w:lineRule="exact"/>
        <w:ind w:right="0" w:righ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kern w:val="0"/>
          <w:sz w:val="32"/>
          <w:szCs w:val="32"/>
        </w:rPr>
        <w:t>2022年1月14日</w:t>
      </w:r>
    </w:p>
    <w:sectPr>
      <w:pgSz w:w="11906" w:h="16838"/>
      <w:pgMar w:top="1440" w:right="2086" w:bottom="1440" w:left="214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35"/>
    <w:rsid w:val="000073DA"/>
    <w:rsid w:val="00091835"/>
    <w:rsid w:val="000C56FA"/>
    <w:rsid w:val="000D74F8"/>
    <w:rsid w:val="00123A8C"/>
    <w:rsid w:val="001C4347"/>
    <w:rsid w:val="001E648B"/>
    <w:rsid w:val="00232373"/>
    <w:rsid w:val="00256228"/>
    <w:rsid w:val="002677E6"/>
    <w:rsid w:val="003A09FA"/>
    <w:rsid w:val="003E381C"/>
    <w:rsid w:val="00435D8F"/>
    <w:rsid w:val="0045033D"/>
    <w:rsid w:val="00455681"/>
    <w:rsid w:val="00472350"/>
    <w:rsid w:val="00506595"/>
    <w:rsid w:val="0058765C"/>
    <w:rsid w:val="005E7C1F"/>
    <w:rsid w:val="006557C5"/>
    <w:rsid w:val="00672C59"/>
    <w:rsid w:val="00762FA2"/>
    <w:rsid w:val="0083293E"/>
    <w:rsid w:val="00862F38"/>
    <w:rsid w:val="00884109"/>
    <w:rsid w:val="0092647B"/>
    <w:rsid w:val="00941EE8"/>
    <w:rsid w:val="0097060D"/>
    <w:rsid w:val="009F0C3E"/>
    <w:rsid w:val="00BB45AA"/>
    <w:rsid w:val="00BC0D31"/>
    <w:rsid w:val="00BE4A6C"/>
    <w:rsid w:val="00CA428C"/>
    <w:rsid w:val="00D40A95"/>
    <w:rsid w:val="00D526D8"/>
    <w:rsid w:val="00D87191"/>
    <w:rsid w:val="00E22125"/>
    <w:rsid w:val="00E619C2"/>
    <w:rsid w:val="00E96213"/>
    <w:rsid w:val="00EE6C3B"/>
    <w:rsid w:val="00F15702"/>
    <w:rsid w:val="197709E7"/>
    <w:rsid w:val="21FF4534"/>
    <w:rsid w:val="22A26C9A"/>
    <w:rsid w:val="291F59AC"/>
    <w:rsid w:val="33F261FF"/>
    <w:rsid w:val="41D33A59"/>
    <w:rsid w:val="4CAC3160"/>
    <w:rsid w:val="58FF1B59"/>
    <w:rsid w:val="61610F4A"/>
    <w:rsid w:val="6F926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351</Words>
  <Characters>2007</Characters>
  <Lines>16</Lines>
  <Paragraphs>4</Paragraphs>
  <TotalTime>8</TotalTime>
  <ScaleCrop>false</ScaleCrop>
  <LinksUpToDate>false</LinksUpToDate>
  <CharactersWithSpaces>2354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2022-01-06T02:20:00Z</dcterms:created>
  <dc:creator>微软用户</dc:creator>
  <cp:lastModifiedBy>银杏果</cp:lastModifiedBy>
  <dcterms:modified xsi:type="dcterms:W3CDTF">2022-01-27T06:58:58Z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