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default" w:ascii="Times New Roman" w:hAnsi="Times New Roman" w:eastAsia="方正小标宋简体" w:cs="Times New Roman"/>
          <w:bCs/>
          <w:color w:val="333333"/>
          <w:kern w:val="0"/>
          <w:sz w:val="44"/>
          <w:szCs w:val="44"/>
        </w:rPr>
      </w:pPr>
    </w:p>
    <w:p>
      <w:pPr>
        <w:widowControl/>
        <w:shd w:val="clear" w:color="auto" w:fill="FFFFFF"/>
        <w:snapToGrid w:val="0"/>
        <w:spacing w:line="620" w:lineRule="exact"/>
        <w:jc w:val="center"/>
        <w:rPr>
          <w:rFonts w:hint="default" w:ascii="Times New Roman" w:hAnsi="Times New Roman" w:eastAsia="方正小标宋简体" w:cs="Times New Roman"/>
          <w:bCs/>
          <w:color w:val="333333"/>
          <w:kern w:val="0"/>
          <w:sz w:val="44"/>
          <w:szCs w:val="44"/>
        </w:rPr>
      </w:pPr>
      <w:r>
        <w:rPr>
          <w:rFonts w:hint="default" w:ascii="Times New Roman" w:hAnsi="Times New Roman" w:eastAsia="方正小标宋简体" w:cs="Times New Roman"/>
          <w:bCs/>
          <w:color w:val="333333"/>
          <w:kern w:val="0"/>
          <w:sz w:val="44"/>
          <w:szCs w:val="44"/>
        </w:rPr>
        <w:t>淄博市淄川区交通运输局</w:t>
      </w:r>
    </w:p>
    <w:p>
      <w:pPr>
        <w:widowControl/>
        <w:shd w:val="clear" w:color="auto" w:fill="FFFFFF"/>
        <w:snapToGrid w:val="0"/>
        <w:spacing w:line="620" w:lineRule="exact"/>
        <w:jc w:val="center"/>
        <w:rPr>
          <w:rFonts w:hint="default" w:ascii="Times New Roman" w:hAnsi="Times New Roman" w:eastAsia="方正小标宋简体" w:cs="Times New Roman"/>
          <w:bCs/>
          <w:color w:val="333333"/>
          <w:kern w:val="0"/>
          <w:sz w:val="44"/>
          <w:szCs w:val="44"/>
        </w:rPr>
      </w:pPr>
      <w:r>
        <w:rPr>
          <w:rFonts w:hint="default" w:ascii="Times New Roman" w:hAnsi="Times New Roman" w:eastAsia="方正小标宋简体" w:cs="Times New Roman"/>
          <w:bCs/>
          <w:color w:val="333333"/>
          <w:kern w:val="0"/>
          <w:sz w:val="44"/>
          <w:szCs w:val="44"/>
        </w:rPr>
        <w:t>2022年政府信息公开工作年度报告</w:t>
      </w:r>
    </w:p>
    <w:p>
      <w:pPr>
        <w:widowControl/>
        <w:shd w:val="clear" w:color="auto" w:fill="FFFFFF"/>
        <w:adjustRightInd w:val="0"/>
        <w:rPr>
          <w:rFonts w:hint="default" w:ascii="Times New Roman" w:hAnsi="Times New Roman" w:eastAsia="黑体" w:cs="Times New Roman"/>
          <w:bCs/>
          <w:color w:val="333333"/>
          <w:kern w:val="0"/>
          <w:sz w:val="32"/>
          <w:szCs w:val="32"/>
        </w:rPr>
      </w:pP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本年度报告根据《中华人民共和国政府信息公开条例》和《国务院办公厅政府信息与政务公开办公室关于印发&lt;中华人民共和国政府信息公开工作年度报告格式&gt;的通知》（国办公开办函〔2021〕30号）相关要求编制。</w:t>
      </w:r>
      <w:r>
        <w:rPr>
          <w:rFonts w:ascii="Times New Roman" w:hAnsi="Times New Roman" w:eastAsia="仿宋_GB2312" w:cs="Times New Roman"/>
          <w:color w:val="000000" w:themeColor="text1"/>
          <w:sz w:val="32"/>
          <w:szCs w:val="32"/>
          <w14:textFill>
            <w14:solidFill>
              <w14:schemeClr w14:val="tx1"/>
            </w14:solidFill>
          </w14:textFill>
        </w:rPr>
        <w:t>本报告由总体情况、主动公开政府信息情况、收到和处理政府信息公开申请情况、因政府信息公开工作被申请行政复议和提起行政诉讼情况、存在的主要问题及改进情况、其他需要报告的事项组成。本报告所列数据统计期限为2022年1月1日至2022年12月31日。</w:t>
      </w:r>
    </w:p>
    <w:p>
      <w:pPr>
        <w:pStyle w:val="5"/>
        <w:widowControl/>
        <w:spacing w:before="0" w:beforeAutospacing="0" w:after="0" w:afterAutospacing="0" w:line="560" w:lineRule="exact"/>
        <w:ind w:firstLine="640"/>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bookmarkStart w:id="0" w:name="_GoBack"/>
      <w:bookmarkEnd w:id="0"/>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如对报告内容有疑问，请与淄博市淄川区交通局联系（</w:t>
      </w:r>
      <w:r>
        <w:rPr>
          <w:rFonts w:hint="default" w:ascii="Times New Roman" w:hAnsi="Times New Roman" w:eastAsia="仿宋_GB2312" w:cs="Times New Roman"/>
          <w:i w:val="0"/>
          <w:caps w:val="0"/>
          <w:color w:val="000000"/>
          <w:spacing w:val="0"/>
          <w:sz w:val="32"/>
          <w:szCs w:val="32"/>
          <w:shd w:val="clear" w:fill="FFFFFF"/>
        </w:rPr>
        <w:t>地址：山东省淄博市淄川区张博路七里社区段</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邮编：255100</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电话：0533-5180288</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邮箱：zcqjtj@zb.shandong.cn</w:t>
      </w:r>
      <w:r>
        <w:rPr>
          <w:rFonts w:hint="default" w:ascii="Times New Roman" w:hAnsi="Times New Roman" w:eastAsia="仿宋_GB2312" w:cs="Times New Roman"/>
          <w:i w:val="0"/>
          <w:caps w:val="0"/>
          <w:color w:val="000000"/>
          <w:spacing w:val="0"/>
          <w:sz w:val="32"/>
          <w:szCs w:val="32"/>
          <w:shd w:val="clear" w:fill="FFFFFF"/>
          <w:lang w:eastAsia="zh-CN"/>
        </w:rPr>
        <w:t>）。</w:t>
      </w:r>
    </w:p>
    <w:p>
      <w:pPr>
        <w:widowControl/>
        <w:numPr>
          <w:ilvl w:val="0"/>
          <w:numId w:val="1"/>
        </w:numPr>
        <w:shd w:val="clear" w:color="auto" w:fill="FFFFFF"/>
        <w:adjustRightInd w:val="0"/>
        <w:spacing w:line="600" w:lineRule="exact"/>
        <w:ind w:firstLine="640" w:firstLineChars="200"/>
        <w:rPr>
          <w:rFonts w:hint="default" w:ascii="Times New Roman" w:hAnsi="Times New Roman" w:eastAsia="黑体" w:cs="Times New Roman"/>
          <w:bCs/>
          <w:color w:val="333333"/>
          <w:kern w:val="0"/>
          <w:sz w:val="32"/>
          <w:szCs w:val="32"/>
        </w:rPr>
      </w:pPr>
      <w:r>
        <w:rPr>
          <w:rFonts w:hint="default" w:ascii="Times New Roman" w:hAnsi="Times New Roman" w:eastAsia="黑体" w:cs="Times New Roman"/>
          <w:bCs/>
          <w:color w:val="333333"/>
          <w:kern w:val="0"/>
          <w:sz w:val="32"/>
          <w:szCs w:val="32"/>
        </w:rPr>
        <w:t>总体情况</w:t>
      </w:r>
    </w:p>
    <w:p>
      <w:pPr>
        <w:widowControl/>
        <w:numPr>
          <w:ilvl w:val="0"/>
          <w:numId w:val="0"/>
        </w:numPr>
        <w:shd w:val="clear" w:color="auto" w:fill="FFFFFF"/>
        <w:adjustRightInd w:val="0"/>
        <w:spacing w:line="600" w:lineRule="exact"/>
        <w:ind w:firstLine="640" w:firstLineChars="200"/>
        <w:rPr>
          <w:rFonts w:hint="default" w:ascii="Times New Roman" w:hAnsi="Times New Roman" w:eastAsia="黑体" w:cs="Times New Roman"/>
          <w:bCs/>
          <w:color w:val="333333"/>
          <w:kern w:val="0"/>
          <w:sz w:val="32"/>
          <w:szCs w:val="32"/>
        </w:rPr>
      </w:pPr>
      <w:r>
        <w:rPr>
          <w:rFonts w:hint="default" w:ascii="Times New Roman" w:hAnsi="Times New Roman" w:eastAsia="仿宋_GB2312" w:cs="Times New Roman"/>
          <w:sz w:val="32"/>
          <w:szCs w:val="32"/>
          <w:lang w:val="en-US" w:eastAsia="zh-CN"/>
        </w:rPr>
        <w:t>2022年区交通运输局</w:t>
      </w:r>
      <w:r>
        <w:rPr>
          <w:rFonts w:hint="default" w:ascii="Times New Roman" w:hAnsi="Times New Roman" w:eastAsia="仿宋_GB2312" w:cs="Times New Roman"/>
          <w:sz w:val="32"/>
          <w:szCs w:val="32"/>
        </w:rPr>
        <w:t>结合工作实际，深入推进决策公开、执行公开、管理公开、服务公开、结果公开和重点领域信息公开，</w:t>
      </w:r>
      <w:r>
        <w:rPr>
          <w:rFonts w:hint="default" w:ascii="Times New Roman" w:hAnsi="Times New Roman" w:eastAsia="仿宋_GB2312" w:cs="Times New Roman"/>
          <w:sz w:val="32"/>
          <w:szCs w:val="32"/>
          <w:lang w:eastAsia="zh-CN"/>
        </w:rPr>
        <w:t>全</w:t>
      </w:r>
      <w:r>
        <w:rPr>
          <w:rFonts w:hint="default" w:ascii="Times New Roman" w:hAnsi="Times New Roman" w:eastAsia="仿宋_GB2312" w:cs="Times New Roman"/>
          <w:sz w:val="32"/>
          <w:szCs w:val="32"/>
        </w:rPr>
        <w:t>面完成了各项信息公开任务，在扩大公众知情权、满足公众信息需求方面取得了积极成效。</w:t>
      </w:r>
    </w:p>
    <w:p>
      <w:pPr>
        <w:widowControl/>
        <w:shd w:val="clear" w:color="auto" w:fill="FFFFFF"/>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楷体" w:cs="Times New Roman"/>
          <w:kern w:val="0"/>
          <w:sz w:val="32"/>
          <w:szCs w:val="32"/>
        </w:rPr>
        <w:t>（一）主动公开</w:t>
      </w:r>
      <w:r>
        <w:rPr>
          <w:rFonts w:hint="default" w:ascii="Times New Roman" w:hAnsi="Times New Roman" w:eastAsia="仿宋_GB2312" w:cs="Times New Roman"/>
          <w:kern w:val="0"/>
          <w:sz w:val="32"/>
          <w:szCs w:val="32"/>
        </w:rPr>
        <w:t>。2022年，淄川区交通运输局通过淄川区人民政府网站主动公开政府信息181条，政策文件14条，行政执法公示72条（行政处罚事项64条），建议提案办理17条（人大代表建议7条、政协委员提案9条，办理建议提案总体办理情况1条），其他方面信息78条。</w:t>
      </w:r>
    </w:p>
    <w:p>
      <w:pPr>
        <w:widowControl/>
        <w:shd w:val="clear" w:color="auto" w:fill="FFFFFF"/>
        <w:ind w:firstLine="420" w:firstLineChars="200"/>
        <w:rPr>
          <w:rFonts w:hint="default" w:ascii="Times New Roman" w:hAnsi="Times New Roman" w:eastAsia="仿宋_GB2312" w:cs="Times New Roman"/>
          <w:kern w:val="0"/>
          <w:sz w:val="32"/>
          <w:szCs w:val="32"/>
        </w:rPr>
      </w:pPr>
      <w:r>
        <w:rPr>
          <w:rFonts w:hint="default" w:ascii="Times New Roman" w:hAnsi="Times New Roman" w:cs="Times New Roman"/>
        </w:rPr>
        <w:drawing>
          <wp:inline distT="0" distB="0" distL="114300" distR="114300">
            <wp:extent cx="4873625" cy="4910455"/>
            <wp:effectExtent l="0" t="0" r="317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873625" cy="4910455"/>
                    </a:xfrm>
                    <a:prstGeom prst="rect">
                      <a:avLst/>
                    </a:prstGeom>
                    <a:noFill/>
                    <a:ln>
                      <a:noFill/>
                    </a:ln>
                  </pic:spPr>
                </pic:pic>
              </a:graphicData>
            </a:graphic>
          </wp:inline>
        </w:drawing>
      </w:r>
    </w:p>
    <w:p>
      <w:pPr>
        <w:widowControl/>
        <w:shd w:val="clear" w:color="auto" w:fill="FFFFFF"/>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楷体" w:cs="Times New Roman"/>
          <w:kern w:val="0"/>
          <w:sz w:val="32"/>
          <w:szCs w:val="32"/>
        </w:rPr>
        <w:t>（二）依申请公开</w:t>
      </w:r>
      <w:r>
        <w:rPr>
          <w:rFonts w:hint="default" w:ascii="Times New Roman" w:hAnsi="Times New Roman" w:eastAsia="仿宋_GB2312" w:cs="Times New Roman"/>
          <w:kern w:val="0"/>
          <w:sz w:val="32"/>
          <w:szCs w:val="32"/>
        </w:rPr>
        <w:t>。2022年收到政府信息公开申请5件，均按法定程序在规定时间内予以答复。没有因政府信息公开引发的申请行政复议或提起行政诉讼。</w:t>
      </w:r>
    </w:p>
    <w:p>
      <w:pPr>
        <w:widowControl/>
        <w:shd w:val="clear" w:color="auto" w:fill="FFFFFF"/>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楷体" w:cs="Times New Roman"/>
          <w:kern w:val="0"/>
          <w:sz w:val="32"/>
          <w:szCs w:val="32"/>
        </w:rPr>
        <w:t>（三）政府信息管理</w:t>
      </w:r>
      <w:r>
        <w:rPr>
          <w:rFonts w:hint="default" w:ascii="Times New Roman" w:hAnsi="Times New Roman" w:eastAsia="仿宋_GB2312" w:cs="Times New Roman"/>
          <w:kern w:val="0"/>
          <w:sz w:val="32"/>
          <w:szCs w:val="32"/>
        </w:rPr>
        <w:t>。建立健全政务公开工作信息管理制度，明确办公室作为政务公开工作机构和信息查阅机构。2022年我局没有制发规章，没有制发规范性文件。</w:t>
      </w:r>
    </w:p>
    <w:p>
      <w:pPr>
        <w:widowControl/>
        <w:shd w:val="clear" w:color="auto" w:fill="FFFFFF"/>
        <w:ind w:firstLine="640" w:firstLineChars="200"/>
        <w:rPr>
          <w:rFonts w:hint="default" w:ascii="Times New Roman" w:hAnsi="Times New Roman" w:eastAsia="仿宋_GB2312" w:cs="Times New Roman"/>
          <w:kern w:val="0"/>
          <w:sz w:val="32"/>
          <w:szCs w:val="32"/>
        </w:rPr>
      </w:pPr>
      <w:r>
        <w:rPr>
          <w:rFonts w:hint="default" w:ascii="Times New Roman" w:hAnsi="Times New Roman" w:eastAsia="楷体" w:cs="Times New Roman"/>
          <w:kern w:val="0"/>
          <w:sz w:val="32"/>
          <w:szCs w:val="32"/>
        </w:rPr>
        <w:t>（四）政府信息公开平台建设</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坚持</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以公开为常态、不公开为例外</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的原则</w:t>
      </w:r>
      <w:r>
        <w:rPr>
          <w:rFonts w:hint="default" w:ascii="Times New Roman" w:hAnsi="Times New Roman" w:eastAsia="仿宋_GB2312" w:cs="Times New Roman"/>
          <w:kern w:val="0"/>
          <w:sz w:val="32"/>
          <w:szCs w:val="32"/>
        </w:rPr>
        <w:t>，通过区政务信息工作平台及时、准确发布各类交通政务信息，回应人民关切。建立淄川区交通运输局公众微信号，为群众提供信息查询、违章处理等各项便民服务。</w:t>
      </w:r>
    </w:p>
    <w:p>
      <w:pPr>
        <w:widowControl/>
        <w:shd w:val="clear" w:color="auto" w:fill="FFFFFF"/>
        <w:ind w:firstLine="420" w:firstLineChars="200"/>
        <w:jc w:val="center"/>
        <w:rPr>
          <w:rFonts w:hint="default" w:ascii="Times New Roman" w:hAnsi="Times New Roman" w:eastAsia="仿宋_GB2312" w:cs="Times New Roman"/>
          <w:kern w:val="0"/>
          <w:sz w:val="32"/>
          <w:szCs w:val="32"/>
        </w:rPr>
      </w:pPr>
      <w:r>
        <w:rPr>
          <w:rFonts w:hint="default" w:ascii="Times New Roman" w:hAnsi="Times New Roman" w:cs="Times New Roman"/>
        </w:rPr>
        <w:drawing>
          <wp:inline distT="0" distB="0" distL="114300" distR="114300">
            <wp:extent cx="2828925" cy="58007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828925" cy="5800725"/>
                    </a:xfrm>
                    <a:prstGeom prst="rect">
                      <a:avLst/>
                    </a:prstGeom>
                    <a:noFill/>
                    <a:ln>
                      <a:noFill/>
                    </a:ln>
                  </pic:spPr>
                </pic:pic>
              </a:graphicData>
            </a:graphic>
          </wp:inline>
        </w:drawing>
      </w:r>
    </w:p>
    <w:p>
      <w:pPr>
        <w:widowControl/>
        <w:shd w:val="clear" w:color="auto" w:fill="FFFFFF"/>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楷体" w:cs="Times New Roman"/>
          <w:kern w:val="0"/>
          <w:sz w:val="32"/>
          <w:szCs w:val="32"/>
        </w:rPr>
        <w:t>（五）监督保障</w:t>
      </w:r>
      <w:r>
        <w:rPr>
          <w:rFonts w:hint="default" w:ascii="Times New Roman" w:hAnsi="Times New Roman" w:eastAsia="仿宋_GB2312" w:cs="Times New Roman"/>
          <w:kern w:val="0"/>
          <w:sz w:val="32"/>
          <w:szCs w:val="32"/>
        </w:rPr>
        <w:t>。成立政务公开工作领导小组，明确专人负责政务公开工作，切实压实工作责任。建立信息审查机制，对政务公开工作公开的信息须有分管领导审核后发布，提高信息的准确性。积极参加区里开展的各项政务公开工作培训会议，增强业务能力，不断提高政务公开工作水平。</w:t>
      </w:r>
    </w:p>
    <w:p>
      <w:pPr>
        <w:widowControl/>
        <w:shd w:val="clear" w:color="auto" w:fill="FFFFFF"/>
        <w:spacing w:line="620" w:lineRule="exact"/>
        <w:ind w:firstLine="640" w:firstLineChars="200"/>
        <w:rPr>
          <w:rFonts w:hint="default" w:ascii="Times New Roman" w:hAnsi="Times New Roman" w:eastAsia="仿宋_GB2312" w:cs="Times New Roman"/>
          <w:kern w:val="0"/>
          <w:sz w:val="34"/>
          <w:szCs w:val="34"/>
        </w:rPr>
      </w:pPr>
      <w:r>
        <w:rPr>
          <w:rFonts w:hint="default" w:ascii="Times New Roman" w:hAnsi="Times New Roman" w:eastAsia="黑体" w:cs="Times New Roman"/>
          <w:bCs/>
          <w:color w:val="333333"/>
          <w:kern w:val="0"/>
          <w:sz w:val="32"/>
          <w:szCs w:val="32"/>
        </w:rPr>
        <w:t>二、主动公开政府信息情况</w:t>
      </w:r>
    </w:p>
    <w:tbl>
      <w:tblPr>
        <w:tblStyle w:val="6"/>
        <w:tblW w:w="5000" w:type="pct"/>
        <w:jc w:val="center"/>
        <w:tblLayout w:type="autofit"/>
        <w:tblCellMar>
          <w:top w:w="0" w:type="dxa"/>
          <w:left w:w="0" w:type="dxa"/>
          <w:bottom w:w="0" w:type="dxa"/>
          <w:right w:w="0" w:type="dxa"/>
        </w:tblCellMar>
      </w:tblPr>
      <w:tblGrid>
        <w:gridCol w:w="1946"/>
        <w:gridCol w:w="1946"/>
        <w:gridCol w:w="1946"/>
        <w:gridCol w:w="1953"/>
      </w:tblGrid>
      <w:tr>
        <w:tblPrEx>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第二十条第（一）项</w:t>
            </w:r>
          </w:p>
        </w:tc>
      </w:tr>
      <w:tr>
        <w:tblPrEx>
          <w:tblCellMar>
            <w:top w:w="0" w:type="dxa"/>
            <w:left w:w="0" w:type="dxa"/>
            <w:bottom w:w="0" w:type="dxa"/>
            <w:right w:w="0" w:type="dxa"/>
          </w:tblCellMar>
        </w:tblPrEx>
        <w:trPr>
          <w:trHeight w:val="340" w:hRule="atLeast"/>
          <w:jc w:val="center"/>
        </w:trPr>
        <w:tc>
          <w:tcPr>
            <w:tcW w:w="1249" w:type="pct"/>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信息内容</w:t>
            </w:r>
          </w:p>
        </w:tc>
        <w:tc>
          <w:tcPr>
            <w:tcW w:w="1249" w:type="pct"/>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本年</w:t>
            </w:r>
            <w:r>
              <w:rPr>
                <w:rFonts w:hint="default" w:ascii="Times New Roman" w:hAnsi="Times New Roman" w:eastAsia="宋体" w:cs="Times New Roman"/>
                <w:kern w:val="0"/>
                <w:sz w:val="24"/>
                <w:szCs w:val="24"/>
              </w:rPr>
              <w:t>制发件数</w:t>
            </w:r>
          </w:p>
        </w:tc>
        <w:tc>
          <w:tcPr>
            <w:tcW w:w="1249" w:type="pct"/>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本年废止件数</w:t>
            </w:r>
          </w:p>
        </w:tc>
        <w:tc>
          <w:tcPr>
            <w:tcW w:w="1251" w:type="pct"/>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现行有效件</w:t>
            </w:r>
            <w:r>
              <w:rPr>
                <w:rFonts w:hint="default" w:ascii="Times New Roman" w:hAnsi="Times New Roman" w:eastAsia="宋体" w:cs="Times New Roman"/>
                <w:kern w:val="0"/>
                <w:sz w:val="24"/>
                <w:szCs w:val="24"/>
              </w:rPr>
              <w:t>数</w:t>
            </w:r>
          </w:p>
        </w:tc>
      </w:tr>
      <w:tr>
        <w:tblPrEx>
          <w:tblCellMar>
            <w:top w:w="0" w:type="dxa"/>
            <w:left w:w="0" w:type="dxa"/>
            <w:bottom w:w="0" w:type="dxa"/>
            <w:right w:w="0" w:type="dxa"/>
          </w:tblCellMar>
        </w:tblPrEx>
        <w:trPr>
          <w:trHeight w:val="340" w:hRule="atLeast"/>
          <w:jc w:val="center"/>
        </w:trPr>
        <w:tc>
          <w:tcPr>
            <w:tcW w:w="1249" w:type="pct"/>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规章</w:t>
            </w:r>
          </w:p>
        </w:tc>
        <w:tc>
          <w:tcPr>
            <w:tcW w:w="1249"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0</w:t>
            </w:r>
          </w:p>
        </w:tc>
        <w:tc>
          <w:tcPr>
            <w:tcW w:w="1249"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0</w:t>
            </w:r>
          </w:p>
        </w:tc>
        <w:tc>
          <w:tcPr>
            <w:tcW w:w="1251"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0</w:t>
            </w:r>
          </w:p>
        </w:tc>
      </w:tr>
      <w:tr>
        <w:tblPrEx>
          <w:tblCellMar>
            <w:top w:w="0" w:type="dxa"/>
            <w:left w:w="0" w:type="dxa"/>
            <w:bottom w:w="0" w:type="dxa"/>
            <w:right w:w="0" w:type="dxa"/>
          </w:tblCellMar>
        </w:tblPrEx>
        <w:trPr>
          <w:trHeight w:val="340" w:hRule="atLeast"/>
          <w:jc w:val="center"/>
        </w:trPr>
        <w:tc>
          <w:tcPr>
            <w:tcW w:w="1249" w:type="pct"/>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行政规范性文件</w:t>
            </w:r>
          </w:p>
        </w:tc>
        <w:tc>
          <w:tcPr>
            <w:tcW w:w="1249"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0</w:t>
            </w:r>
          </w:p>
        </w:tc>
        <w:tc>
          <w:tcPr>
            <w:tcW w:w="1249"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0</w:t>
            </w:r>
          </w:p>
        </w:tc>
        <w:tc>
          <w:tcPr>
            <w:tcW w:w="1251"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0</w:t>
            </w:r>
          </w:p>
        </w:tc>
      </w:tr>
      <w:tr>
        <w:tblPrEx>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第二十条第（五）项</w:t>
            </w:r>
          </w:p>
        </w:tc>
      </w:tr>
      <w:tr>
        <w:tblPrEx>
          <w:tblCellMar>
            <w:top w:w="0" w:type="dxa"/>
            <w:left w:w="0" w:type="dxa"/>
            <w:bottom w:w="0" w:type="dxa"/>
            <w:right w:w="0" w:type="dxa"/>
          </w:tblCellMar>
        </w:tblPrEx>
        <w:trPr>
          <w:trHeight w:val="340" w:hRule="atLeast"/>
          <w:jc w:val="center"/>
        </w:trPr>
        <w:tc>
          <w:tcPr>
            <w:tcW w:w="1249" w:type="pct"/>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信息内容</w:t>
            </w:r>
          </w:p>
        </w:tc>
        <w:tc>
          <w:tcPr>
            <w:tcW w:w="3750" w:type="pct"/>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本年处理决定数量</w:t>
            </w:r>
          </w:p>
        </w:tc>
      </w:tr>
      <w:tr>
        <w:tblPrEx>
          <w:tblCellMar>
            <w:top w:w="0" w:type="dxa"/>
            <w:left w:w="0" w:type="dxa"/>
            <w:bottom w:w="0" w:type="dxa"/>
            <w:right w:w="0" w:type="dxa"/>
          </w:tblCellMar>
        </w:tblPrEx>
        <w:trPr>
          <w:trHeight w:val="340" w:hRule="atLeast"/>
          <w:jc w:val="center"/>
        </w:trPr>
        <w:tc>
          <w:tcPr>
            <w:tcW w:w="1249" w:type="pct"/>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行政许可</w:t>
            </w:r>
          </w:p>
        </w:tc>
        <w:tc>
          <w:tcPr>
            <w:tcW w:w="3750" w:type="pct"/>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0</w:t>
            </w:r>
          </w:p>
        </w:tc>
      </w:tr>
      <w:tr>
        <w:tblPrEx>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第二十条第（六）项</w:t>
            </w:r>
          </w:p>
        </w:tc>
      </w:tr>
      <w:tr>
        <w:tblPrEx>
          <w:tblCellMar>
            <w:top w:w="0" w:type="dxa"/>
            <w:left w:w="0" w:type="dxa"/>
            <w:bottom w:w="0" w:type="dxa"/>
            <w:right w:w="0" w:type="dxa"/>
          </w:tblCellMar>
        </w:tblPrEx>
        <w:trPr>
          <w:trHeight w:val="340" w:hRule="atLeast"/>
          <w:jc w:val="center"/>
        </w:trPr>
        <w:tc>
          <w:tcPr>
            <w:tcW w:w="1249" w:type="pct"/>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信息内容</w:t>
            </w:r>
          </w:p>
        </w:tc>
        <w:tc>
          <w:tcPr>
            <w:tcW w:w="3750" w:type="pct"/>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本年处理决定数量</w:t>
            </w:r>
          </w:p>
        </w:tc>
      </w:tr>
      <w:tr>
        <w:tblPrEx>
          <w:tblCellMar>
            <w:top w:w="0" w:type="dxa"/>
            <w:left w:w="0" w:type="dxa"/>
            <w:bottom w:w="0" w:type="dxa"/>
            <w:right w:w="0" w:type="dxa"/>
          </w:tblCellMar>
        </w:tblPrEx>
        <w:trPr>
          <w:trHeight w:val="340" w:hRule="atLeast"/>
          <w:jc w:val="center"/>
        </w:trPr>
        <w:tc>
          <w:tcPr>
            <w:tcW w:w="1249" w:type="pct"/>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行政处罚</w:t>
            </w:r>
          </w:p>
        </w:tc>
        <w:tc>
          <w:tcPr>
            <w:tcW w:w="3750" w:type="pct"/>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785</w:t>
            </w:r>
          </w:p>
        </w:tc>
      </w:tr>
      <w:tr>
        <w:tblPrEx>
          <w:tblCellMar>
            <w:top w:w="0" w:type="dxa"/>
            <w:left w:w="0" w:type="dxa"/>
            <w:bottom w:w="0" w:type="dxa"/>
            <w:right w:w="0" w:type="dxa"/>
          </w:tblCellMar>
        </w:tblPrEx>
        <w:trPr>
          <w:trHeight w:val="340" w:hRule="atLeast"/>
          <w:jc w:val="center"/>
        </w:trPr>
        <w:tc>
          <w:tcPr>
            <w:tcW w:w="1249" w:type="pct"/>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行政强制</w:t>
            </w:r>
          </w:p>
        </w:tc>
        <w:tc>
          <w:tcPr>
            <w:tcW w:w="3750" w:type="pct"/>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0</w:t>
            </w:r>
          </w:p>
        </w:tc>
      </w:tr>
      <w:tr>
        <w:tblPrEx>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第二十条第（八）项</w:t>
            </w:r>
          </w:p>
        </w:tc>
      </w:tr>
      <w:tr>
        <w:tblPrEx>
          <w:tblCellMar>
            <w:top w:w="0" w:type="dxa"/>
            <w:left w:w="0" w:type="dxa"/>
            <w:bottom w:w="0" w:type="dxa"/>
            <w:right w:w="0" w:type="dxa"/>
          </w:tblCellMar>
        </w:tblPrEx>
        <w:trPr>
          <w:trHeight w:val="340" w:hRule="atLeast"/>
          <w:jc w:val="center"/>
        </w:trPr>
        <w:tc>
          <w:tcPr>
            <w:tcW w:w="1249" w:type="pct"/>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信息内容</w:t>
            </w:r>
          </w:p>
        </w:tc>
        <w:tc>
          <w:tcPr>
            <w:tcW w:w="3750" w:type="pct"/>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本年收费金额（单位：万元）</w:t>
            </w:r>
          </w:p>
        </w:tc>
      </w:tr>
      <w:tr>
        <w:tblPrEx>
          <w:tblCellMar>
            <w:top w:w="0" w:type="dxa"/>
            <w:left w:w="0" w:type="dxa"/>
            <w:bottom w:w="0" w:type="dxa"/>
            <w:right w:w="0" w:type="dxa"/>
          </w:tblCellMar>
        </w:tblPrEx>
        <w:trPr>
          <w:trHeight w:val="340" w:hRule="atLeast"/>
          <w:jc w:val="center"/>
        </w:trPr>
        <w:tc>
          <w:tcPr>
            <w:tcW w:w="1249" w:type="pct"/>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rPr>
              <w:t>行政事业性收费</w:t>
            </w:r>
          </w:p>
        </w:tc>
        <w:tc>
          <w:tcPr>
            <w:tcW w:w="3750" w:type="pct"/>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0</w:t>
            </w:r>
          </w:p>
        </w:tc>
      </w:tr>
    </w:tbl>
    <w:p>
      <w:pPr>
        <w:widowControl/>
        <w:shd w:val="clear" w:color="auto" w:fill="FFFFFF"/>
        <w:adjustRightInd w:val="0"/>
        <w:ind w:firstLine="640" w:firstLineChars="200"/>
        <w:rPr>
          <w:rFonts w:hint="default" w:ascii="Times New Roman" w:hAnsi="Times New Roman" w:eastAsia="黑体" w:cs="Times New Roman"/>
          <w:color w:val="333333"/>
          <w:kern w:val="0"/>
          <w:sz w:val="32"/>
          <w:szCs w:val="32"/>
        </w:rPr>
      </w:pPr>
      <w:r>
        <w:rPr>
          <w:rFonts w:hint="default" w:ascii="Times New Roman" w:hAnsi="Times New Roman" w:eastAsia="黑体" w:cs="Times New Roman"/>
          <w:bCs/>
          <w:color w:val="333333"/>
          <w:kern w:val="0"/>
          <w:sz w:val="32"/>
          <w:szCs w:val="32"/>
        </w:rPr>
        <w:t>三、收到和处理政府信息公开申请情况</w:t>
      </w:r>
    </w:p>
    <w:tbl>
      <w:tblPr>
        <w:tblStyle w:val="6"/>
        <w:tblW w:w="4999" w:type="pct"/>
        <w:jc w:val="center"/>
        <w:tblLayout w:type="autofit"/>
        <w:tblCellMar>
          <w:top w:w="0" w:type="dxa"/>
          <w:left w:w="0" w:type="dxa"/>
          <w:bottom w:w="0" w:type="dxa"/>
          <w:right w:w="0" w:type="dxa"/>
        </w:tblCellMar>
      </w:tblPr>
      <w:tblGrid>
        <w:gridCol w:w="618"/>
        <w:gridCol w:w="762"/>
        <w:gridCol w:w="2579"/>
        <w:gridCol w:w="552"/>
        <w:gridCol w:w="552"/>
        <w:gridCol w:w="552"/>
        <w:gridCol w:w="552"/>
        <w:gridCol w:w="552"/>
        <w:gridCol w:w="561"/>
        <w:gridCol w:w="560"/>
      </w:tblGrid>
      <w:tr>
        <w:tblPrEx>
          <w:tblCellMar>
            <w:top w:w="0" w:type="dxa"/>
            <w:left w:w="0" w:type="dxa"/>
            <w:bottom w:w="0" w:type="dxa"/>
            <w:right w:w="0" w:type="dxa"/>
          </w:tblCellMar>
        </w:tblPrEx>
        <w:trPr>
          <w:jc w:val="center"/>
        </w:trPr>
        <w:tc>
          <w:tcPr>
            <w:tcW w:w="2525" w:type="pct"/>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（本列数据的勾稽关系为：第一项加第二项之和，等于第三项加第四项之和）</w:t>
            </w:r>
          </w:p>
        </w:tc>
        <w:tc>
          <w:tcPr>
            <w:tcW w:w="2474" w:type="pct"/>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申请人情况</w:t>
            </w:r>
          </w:p>
        </w:tc>
      </w:tr>
      <w:tr>
        <w:tblPrEx>
          <w:tblCellMar>
            <w:top w:w="0" w:type="dxa"/>
            <w:left w:w="0" w:type="dxa"/>
            <w:bottom w:w="0" w:type="dxa"/>
            <w:right w:w="0" w:type="dxa"/>
          </w:tblCellMar>
        </w:tblPrEx>
        <w:trPr>
          <w:jc w:val="center"/>
        </w:trPr>
        <w:tc>
          <w:tcPr>
            <w:tcW w:w="2525" w:type="pct"/>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352" w:type="pct"/>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自然人</w:t>
            </w:r>
          </w:p>
        </w:tc>
        <w:tc>
          <w:tcPr>
            <w:tcW w:w="1766" w:type="pct"/>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法人或其他组织</w:t>
            </w:r>
          </w:p>
        </w:tc>
        <w:tc>
          <w:tcPr>
            <w:tcW w:w="354" w:type="pct"/>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总计</w:t>
            </w:r>
          </w:p>
        </w:tc>
      </w:tr>
      <w:tr>
        <w:tblPrEx>
          <w:tblCellMar>
            <w:top w:w="0" w:type="dxa"/>
            <w:left w:w="0" w:type="dxa"/>
            <w:bottom w:w="0" w:type="dxa"/>
            <w:right w:w="0" w:type="dxa"/>
          </w:tblCellMar>
        </w:tblPrEx>
        <w:trPr>
          <w:jc w:val="center"/>
        </w:trPr>
        <w:tc>
          <w:tcPr>
            <w:tcW w:w="2525" w:type="pct"/>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352" w:type="pct"/>
            <w:vMerge w:val="continue"/>
            <w:tcBorders>
              <w:top w:val="nil"/>
              <w:left w:val="nil"/>
              <w:bottom w:val="single"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商业</w:t>
            </w:r>
          </w:p>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企业</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科研</w:t>
            </w:r>
          </w:p>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机构</w:t>
            </w:r>
          </w:p>
        </w:tc>
        <w:tc>
          <w:tcPr>
            <w:tcW w:w="352" w:type="pct"/>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社会公益组织</w:t>
            </w:r>
          </w:p>
        </w:tc>
        <w:tc>
          <w:tcPr>
            <w:tcW w:w="352" w:type="pct"/>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法律服务机构</w:t>
            </w:r>
          </w:p>
        </w:tc>
        <w:tc>
          <w:tcPr>
            <w:tcW w:w="355" w:type="pct"/>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其他</w:t>
            </w:r>
          </w:p>
        </w:tc>
        <w:tc>
          <w:tcPr>
            <w:tcW w:w="354" w:type="pct"/>
            <w:vMerge w:val="continue"/>
            <w:tcBorders>
              <w:top w:val="single" w:color="auto" w:sz="8" w:space="0"/>
              <w:left w:val="nil"/>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r>
      <w:tr>
        <w:tblPrEx>
          <w:tblCellMar>
            <w:top w:w="0" w:type="dxa"/>
            <w:left w:w="0" w:type="dxa"/>
            <w:bottom w:w="0" w:type="dxa"/>
            <w:right w:w="0" w:type="dxa"/>
          </w:tblCellMar>
        </w:tblPrEx>
        <w:trPr>
          <w:jc w:val="center"/>
        </w:trPr>
        <w:tc>
          <w:tcPr>
            <w:tcW w:w="2525" w:type="pct"/>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一、本年新收政府信息公开申请数量</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5</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5</w:t>
            </w:r>
          </w:p>
        </w:tc>
      </w:tr>
      <w:tr>
        <w:tblPrEx>
          <w:tblCellMar>
            <w:top w:w="0" w:type="dxa"/>
            <w:left w:w="0" w:type="dxa"/>
            <w:bottom w:w="0" w:type="dxa"/>
            <w:right w:w="0" w:type="dxa"/>
          </w:tblCellMar>
        </w:tblPrEx>
        <w:trPr>
          <w:jc w:val="center"/>
        </w:trPr>
        <w:tc>
          <w:tcPr>
            <w:tcW w:w="2525" w:type="pct"/>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二、上年结转政府信息公开申请数量</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r>
      <w:tr>
        <w:tblPrEx>
          <w:tblCellMar>
            <w:top w:w="0" w:type="dxa"/>
            <w:left w:w="0" w:type="dxa"/>
            <w:bottom w:w="0" w:type="dxa"/>
            <w:right w:w="0" w:type="dxa"/>
          </w:tblCellMar>
        </w:tblPrEx>
        <w:trPr>
          <w:jc w:val="center"/>
        </w:trPr>
        <w:tc>
          <w:tcPr>
            <w:tcW w:w="394" w:type="pct"/>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三、本年度办理结果</w:t>
            </w:r>
          </w:p>
        </w:tc>
        <w:tc>
          <w:tcPr>
            <w:tcW w:w="2131" w:type="pct"/>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（一）予以公开</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4" w:type="pct"/>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2131" w:type="pct"/>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（二）部分公开（区分处理的，只计这一情形，不计其他情形）</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486" w:type="pct"/>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（三）不予公开</w:t>
            </w:r>
          </w:p>
        </w:tc>
        <w:tc>
          <w:tcPr>
            <w:tcW w:w="1644" w:type="pct"/>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1.属于国家秘密</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4" w:type="pct"/>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486" w:type="pct"/>
            <w:vMerge w:val="continue"/>
            <w:tcBorders>
              <w:top w:val="nil"/>
              <w:left w:val="nil"/>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1644" w:type="pct"/>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2.其他法律行政法规禁止公开</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486" w:type="pct"/>
            <w:vMerge w:val="continue"/>
            <w:tcBorders>
              <w:top w:val="nil"/>
              <w:left w:val="nil"/>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1644" w:type="pct"/>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3.危及“三安全一稳定”</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486" w:type="pct"/>
            <w:vMerge w:val="continue"/>
            <w:tcBorders>
              <w:top w:val="nil"/>
              <w:left w:val="nil"/>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1644" w:type="pct"/>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4.保护第三方合法权益</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486" w:type="pct"/>
            <w:vMerge w:val="continue"/>
            <w:tcBorders>
              <w:top w:val="nil"/>
              <w:left w:val="nil"/>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1644" w:type="pct"/>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5.属于三类内部事务信息</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486" w:type="pct"/>
            <w:vMerge w:val="continue"/>
            <w:tcBorders>
              <w:top w:val="nil"/>
              <w:left w:val="nil"/>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1644" w:type="pct"/>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6.属于四类过程性信息</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486" w:type="pct"/>
            <w:vMerge w:val="continue"/>
            <w:tcBorders>
              <w:top w:val="nil"/>
              <w:left w:val="nil"/>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1644" w:type="pct"/>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7.属于行政执法案卷</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486" w:type="pct"/>
            <w:vMerge w:val="continue"/>
            <w:tcBorders>
              <w:top w:val="nil"/>
              <w:left w:val="nil"/>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1644" w:type="pct"/>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8.属于行政查询事项</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486" w:type="pct"/>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（四）无法提供</w:t>
            </w:r>
          </w:p>
        </w:tc>
        <w:tc>
          <w:tcPr>
            <w:tcW w:w="1644" w:type="pct"/>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1.本机关不掌握相关政府信息</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4</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4</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486" w:type="pct"/>
            <w:vMerge w:val="continue"/>
            <w:tcBorders>
              <w:top w:val="nil"/>
              <w:left w:val="nil"/>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1644" w:type="pct"/>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2.没有现成信息需要另行制作</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486" w:type="pct"/>
            <w:vMerge w:val="continue"/>
            <w:tcBorders>
              <w:top w:val="nil"/>
              <w:left w:val="nil"/>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1644" w:type="pct"/>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3.补正后申请内容仍不明确</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486" w:type="pct"/>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（五）不予处理</w:t>
            </w:r>
          </w:p>
        </w:tc>
        <w:tc>
          <w:tcPr>
            <w:tcW w:w="1644" w:type="pct"/>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1.信访举报投诉类申请</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486" w:type="pct"/>
            <w:vMerge w:val="continue"/>
            <w:tcBorders>
              <w:top w:val="nil"/>
              <w:left w:val="nil"/>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1644" w:type="pct"/>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2.重复申请</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486" w:type="pct"/>
            <w:vMerge w:val="continue"/>
            <w:tcBorders>
              <w:top w:val="nil"/>
              <w:left w:val="nil"/>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1644" w:type="pct"/>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3.要求提供公开出版物</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486" w:type="pct"/>
            <w:vMerge w:val="continue"/>
            <w:tcBorders>
              <w:top w:val="nil"/>
              <w:left w:val="nil"/>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1644" w:type="pct"/>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4.无正当理由大量反复申请</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r>
      <w:tr>
        <w:tblPrEx>
          <w:tblCellMar>
            <w:top w:w="0" w:type="dxa"/>
            <w:left w:w="0" w:type="dxa"/>
            <w:bottom w:w="0" w:type="dxa"/>
            <w:right w:w="0" w:type="dxa"/>
          </w:tblCellMar>
        </w:tblPrEx>
        <w:trPr>
          <w:trHeight w:val="779" w:hRule="atLeast"/>
          <w:jc w:val="center"/>
        </w:trPr>
        <w:tc>
          <w:tcPr>
            <w:tcW w:w="394" w:type="pct"/>
            <w:vMerge w:val="continue"/>
            <w:tcBorders>
              <w:top w:val="nil"/>
              <w:left w:val="single" w:color="auto" w:sz="8" w:space="0"/>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486" w:type="pct"/>
            <w:vMerge w:val="continue"/>
            <w:tcBorders>
              <w:top w:val="nil"/>
              <w:left w:val="nil"/>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1644" w:type="pct"/>
            <w:tcBorders>
              <w:top w:val="nil"/>
              <w:left w:val="nil"/>
              <w:bottom w:val="inset" w:color="auto" w:sz="8" w:space="0"/>
              <w:right w:val="single" w:color="auto" w:sz="8" w:space="0"/>
            </w:tcBorders>
            <w:tcMar>
              <w:top w:w="0" w:type="dxa"/>
              <w:left w:w="57" w:type="dxa"/>
              <w:bottom w:w="0" w:type="dxa"/>
              <w:right w:w="57" w:type="dxa"/>
            </w:tcMar>
            <w:vAlign w:val="center"/>
          </w:tcPr>
          <w:p>
            <w:pPr>
              <w:widowControl/>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5.要求行政机关确认或重新出具已获取信息</w:t>
            </w:r>
          </w:p>
        </w:tc>
        <w:tc>
          <w:tcPr>
            <w:tcW w:w="352" w:type="pc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5" w:type="pc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4" w:type="pc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486" w:type="pct"/>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（六）其他处理</w:t>
            </w:r>
          </w:p>
        </w:tc>
        <w:tc>
          <w:tcPr>
            <w:tcW w:w="1644"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1.申请人无正当理由逾期不补正、行政机关不再处理其政府信息公开申请</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486" w:type="pct"/>
            <w:vMerge w:val="continue"/>
            <w:tcBorders>
              <w:top w:val="inset" w:color="auto" w:sz="8" w:space="0"/>
              <w:left w:val="nil"/>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1644"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2.申请人逾期未按收费通知要求缴纳费用、行政机关不再处理其政府信息公开申请</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486" w:type="pct"/>
            <w:vMerge w:val="continue"/>
            <w:tcBorders>
              <w:top w:val="inset" w:color="auto" w:sz="8" w:space="0"/>
              <w:left w:val="nil"/>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1644"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3.其他</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r>
      <w:tr>
        <w:tblPrEx>
          <w:tblCellMar>
            <w:top w:w="0" w:type="dxa"/>
            <w:left w:w="0" w:type="dxa"/>
            <w:bottom w:w="0" w:type="dxa"/>
            <w:right w:w="0" w:type="dxa"/>
          </w:tblCellMar>
        </w:tblPrEx>
        <w:trPr>
          <w:jc w:val="center"/>
        </w:trPr>
        <w:tc>
          <w:tcPr>
            <w:tcW w:w="394" w:type="pct"/>
            <w:vMerge w:val="continue"/>
            <w:tcBorders>
              <w:top w:val="nil"/>
              <w:left w:val="single" w:color="auto" w:sz="8" w:space="0"/>
              <w:bottom w:val="inset" w:color="auto" w:sz="8" w:space="0"/>
              <w:right w:val="single" w:color="auto" w:sz="8" w:space="0"/>
            </w:tcBorders>
            <w:vAlign w:val="center"/>
          </w:tcPr>
          <w:p>
            <w:pPr>
              <w:widowControl/>
              <w:jc w:val="left"/>
              <w:rPr>
                <w:rFonts w:hint="default" w:ascii="Times New Roman" w:hAnsi="Times New Roman" w:eastAsia="宋体" w:cs="Times New Roman"/>
                <w:kern w:val="0"/>
                <w:szCs w:val="21"/>
              </w:rPr>
            </w:pPr>
          </w:p>
        </w:tc>
        <w:tc>
          <w:tcPr>
            <w:tcW w:w="2131" w:type="pct"/>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（七）总计</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5</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5</w:t>
            </w:r>
          </w:p>
        </w:tc>
      </w:tr>
      <w:tr>
        <w:tblPrEx>
          <w:tblCellMar>
            <w:top w:w="0" w:type="dxa"/>
            <w:left w:w="0" w:type="dxa"/>
            <w:bottom w:w="0" w:type="dxa"/>
            <w:right w:w="0" w:type="dxa"/>
          </w:tblCellMar>
        </w:tblPrEx>
        <w:trPr>
          <w:jc w:val="center"/>
        </w:trPr>
        <w:tc>
          <w:tcPr>
            <w:tcW w:w="2525" w:type="pct"/>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四、结转下年度继续办理</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2"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5"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c>
          <w:tcPr>
            <w:tcW w:w="354" w:type="pc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0</w:t>
            </w:r>
          </w:p>
        </w:tc>
      </w:tr>
    </w:tbl>
    <w:p>
      <w:pPr>
        <w:widowControl/>
        <w:shd w:val="clear" w:color="auto" w:fill="FFFFFF"/>
        <w:adjustRightInd w:val="0"/>
        <w:ind w:firstLine="640" w:firstLineChars="200"/>
        <w:rPr>
          <w:rFonts w:hint="default" w:ascii="Times New Roman" w:hAnsi="Times New Roman" w:eastAsia="黑体" w:cs="Times New Roman"/>
          <w:color w:val="333333"/>
          <w:kern w:val="0"/>
          <w:sz w:val="32"/>
          <w:szCs w:val="32"/>
        </w:rPr>
      </w:pPr>
      <w:r>
        <w:rPr>
          <w:rFonts w:hint="default" w:ascii="Times New Roman" w:hAnsi="Times New Roman" w:eastAsia="黑体" w:cs="Times New Roman"/>
          <w:bCs/>
          <w:color w:val="333333"/>
          <w:kern w:val="0"/>
          <w:sz w:val="32"/>
          <w:szCs w:val="32"/>
        </w:rPr>
        <w:t>四、因政府信息公开工作被申请行政复议、提起行政诉讼情况</w:t>
      </w:r>
    </w:p>
    <w:tbl>
      <w:tblPr>
        <w:tblStyle w:val="6"/>
        <w:tblW w:w="4999" w:type="pct"/>
        <w:jc w:val="center"/>
        <w:tblLayout w:type="autofit"/>
        <w:tblCellMar>
          <w:top w:w="0" w:type="dxa"/>
          <w:left w:w="0" w:type="dxa"/>
          <w:bottom w:w="0" w:type="dxa"/>
          <w:right w:w="0" w:type="dxa"/>
        </w:tblCellMar>
      </w:tblPr>
      <w:tblGrid>
        <w:gridCol w:w="523"/>
        <w:gridCol w:w="523"/>
        <w:gridCol w:w="524"/>
        <w:gridCol w:w="524"/>
        <w:gridCol w:w="530"/>
        <w:gridCol w:w="524"/>
        <w:gridCol w:w="524"/>
        <w:gridCol w:w="526"/>
        <w:gridCol w:w="526"/>
        <w:gridCol w:w="529"/>
        <w:gridCol w:w="526"/>
        <w:gridCol w:w="526"/>
        <w:gridCol w:w="526"/>
        <w:gridCol w:w="526"/>
        <w:gridCol w:w="534"/>
      </w:tblGrid>
      <w:tr>
        <w:tblPrEx>
          <w:tblCellMar>
            <w:top w:w="0" w:type="dxa"/>
            <w:left w:w="0" w:type="dxa"/>
            <w:bottom w:w="0" w:type="dxa"/>
            <w:right w:w="0" w:type="dxa"/>
          </w:tblCellMar>
        </w:tblPrEx>
        <w:trPr>
          <w:jc w:val="center"/>
        </w:trPr>
        <w:tc>
          <w:tcPr>
            <w:tcW w:w="1664" w:type="pct"/>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行政复议</w:t>
            </w:r>
          </w:p>
        </w:tc>
        <w:tc>
          <w:tcPr>
            <w:tcW w:w="3335" w:type="pct"/>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行政诉讼</w:t>
            </w:r>
          </w:p>
        </w:tc>
      </w:tr>
      <w:tr>
        <w:tblPrEx>
          <w:tblCellMar>
            <w:top w:w="0" w:type="dxa"/>
            <w:left w:w="0" w:type="dxa"/>
            <w:bottom w:w="0" w:type="dxa"/>
            <w:right w:w="0" w:type="dxa"/>
          </w:tblCellMar>
        </w:tblPrEx>
        <w:trPr>
          <w:jc w:val="center"/>
        </w:trPr>
        <w:tc>
          <w:tcPr>
            <w:tcW w:w="332"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结果维持</w:t>
            </w:r>
          </w:p>
        </w:tc>
        <w:tc>
          <w:tcPr>
            <w:tcW w:w="332"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结果</w:t>
            </w:r>
          </w:p>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纠正</w:t>
            </w:r>
          </w:p>
        </w:tc>
        <w:tc>
          <w:tcPr>
            <w:tcW w:w="332" w:type="pct"/>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其他</w:t>
            </w:r>
          </w:p>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结果</w:t>
            </w:r>
          </w:p>
        </w:tc>
        <w:tc>
          <w:tcPr>
            <w:tcW w:w="332" w:type="pct"/>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尚未</w:t>
            </w:r>
          </w:p>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审结</w:t>
            </w:r>
          </w:p>
        </w:tc>
        <w:tc>
          <w:tcPr>
            <w:tcW w:w="333" w:type="pct"/>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总计</w:t>
            </w:r>
          </w:p>
        </w:tc>
        <w:tc>
          <w:tcPr>
            <w:tcW w:w="1665" w:type="pct"/>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未经复议直接起诉</w:t>
            </w:r>
          </w:p>
        </w:tc>
        <w:tc>
          <w:tcPr>
            <w:tcW w:w="1670" w:type="pct"/>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复议后起诉</w:t>
            </w:r>
          </w:p>
        </w:tc>
      </w:tr>
      <w:tr>
        <w:tblPrEx>
          <w:tblCellMar>
            <w:top w:w="0" w:type="dxa"/>
            <w:left w:w="0" w:type="dxa"/>
            <w:bottom w:w="0" w:type="dxa"/>
            <w:right w:w="0" w:type="dxa"/>
          </w:tblCellMar>
        </w:tblPrEx>
        <w:trPr>
          <w:jc w:val="center"/>
        </w:trPr>
        <w:tc>
          <w:tcPr>
            <w:tcW w:w="332" w:type="pct"/>
            <w:vMerge w:val="continue"/>
            <w:tcBorders>
              <w:top w:val="nil"/>
              <w:left w:val="single" w:color="auto" w:sz="8" w:space="0"/>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2"/>
                <w:szCs w:val="32"/>
              </w:rPr>
            </w:pPr>
          </w:p>
        </w:tc>
        <w:tc>
          <w:tcPr>
            <w:tcW w:w="332" w:type="pct"/>
            <w:vMerge w:val="continue"/>
            <w:tcBorders>
              <w:top w:val="nil"/>
              <w:left w:val="single" w:color="auto" w:sz="8" w:space="0"/>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2"/>
                <w:szCs w:val="32"/>
              </w:rPr>
            </w:pPr>
          </w:p>
        </w:tc>
        <w:tc>
          <w:tcPr>
            <w:tcW w:w="332"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2"/>
                <w:szCs w:val="32"/>
              </w:rPr>
            </w:pPr>
          </w:p>
        </w:tc>
        <w:tc>
          <w:tcPr>
            <w:tcW w:w="332"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2"/>
                <w:szCs w:val="32"/>
              </w:rPr>
            </w:pPr>
          </w:p>
        </w:tc>
        <w:tc>
          <w:tcPr>
            <w:tcW w:w="333" w:type="pct"/>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default" w:ascii="Times New Roman" w:hAnsi="Times New Roman" w:eastAsia="宋体" w:cs="Times New Roman"/>
                <w:kern w:val="0"/>
                <w:sz w:val="22"/>
                <w:szCs w:val="32"/>
              </w:rPr>
            </w:pPr>
          </w:p>
        </w:tc>
        <w:tc>
          <w:tcPr>
            <w:tcW w:w="33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结果</w:t>
            </w:r>
          </w:p>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维持</w:t>
            </w:r>
          </w:p>
        </w:tc>
        <w:tc>
          <w:tcPr>
            <w:tcW w:w="33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结果</w:t>
            </w:r>
          </w:p>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纠正</w:t>
            </w:r>
          </w:p>
        </w:tc>
        <w:tc>
          <w:tcPr>
            <w:tcW w:w="33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其他</w:t>
            </w:r>
          </w:p>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结果</w:t>
            </w:r>
          </w:p>
        </w:tc>
        <w:tc>
          <w:tcPr>
            <w:tcW w:w="33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尚未</w:t>
            </w:r>
          </w:p>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审结</w:t>
            </w:r>
          </w:p>
        </w:tc>
        <w:tc>
          <w:tcPr>
            <w:tcW w:w="33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color w:val="000000"/>
                <w:kern w:val="0"/>
                <w:sz w:val="22"/>
                <w:szCs w:val="32"/>
              </w:rPr>
              <w:t>总计</w:t>
            </w:r>
          </w:p>
        </w:tc>
        <w:tc>
          <w:tcPr>
            <w:tcW w:w="33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结果</w:t>
            </w:r>
          </w:p>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维持</w:t>
            </w:r>
          </w:p>
        </w:tc>
        <w:tc>
          <w:tcPr>
            <w:tcW w:w="33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结果</w:t>
            </w:r>
          </w:p>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纠正</w:t>
            </w:r>
          </w:p>
        </w:tc>
        <w:tc>
          <w:tcPr>
            <w:tcW w:w="33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color w:val="000000"/>
                <w:kern w:val="0"/>
                <w:sz w:val="22"/>
                <w:szCs w:val="32"/>
              </w:rPr>
            </w:pPr>
            <w:r>
              <w:rPr>
                <w:rFonts w:hint="default" w:ascii="Times New Roman" w:hAnsi="Times New Roman" w:eastAsia="宋体" w:cs="Times New Roman"/>
                <w:color w:val="000000"/>
                <w:kern w:val="0"/>
                <w:sz w:val="22"/>
                <w:szCs w:val="32"/>
              </w:rPr>
              <w:t>其他</w:t>
            </w:r>
          </w:p>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color w:val="000000"/>
                <w:kern w:val="0"/>
                <w:sz w:val="22"/>
                <w:szCs w:val="32"/>
              </w:rPr>
              <w:t>结果</w:t>
            </w:r>
          </w:p>
        </w:tc>
        <w:tc>
          <w:tcPr>
            <w:tcW w:w="33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尚未</w:t>
            </w:r>
          </w:p>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审结</w:t>
            </w:r>
          </w:p>
        </w:tc>
        <w:tc>
          <w:tcPr>
            <w:tcW w:w="33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color w:val="000000"/>
                <w:kern w:val="0"/>
                <w:sz w:val="22"/>
                <w:szCs w:val="32"/>
              </w:rPr>
              <w:t>总计</w:t>
            </w:r>
          </w:p>
        </w:tc>
      </w:tr>
      <w:tr>
        <w:tblPrEx>
          <w:tblCellMar>
            <w:top w:w="0" w:type="dxa"/>
            <w:left w:w="0" w:type="dxa"/>
            <w:bottom w:w="0" w:type="dxa"/>
            <w:right w:w="0" w:type="dxa"/>
          </w:tblCellMar>
        </w:tblPrEx>
        <w:trPr>
          <w:trHeight w:val="672" w:hRule="atLeast"/>
          <w:jc w:val="center"/>
        </w:trPr>
        <w:tc>
          <w:tcPr>
            <w:tcW w:w="33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0</w:t>
            </w:r>
          </w:p>
        </w:tc>
        <w:tc>
          <w:tcPr>
            <w:tcW w:w="33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0</w:t>
            </w:r>
          </w:p>
        </w:tc>
        <w:tc>
          <w:tcPr>
            <w:tcW w:w="33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0</w:t>
            </w:r>
          </w:p>
        </w:tc>
        <w:tc>
          <w:tcPr>
            <w:tcW w:w="33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0</w:t>
            </w:r>
          </w:p>
        </w:tc>
        <w:tc>
          <w:tcPr>
            <w:tcW w:w="33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0</w:t>
            </w:r>
          </w:p>
        </w:tc>
        <w:tc>
          <w:tcPr>
            <w:tcW w:w="33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0</w:t>
            </w:r>
          </w:p>
        </w:tc>
        <w:tc>
          <w:tcPr>
            <w:tcW w:w="332"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0</w:t>
            </w:r>
          </w:p>
        </w:tc>
        <w:tc>
          <w:tcPr>
            <w:tcW w:w="33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0</w:t>
            </w:r>
          </w:p>
        </w:tc>
        <w:tc>
          <w:tcPr>
            <w:tcW w:w="33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0</w:t>
            </w:r>
          </w:p>
        </w:tc>
        <w:tc>
          <w:tcPr>
            <w:tcW w:w="33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0</w:t>
            </w:r>
          </w:p>
        </w:tc>
        <w:tc>
          <w:tcPr>
            <w:tcW w:w="33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0</w:t>
            </w:r>
          </w:p>
        </w:tc>
        <w:tc>
          <w:tcPr>
            <w:tcW w:w="33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0</w:t>
            </w:r>
          </w:p>
        </w:tc>
        <w:tc>
          <w:tcPr>
            <w:tcW w:w="33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0</w:t>
            </w:r>
          </w:p>
        </w:tc>
        <w:tc>
          <w:tcPr>
            <w:tcW w:w="333"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0</w:t>
            </w:r>
          </w:p>
        </w:tc>
        <w:tc>
          <w:tcPr>
            <w:tcW w:w="334"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Times New Roman" w:hAnsi="Times New Roman" w:eastAsia="宋体" w:cs="Times New Roman"/>
                <w:kern w:val="0"/>
                <w:sz w:val="22"/>
                <w:szCs w:val="32"/>
              </w:rPr>
            </w:pPr>
            <w:r>
              <w:rPr>
                <w:rFonts w:hint="default" w:ascii="Times New Roman" w:hAnsi="Times New Roman" w:eastAsia="宋体" w:cs="Times New Roman"/>
                <w:kern w:val="0"/>
                <w:sz w:val="22"/>
                <w:szCs w:val="32"/>
              </w:rPr>
              <w:t>0</w:t>
            </w:r>
          </w:p>
        </w:tc>
      </w:tr>
    </w:tbl>
    <w:p>
      <w:pPr>
        <w:widowControl/>
        <w:shd w:val="clear" w:color="auto" w:fill="FFFFFF"/>
        <w:adjustRightInd w:val="0"/>
        <w:spacing w:line="600" w:lineRule="exact"/>
        <w:ind w:firstLine="640" w:firstLineChars="200"/>
        <w:rPr>
          <w:rFonts w:hint="default" w:ascii="Times New Roman" w:hAnsi="Times New Roman" w:eastAsia="黑体" w:cs="Times New Roman"/>
          <w:bCs/>
          <w:color w:val="333333"/>
          <w:kern w:val="0"/>
          <w:sz w:val="32"/>
          <w:szCs w:val="32"/>
        </w:rPr>
      </w:pPr>
      <w:r>
        <w:rPr>
          <w:rFonts w:hint="default" w:ascii="Times New Roman" w:hAnsi="Times New Roman" w:eastAsia="黑体" w:cs="Times New Roman"/>
          <w:bCs/>
          <w:color w:val="333333"/>
          <w:kern w:val="0"/>
          <w:sz w:val="32"/>
          <w:szCs w:val="32"/>
        </w:rPr>
        <w:t>五、存在的主要问题及改进情况</w:t>
      </w:r>
    </w:p>
    <w:p>
      <w:pPr>
        <w:widowControl/>
        <w:shd w:val="clear" w:color="auto" w:fill="FFFFFF"/>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2022年我局政务公开工作主要存在以下问题：</w:t>
      </w:r>
    </w:p>
    <w:p>
      <w:pPr>
        <w:widowControl/>
        <w:shd w:val="clear" w:color="auto" w:fill="FFFFFF"/>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一是对已公开信息更新不及时；二是对依申请公开工作不熟悉。</w:t>
      </w:r>
    </w:p>
    <w:p>
      <w:pPr>
        <w:widowControl/>
        <w:shd w:val="clear" w:color="auto" w:fill="FFFFFF"/>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改进</w:t>
      </w:r>
      <w:r>
        <w:rPr>
          <w:rFonts w:hint="eastAsia" w:ascii="Times New Roman" w:hAnsi="Times New Roman" w:eastAsia="仿宋_GB2312" w:cs="Times New Roman"/>
          <w:kern w:val="0"/>
          <w:sz w:val="32"/>
          <w:szCs w:val="32"/>
          <w:lang w:eastAsia="zh-CN"/>
        </w:rPr>
        <w:t>措施</w:t>
      </w:r>
      <w:r>
        <w:rPr>
          <w:rFonts w:hint="default" w:ascii="Times New Roman" w:hAnsi="Times New Roman" w:eastAsia="仿宋_GB2312" w:cs="Times New Roman"/>
          <w:kern w:val="0"/>
          <w:sz w:val="32"/>
          <w:szCs w:val="32"/>
        </w:rPr>
        <w:t>：</w:t>
      </w:r>
    </w:p>
    <w:p>
      <w:pPr>
        <w:widowControl/>
        <w:shd w:val="clear" w:color="auto" w:fill="FFFFFF"/>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一是加强对已公开信息的审核。建立已公开政务信息“回头看”机制，加大对政策调整、人事变动等信息的审查，对于变动信息及时更新处理，确保政务公开工作的时效性、准确性。</w:t>
      </w:r>
    </w:p>
    <w:p>
      <w:pPr>
        <w:widowControl/>
        <w:shd w:val="clear" w:color="auto" w:fill="FFFFFF"/>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是提高依申请公开工作的规范性。组织专业人士开展依申请公开工作指导，组织召开依申请公开工作培训会议，加强业务培训。加强对《中华人民共和国政府信息公开条例》的学习，严格按照法定的答复期限和答复要求回复，提升依申请公开答复规范性，不断提高依申请公开业务水平。</w:t>
      </w:r>
    </w:p>
    <w:p>
      <w:pPr>
        <w:widowControl/>
        <w:shd w:val="clear" w:color="auto" w:fill="FFFFFF"/>
        <w:spacing w:line="60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六、其他需要报告的事项</w:t>
      </w:r>
    </w:p>
    <w:p>
      <w:pPr>
        <w:widowControl/>
        <w:shd w:val="clear" w:color="auto" w:fill="FFFFFF"/>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shd w:val="clear" w:color="auto" w:fill="FFFFFF"/>
        </w:rPr>
        <w:t>1、</w:t>
      </w:r>
      <w:r>
        <w:rPr>
          <w:rFonts w:hint="default" w:ascii="Times New Roman" w:hAnsi="Times New Roman" w:eastAsia="仿宋_GB2312" w:cs="Times New Roman"/>
          <w:color w:val="000000"/>
          <w:sz w:val="32"/>
          <w:szCs w:val="32"/>
        </w:rPr>
        <w:t>收取信息处理费情况。依据《国务院办公厅关于印发&lt;政府信息公开信息处理费管理办法&gt;的通知》（国办函〔2020〕109号）和《山东省人民政府办公厅关于做好政府信息公开信息处理费管理工作有关事项的通知》（鲁政办字〔2020〕179号）收取信息处理费。2022年本机关依申请公开政府信息未收取任何费用。</w:t>
      </w:r>
    </w:p>
    <w:p>
      <w:pPr>
        <w:widowControl/>
        <w:shd w:val="clear" w:color="auto" w:fill="FFFFFF"/>
        <w:spacing w:line="60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kern w:val="0"/>
          <w:sz w:val="32"/>
          <w:szCs w:val="32"/>
        </w:rPr>
        <w:t>2、落实上级年度政务公开工作要点情况。</w:t>
      </w:r>
      <w:r>
        <w:rPr>
          <w:rFonts w:hint="default" w:ascii="Times New Roman" w:hAnsi="Times New Roman" w:eastAsia="仿宋_GB2312" w:cs="Times New Roman"/>
          <w:color w:val="000000" w:themeColor="text1"/>
          <w:sz w:val="32"/>
          <w:szCs w:val="32"/>
          <w14:textFill>
            <w14:solidFill>
              <w14:schemeClr w14:val="tx1"/>
            </w14:solidFill>
          </w14:textFill>
        </w:rPr>
        <w:t>认真落实国家、省、市、区政务公开工作要点，在推进公共企事业单位信息公开上下功夫。严格执行已出台的公共企事业单位信息公开制度，深入推进公共企事业单位信息公开，以有力有效的信息公开，助力监督管理的强化和服务水平的提升。</w:t>
      </w:r>
    </w:p>
    <w:p>
      <w:pPr>
        <w:widowControl/>
        <w:shd w:val="clear" w:color="auto" w:fill="FFFFFF"/>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人大代表建议和政协提案办理结果公开情况。2022年淄川区交通运输局一共办理建议提案17件，分别为人大建议8件，政协提案9件。人大代表建议和政协委员提案答复文件均按法定程序面复代表和委员，已办结建议提案中面复率100%，办复率94%（一件正在办理中），已办结建议提案中代表委员满意达100%。2022年上级交办政协提案1件。</w:t>
      </w:r>
    </w:p>
    <w:p>
      <w:pPr>
        <w:widowControl/>
        <w:shd w:val="clear" w:color="auto" w:fill="FFFFFF"/>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政务公开工作创新情况。设置淄川区交通运输局公众号，拓宽信息宣传方式，以短视频、图文等形式讲解发布政务信息，增强宣传形式的多样化。推进审批许可事项网上一站式办理，让人民群众少跑腿，办事更方便。</w:t>
      </w:r>
    </w:p>
    <w:p>
      <w:pPr>
        <w:widowControl/>
        <w:shd w:val="clear" w:color="auto" w:fill="FFFFFF"/>
        <w:spacing w:line="600" w:lineRule="exact"/>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5、政府信息公开工作年度报告数据统计说明事项。</w:t>
      </w:r>
      <w:r>
        <w:rPr>
          <w:rFonts w:hint="eastAsia" w:ascii="Times New Roman" w:hAnsi="Times New Roman" w:eastAsia="仿宋_GB2312" w:cs="Times New Roman"/>
          <w:color w:val="000000"/>
          <w:sz w:val="32"/>
          <w:szCs w:val="32"/>
          <w:shd w:val="clear" w:color="auto" w:fill="FFFFFF"/>
          <w:lang w:eastAsia="zh-CN"/>
        </w:rPr>
        <w:t>无。</w:t>
      </w:r>
    </w:p>
    <w:p>
      <w:pPr>
        <w:widowControl/>
        <w:shd w:val="clear" w:color="auto" w:fill="FFFFFF"/>
        <w:spacing w:line="600" w:lineRule="exact"/>
        <w:ind w:firstLine="680" w:firstLineChars="200"/>
        <w:rPr>
          <w:rFonts w:hint="default" w:ascii="Times New Roman" w:hAnsi="Times New Roman" w:eastAsia="仿宋_GB2312" w:cs="Times New Roman"/>
          <w:kern w:val="0"/>
          <w:sz w:val="34"/>
          <w:szCs w:val="34"/>
        </w:rPr>
      </w:pPr>
    </w:p>
    <w:p>
      <w:pPr>
        <w:spacing w:line="600" w:lineRule="exact"/>
        <w:rPr>
          <w:rFonts w:hint="default" w:ascii="Times New Roman" w:hAnsi="Times New Roman" w:eastAsia="仿宋_GB2312" w:cs="Times New Roman"/>
          <w:sz w:val="32"/>
          <w:szCs w:val="32"/>
        </w:rPr>
      </w:pPr>
    </w:p>
    <w:p>
      <w:pPr>
        <w:spacing w:line="600" w:lineRule="exact"/>
        <w:rPr>
          <w:rFonts w:hint="default" w:ascii="Times New Roman" w:hAnsi="Times New Roman" w:eastAsia="仿宋_GB2312" w:cs="Times New Roman"/>
          <w:sz w:val="32"/>
          <w:szCs w:val="32"/>
        </w:rPr>
      </w:pPr>
    </w:p>
    <w:p>
      <w:pPr>
        <w:widowControl/>
        <w:shd w:val="clear" w:color="auto" w:fill="FFFFFF"/>
        <w:spacing w:line="600" w:lineRule="exact"/>
        <w:ind w:firstLine="640" w:firstLineChars="200"/>
        <w:jc w:val="right"/>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淄川区交通运输局</w:t>
      </w:r>
    </w:p>
    <w:p>
      <w:pPr>
        <w:widowControl/>
        <w:shd w:val="clear" w:color="auto" w:fill="FFFFFF"/>
        <w:spacing w:line="600" w:lineRule="exact"/>
        <w:ind w:firstLine="640" w:firstLineChars="200"/>
        <w:jc w:val="right"/>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2023年1月12日</w:t>
      </w:r>
    </w:p>
    <w:sectPr>
      <w:pgSz w:w="11906" w:h="16838"/>
      <w:pgMar w:top="1440" w:right="2086" w:bottom="1440" w:left="214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C28C4"/>
    <w:multiLevelType w:val="singleLevel"/>
    <w:tmpl w:val="4C0C28C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xOGQ2YWNiMDUxZmZkNDc5MDQzNjk4MTYyMmExOWYifQ=="/>
  </w:docVars>
  <w:rsids>
    <w:rsidRoot w:val="00091835"/>
    <w:rsid w:val="000073DA"/>
    <w:rsid w:val="0009125C"/>
    <w:rsid w:val="00091835"/>
    <w:rsid w:val="000C56FA"/>
    <w:rsid w:val="000D74F8"/>
    <w:rsid w:val="00123A8C"/>
    <w:rsid w:val="001C4347"/>
    <w:rsid w:val="001E648B"/>
    <w:rsid w:val="00232373"/>
    <w:rsid w:val="00256228"/>
    <w:rsid w:val="002677E6"/>
    <w:rsid w:val="002722CD"/>
    <w:rsid w:val="00322172"/>
    <w:rsid w:val="003A09FA"/>
    <w:rsid w:val="003B3240"/>
    <w:rsid w:val="003E381C"/>
    <w:rsid w:val="00435D8F"/>
    <w:rsid w:val="0045033D"/>
    <w:rsid w:val="00455681"/>
    <w:rsid w:val="00472350"/>
    <w:rsid w:val="004B2D3C"/>
    <w:rsid w:val="00506595"/>
    <w:rsid w:val="0058765C"/>
    <w:rsid w:val="005E7C1F"/>
    <w:rsid w:val="006557C5"/>
    <w:rsid w:val="00672C59"/>
    <w:rsid w:val="00762FA2"/>
    <w:rsid w:val="0083293E"/>
    <w:rsid w:val="00862F38"/>
    <w:rsid w:val="00884109"/>
    <w:rsid w:val="0092647B"/>
    <w:rsid w:val="00941EE8"/>
    <w:rsid w:val="0097060D"/>
    <w:rsid w:val="009F0C3E"/>
    <w:rsid w:val="00BB45AA"/>
    <w:rsid w:val="00BC0D31"/>
    <w:rsid w:val="00BE4A6C"/>
    <w:rsid w:val="00CA428C"/>
    <w:rsid w:val="00D40A95"/>
    <w:rsid w:val="00D526D8"/>
    <w:rsid w:val="00D87191"/>
    <w:rsid w:val="00E22125"/>
    <w:rsid w:val="00E619C2"/>
    <w:rsid w:val="00E96213"/>
    <w:rsid w:val="00EE6C3B"/>
    <w:rsid w:val="00F15702"/>
    <w:rsid w:val="01B10680"/>
    <w:rsid w:val="0E98566C"/>
    <w:rsid w:val="160E2BF3"/>
    <w:rsid w:val="197709E7"/>
    <w:rsid w:val="1B8C66CD"/>
    <w:rsid w:val="1D911BE1"/>
    <w:rsid w:val="21FF4534"/>
    <w:rsid w:val="22A26C9A"/>
    <w:rsid w:val="28F25E5D"/>
    <w:rsid w:val="291F59AC"/>
    <w:rsid w:val="2A182766"/>
    <w:rsid w:val="33F261FF"/>
    <w:rsid w:val="41D33A59"/>
    <w:rsid w:val="4CAC3160"/>
    <w:rsid w:val="53AD391F"/>
    <w:rsid w:val="58FF1B59"/>
    <w:rsid w:val="61610F4A"/>
    <w:rsid w:val="61812D32"/>
    <w:rsid w:val="66DA3C6F"/>
    <w:rsid w:val="6F9266F0"/>
    <w:rsid w:val="72782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2487</Words>
  <Characters>2612</Characters>
  <Lines>20</Lines>
  <Paragraphs>5</Paragraphs>
  <TotalTime>0</TotalTime>
  <ScaleCrop>false</ScaleCrop>
  <LinksUpToDate>false</LinksUpToDate>
  <CharactersWithSpaces>2612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2022-01-06T02:20:00Z</dcterms:created>
  <dc:creator>微软用户</dc:creator>
  <cp:lastModifiedBy>银杏果</cp:lastModifiedBy>
  <dcterms:modified xsi:type="dcterms:W3CDTF">2023-02-09T06:44:40Z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EFC88E05F29A4453B47CE349EFBCCBAA</vt:lpwstr>
  </property>
</Properties>
</file>