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B5D4" w14:textId="77777777" w:rsidR="00857988" w:rsidRDefault="003B41C7">
      <w:r>
        <w:t xml:space="preserve"> </w:t>
      </w:r>
      <w:r>
        <w:rPr>
          <w:rFonts w:hint="eastAsia"/>
        </w:rPr>
        <w:t xml:space="preserve">     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2639"/>
        <w:gridCol w:w="2131"/>
        <w:gridCol w:w="2131"/>
      </w:tblGrid>
      <w:tr w:rsidR="00857988" w14:paraId="633AF1CC" w14:textId="77777777">
        <w:trPr>
          <w:trHeight w:val="622"/>
          <w:jc w:val="center"/>
        </w:trPr>
        <w:tc>
          <w:tcPr>
            <w:tcW w:w="1621" w:type="dxa"/>
            <w:vAlign w:val="center"/>
          </w:tcPr>
          <w:p w14:paraId="2E5D5118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工单编号</w:t>
            </w:r>
          </w:p>
        </w:tc>
        <w:tc>
          <w:tcPr>
            <w:tcW w:w="2639" w:type="dxa"/>
            <w:vAlign w:val="center"/>
          </w:tcPr>
          <w:p w14:paraId="4CFCDFB5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2022042614472056027004</w:t>
            </w:r>
          </w:p>
        </w:tc>
        <w:tc>
          <w:tcPr>
            <w:tcW w:w="2131" w:type="dxa"/>
            <w:vAlign w:val="center"/>
          </w:tcPr>
          <w:p w14:paraId="1C1F025D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事项进展</w:t>
            </w:r>
          </w:p>
        </w:tc>
        <w:tc>
          <w:tcPr>
            <w:tcW w:w="2131" w:type="dxa"/>
            <w:vAlign w:val="center"/>
          </w:tcPr>
          <w:p w14:paraId="6CAA7AEE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平台交办至承办单位</w:t>
            </w:r>
          </w:p>
        </w:tc>
      </w:tr>
      <w:tr w:rsidR="00857988" w14:paraId="122A614E" w14:textId="77777777">
        <w:trPr>
          <w:trHeight w:val="622"/>
          <w:jc w:val="center"/>
        </w:trPr>
        <w:tc>
          <w:tcPr>
            <w:tcW w:w="1621" w:type="dxa"/>
            <w:vAlign w:val="center"/>
          </w:tcPr>
          <w:p w14:paraId="675B0A54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事项标题</w:t>
            </w:r>
          </w:p>
        </w:tc>
        <w:tc>
          <w:tcPr>
            <w:tcW w:w="6901" w:type="dxa"/>
            <w:gridSpan w:val="3"/>
            <w:vAlign w:val="center"/>
          </w:tcPr>
          <w:p w14:paraId="2AA835F2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关于建设淄博南部综合市场和物流中心的建议</w:t>
            </w:r>
          </w:p>
        </w:tc>
      </w:tr>
      <w:tr w:rsidR="00857988" w14:paraId="40379643" w14:textId="77777777">
        <w:trPr>
          <w:trHeight w:val="622"/>
          <w:jc w:val="center"/>
        </w:trPr>
        <w:tc>
          <w:tcPr>
            <w:tcW w:w="1621" w:type="dxa"/>
            <w:vAlign w:val="center"/>
          </w:tcPr>
          <w:p w14:paraId="7EE39F62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提案编号</w:t>
            </w:r>
          </w:p>
        </w:tc>
        <w:tc>
          <w:tcPr>
            <w:tcW w:w="2639" w:type="dxa"/>
            <w:vAlign w:val="center"/>
          </w:tcPr>
          <w:p w14:paraId="7D667FB0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20220013</w:t>
            </w:r>
          </w:p>
        </w:tc>
        <w:tc>
          <w:tcPr>
            <w:tcW w:w="2131" w:type="dxa"/>
            <w:vAlign w:val="center"/>
          </w:tcPr>
          <w:p w14:paraId="603D8456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330ACBC2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13964439113</w:t>
            </w:r>
          </w:p>
        </w:tc>
      </w:tr>
      <w:tr w:rsidR="00857988" w14:paraId="3C839A6F" w14:textId="77777777">
        <w:trPr>
          <w:trHeight w:val="547"/>
          <w:jc w:val="center"/>
        </w:trPr>
        <w:tc>
          <w:tcPr>
            <w:tcW w:w="1621" w:type="dxa"/>
            <w:vAlign w:val="center"/>
          </w:tcPr>
          <w:p w14:paraId="2F8C5871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</w:t>
            </w:r>
            <w:r>
              <w:rPr>
                <w:rFonts w:hint="eastAsia"/>
              </w:rPr>
              <w:t>人</w:t>
            </w:r>
          </w:p>
        </w:tc>
        <w:tc>
          <w:tcPr>
            <w:tcW w:w="2639" w:type="dxa"/>
            <w:vAlign w:val="center"/>
          </w:tcPr>
          <w:p w14:paraId="3629A132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满亮远</w:t>
            </w:r>
          </w:p>
        </w:tc>
        <w:tc>
          <w:tcPr>
            <w:tcW w:w="2131" w:type="dxa"/>
            <w:vAlign w:val="center"/>
          </w:tcPr>
          <w:p w14:paraId="7619D334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发起时间</w:t>
            </w:r>
          </w:p>
        </w:tc>
        <w:tc>
          <w:tcPr>
            <w:tcW w:w="2131" w:type="dxa"/>
            <w:vAlign w:val="center"/>
          </w:tcPr>
          <w:p w14:paraId="57C85C23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2022-01-13 15:48:16</w:t>
            </w:r>
          </w:p>
        </w:tc>
      </w:tr>
      <w:tr w:rsidR="00857988" w14:paraId="339E4539" w14:textId="77777777">
        <w:trPr>
          <w:trHeight w:val="387"/>
          <w:jc w:val="center"/>
        </w:trPr>
        <w:tc>
          <w:tcPr>
            <w:tcW w:w="1621" w:type="dxa"/>
            <w:vAlign w:val="center"/>
          </w:tcPr>
          <w:p w14:paraId="1FC8677F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事项类型</w:t>
            </w:r>
          </w:p>
        </w:tc>
        <w:tc>
          <w:tcPr>
            <w:tcW w:w="2639" w:type="dxa"/>
            <w:vAlign w:val="center"/>
          </w:tcPr>
          <w:p w14:paraId="66373E70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医疗卫生</w:t>
            </w:r>
          </w:p>
        </w:tc>
        <w:tc>
          <w:tcPr>
            <w:tcW w:w="2131" w:type="dxa"/>
            <w:vAlign w:val="center"/>
          </w:tcPr>
          <w:p w14:paraId="70633D94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</w:t>
            </w:r>
            <w:r>
              <w:rPr>
                <w:rFonts w:hint="eastAsia"/>
              </w:rPr>
              <w:t>来源</w:t>
            </w:r>
          </w:p>
        </w:tc>
        <w:tc>
          <w:tcPr>
            <w:tcW w:w="2131" w:type="dxa"/>
            <w:vAlign w:val="center"/>
          </w:tcPr>
          <w:p w14:paraId="2A3E5060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委员提案</w:t>
            </w:r>
          </w:p>
        </w:tc>
      </w:tr>
      <w:tr w:rsidR="00857988" w14:paraId="09395EE7" w14:textId="77777777">
        <w:trPr>
          <w:trHeight w:val="1687"/>
          <w:jc w:val="center"/>
        </w:trPr>
        <w:tc>
          <w:tcPr>
            <w:tcW w:w="1621" w:type="dxa"/>
            <w:vAlign w:val="center"/>
          </w:tcPr>
          <w:p w14:paraId="59D26715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6901" w:type="dxa"/>
            <w:gridSpan w:val="3"/>
            <w:vAlign w:val="center"/>
          </w:tcPr>
          <w:p w14:paraId="77C9867D" w14:textId="77777777" w:rsidR="00857988" w:rsidRDefault="003B41C7">
            <w:pPr>
              <w:spacing w:line="360" w:lineRule="auto"/>
              <w:jc w:val="left"/>
              <w:textAlignment w:val="center"/>
            </w:pPr>
            <w:r>
              <w:t> 随着济潍高速、临临高速、经十路东延、大外环、快速路等道路基础设施的逐步建成，淄博市迎来建设鲁中产业物流区域中心的重大机遇，适时规划、盘活、优化我市各类产业商贸物流市场势在必行。一是淄川建材城区域适合建设大型专业市场和物流集散中心。建材、装饰材料、汽车、钢材、水果蔬菜等专业市场由于占地面积大，功能配套要求高，必须交通便利，能够辐射城乡，所以既不宜挤占建成区土地指标，又不能离城区太远，必须能够长期满足大货车24小时自由进出，还不易拥堵，以便于不断建设和提升专业市场的各类配套设施，形成集聚效应，持续做大做强，带动淄博经济发展。淄川建材城现有市场面积1000余亩，与市场连接成片的工厂、仓库、商铺等各类存量建设用地2000亩以上，南北两侧的存量建设用地1000亩以上，普遍闲置，利用率不足1/5，具有广阔的空间容量。而且淄川建材城南距淄川主城区8公里、北距张店中心城区9公里，西到周村主城区30分钟车程、东到临淄主城区40分钟车程，紧邻淄博经开区、张博路、102省道、宇峰公司铁路专运线和规划中的张南路南延路段，是张店、淄川、临淄、周村、文昌湖的几何中心，辐射作用、地理位置、交通节点及土地存量非常适合建设大型专业市场和物流集散中心，而且一旦建成，长期无须搬迁，与市内其它大型市场形成功能互补和良性竞争，二是正视三个不利因素。交通现状卡脖子问题，张博路与102省道没有形成立体交通体系，是最大的交通梗阻。张博路上建材城段平交路口太多，平时交通不便，假设恢复建材城往日辉煌，一定形成高度拥堵，不利于市场作用发挥。区域融合不畅问题，双杨镇中心商住区与淄川建材城之间距离不足500米，受孝妇河、铁路、张博路阻隔，东城是西城的昼城，西城是东城的睡城，淄川建材城与宇峰公司近在咫尺，受区划影响，彼此隔绝，产城不能融合。产业不融问题，目前淄川建材城狭义面积1000余亩，国营、集体、私营地块犬牙交错，同时外围市场的工厂、仓库等其它业态多达2000亩地，彼此之间因为规划、产权、业态多重因素，虽距离相邻，但互不融合，配套不足，造成土地利用低效，发展低质。   </w:t>
            </w:r>
          </w:p>
        </w:tc>
      </w:tr>
      <w:tr w:rsidR="00857988" w14:paraId="6F9526D1" w14:textId="77777777">
        <w:trPr>
          <w:trHeight w:val="1232"/>
          <w:jc w:val="center"/>
        </w:trPr>
        <w:tc>
          <w:tcPr>
            <w:tcW w:w="1621" w:type="dxa"/>
            <w:vAlign w:val="center"/>
          </w:tcPr>
          <w:p w14:paraId="78FA7033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现场图片</w:t>
            </w:r>
          </w:p>
        </w:tc>
        <w:tc>
          <w:tcPr>
            <w:tcW w:w="6901" w:type="dxa"/>
            <w:gridSpan w:val="3"/>
            <w:vAlign w:val="center"/>
          </w:tcPr>
          <w:p w14:paraId="3AAF3BC7" w14:textId="77777777" w:rsidR="00857988" w:rsidRDefault="003B41C7">
            <w:pPr>
              <w:spacing w:line="360" w:lineRule="auto"/>
              <w:jc w:val="left"/>
              <w:textAlignment w:val="center"/>
            </w:pPr>
          </w:p>
        </w:tc>
      </w:tr>
      <w:tr w:rsidR="00857988" w14:paraId="3EB26F87" w14:textId="77777777">
        <w:trPr>
          <w:trHeight w:val="1127"/>
          <w:jc w:val="center"/>
        </w:trPr>
        <w:tc>
          <w:tcPr>
            <w:tcW w:w="1621" w:type="dxa"/>
            <w:vAlign w:val="center"/>
          </w:tcPr>
          <w:p w14:paraId="442B34E7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意见建议</w:t>
            </w:r>
          </w:p>
        </w:tc>
        <w:tc>
          <w:tcPr>
            <w:tcW w:w="6901" w:type="dxa"/>
            <w:gridSpan w:val="3"/>
            <w:vAlign w:val="center"/>
          </w:tcPr>
          <w:p w14:paraId="48995DDB" w14:textId="77777777" w:rsidR="00857988" w:rsidRDefault="003B41C7">
            <w:pPr>
              <w:spacing w:line="360" w:lineRule="auto"/>
              <w:jc w:val="left"/>
              <w:textAlignment w:val="center"/>
            </w:pPr>
            <w:r>
              <w:t>一是完善火车站周边路网。坚定推进张博铁路电气化改造项目，包括在双杨镇102省道北侧设置双杨站，并依托张博铁路电气化改造工程，配套建设一批交通基础设置：投资1亿元，建设双杨火车站广场，包括候车、人流车流物流进出车站、停车、公交接驳、绿化及各项市政功能，尤其在站口向东下穿铁路过张博路形成涵洞或天桥功能，且在张博路两侧配套强大的停车、候车功能，使淄川建材城与火车站有机关联；投资3亿元，完善张博路与102省道立体交通体系；投资1亿元，将杨萌路、宏发路、月庄路下穿张博路形成立体交叉交通（附位置图和手绘图），并在道路向东升坡的尽头重建交通枢纽，提高土地利用价值；投资3000万元，把双杨站附近沿河路两侧单行线改为双向对开线路，方便进出车站的交通组织；投资3000万元，沿宏发路向西跨孝妇河连接镇中心路，织密路网。二是逐步接收专业市场搬迁和入驻。兴建产业物流区域中心的同时，还要充分利用建材城地理、区域经济、土地存量等优势，逐步接受专业市场搬迁入驻。淄川装饰材料城，现址占地约27亩。新星果品批发市场，该市场因雁阳路西延工程有搬迁的可能性，现址占地约15亩。昌国路上的汽配城，现址约占地370亩。庆淄路上的钢材市场，现有业户70余家，相对分散，每户占地从2、3亩到二、三十亩不等，若在新市场集约布局仅需500亩土地。博经开区经济功能形成互补。三是优化建材城主业。建材城距离双杨、南定、罗村、傅家等镇现有建陶主产区的半径距离均不超过5-9公里，这些镇的建材产量曾占全国1/3份额、全球1/5份额，具有明显区位优势和产业基础。需要注意的是，随着市场复苏，有必要逐步减弱建材仓储等低效业态在市场内的比例，分流到102省道、淄河大道沿线产区，并通过物流数据功能统筹调度，腾出空间优先发展会展中心、接待中心、博物馆等附加值高、吸引力强的业态。若能通过会展、接待功能带动商贸、研发、游购、娱乐等功能，补充、延长产业链条，有望在一定程度上重现江北瓷都辉煌，促进新旧动能转换，形成城市格局的关键节点，打造产城融合和乡村振兴典范。四是加快区域融合。东城增加居住功能，西城提升服务功能，形成产城融合状态。基于交通架构已经发生重大变化，东城适宜增加居住功能，可在距燃气调峰站、102省道、张博路较远位置建设住宅小区，与宇峰公司住宅区以及商贸洽谈、接待餐饮等商业区域共同形成核心商圈，同时围绕王母山和巨石文化、东夷文化打造文化生态公园，孝妇河东西区域、淄川与淄博经开区之间才有更多交流的机会。五是统筹项目策划与土地收益使用。建设双杨站及配套设施，直接有利于张博路与孝妇河之间的土地约150-300亩地，预估增加土地收益1.5-3个亿，至少可用来负担广场建设费用1亿元、沿河路改造费用3000万元、宏发路桥建设费用3000万元。建设张博路与102省道立交、张博路与杨萌路等3条路立交，以及广场建设项目中的过张博路涵洞或天桥及停车场，直接有利于淄川建材城的1000-3000亩地，保守按1000亩商业用地每亩增值100万元、2000亩工业用地每亩增值10万元计算，增加土地收益12亿元，足以负担4个立交桥4亿元建设费用、该段铁路涵洞拓宽及铁路建设费用。其中，增加淄川建材城商住功能是土地增值的关键，使项目策划、招商引资或筹集资金成为可能，否则，仅仅发展市场功能，一边拆除补偿淄川建材城业户、一边安置外来业户，成本高企，不利于市场以低成本吸引更多业户入驻。但是淄川、张店城区市场腾空的1500多亩土地增值和开发收益特别可观，仅土地增值收益就在30亿元左右，是建设鲁中综合市场和物流中心项目的财力保障。审查意见：同意立案 处理意见：由区发改局、交通运输局、双杨镇办理</w:t>
            </w:r>
          </w:p>
        </w:tc>
      </w:tr>
      <w:tr w:rsidR="00857988" w14:paraId="1769A285" w14:textId="77777777">
        <w:trPr>
          <w:trHeight w:val="1202"/>
          <w:jc w:val="center"/>
        </w:trPr>
        <w:tc>
          <w:tcPr>
            <w:tcW w:w="1621" w:type="dxa"/>
            <w:vAlign w:val="center"/>
          </w:tcPr>
          <w:p w14:paraId="5E6D6722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交办时间</w:t>
            </w:r>
          </w:p>
        </w:tc>
        <w:tc>
          <w:tcPr>
            <w:tcW w:w="2639" w:type="dxa"/>
            <w:vAlign w:val="center"/>
          </w:tcPr>
          <w:p w14:paraId="261A5C12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2022-04-27 09:43:47</w:t>
            </w:r>
          </w:p>
        </w:tc>
        <w:tc>
          <w:tcPr>
            <w:tcW w:w="2131" w:type="dxa"/>
            <w:vAlign w:val="center"/>
          </w:tcPr>
          <w:p w14:paraId="5C4AD469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截止时间</w:t>
            </w:r>
          </w:p>
        </w:tc>
        <w:tc>
          <w:tcPr>
            <w:tcW w:w="2131" w:type="dxa"/>
            <w:vAlign w:val="center"/>
          </w:tcPr>
          <w:p w14:paraId="3DC3B0FD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2022-05-20 23:59:59</w:t>
            </w:r>
          </w:p>
        </w:tc>
      </w:tr>
      <w:tr w:rsidR="00857988" w14:paraId="105BAFB8" w14:textId="77777777">
        <w:trPr>
          <w:trHeight w:val="1457"/>
          <w:jc w:val="center"/>
        </w:trPr>
        <w:tc>
          <w:tcPr>
            <w:tcW w:w="1621" w:type="dxa"/>
            <w:vAlign w:val="center"/>
          </w:tcPr>
          <w:p w14:paraId="4A8C7C2B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签收截止时间</w:t>
            </w:r>
          </w:p>
        </w:tc>
        <w:tc>
          <w:tcPr>
            <w:tcW w:w="6901" w:type="dxa"/>
            <w:gridSpan w:val="3"/>
            <w:vAlign w:val="center"/>
          </w:tcPr>
          <w:p w14:paraId="0A844BC6" w14:textId="77777777" w:rsidR="00857988" w:rsidRDefault="003B41C7">
            <w:pPr>
              <w:spacing w:line="360" w:lineRule="auto"/>
              <w:jc w:val="left"/>
              <w:textAlignment w:val="center"/>
            </w:pPr>
            <w:r>
              <w:t>2022-04-27 11:43:47</w:t>
            </w:r>
          </w:p>
        </w:tc>
      </w:tr>
      <w:tr w:rsidR="00857988" w14:paraId="31785AAD" w14:textId="77777777">
        <w:trPr>
          <w:trHeight w:val="1562"/>
          <w:jc w:val="center"/>
        </w:trPr>
        <w:tc>
          <w:tcPr>
            <w:tcW w:w="1621" w:type="dxa"/>
            <w:vAlign w:val="center"/>
          </w:tcPr>
          <w:p w14:paraId="2870CF95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是否签收</w:t>
            </w:r>
          </w:p>
        </w:tc>
        <w:tc>
          <w:tcPr>
            <w:tcW w:w="2639" w:type="dxa"/>
            <w:vAlign w:val="center"/>
          </w:tcPr>
          <w:p w14:paraId="0AD84147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双杨镇：【否】</w:t>
              <w:br/>
            </w:r>
            <w:r>
              <w:t>发改局：【否】</w:t>
              <w:br/>
            </w:r>
            <w:r>
              <w:t>交通运输局：【否】</w:t>
              <w:br/>
            </w:r>
          </w:p>
        </w:tc>
        <w:tc>
          <w:tcPr>
            <w:tcW w:w="2131" w:type="dxa"/>
            <w:vAlign w:val="center"/>
          </w:tcPr>
          <w:p w14:paraId="254CF279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按时回复</w:t>
            </w:r>
          </w:p>
        </w:tc>
        <w:tc>
          <w:tcPr>
            <w:tcW w:w="2131" w:type="dxa"/>
            <w:vAlign w:val="center"/>
          </w:tcPr>
          <w:p w14:paraId="13FECFD8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双杨镇：【暂未回复】</w:t>
              <w:br/>
            </w:r>
            <w:r>
              <w:t>发改局：【暂未回复】</w:t>
              <w:br/>
            </w:r>
            <w:r>
              <w:t>交通运输局：【暂未回复】</w:t>
              <w:br/>
            </w:r>
          </w:p>
        </w:tc>
      </w:tr>
      <w:tr w:rsidR="00857988" w14:paraId="2B4C7F35" w14:textId="77777777">
        <w:trPr>
          <w:trHeight w:val="3134"/>
          <w:jc w:val="center"/>
        </w:trPr>
        <w:tc>
          <w:tcPr>
            <w:tcW w:w="1621" w:type="dxa"/>
            <w:vAlign w:val="center"/>
          </w:tcPr>
          <w:p w14:paraId="713B6414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lastRenderedPageBreak/>
              <w:t>处理流水</w:t>
            </w:r>
          </w:p>
        </w:tc>
        <w:tc>
          <w:tcPr>
            <w:tcW w:w="6901" w:type="dxa"/>
            <w:gridSpan w:val="3"/>
            <w:vAlign w:val="center"/>
          </w:tcPr>
          <w:p w14:paraId="0E7B4D2D" w14:textId="77777777" w:rsidR="00857988" w:rsidRDefault="003B41C7">
            <w:pPr>
              <w:spacing w:line="360" w:lineRule="auto"/>
              <w:jc w:val="left"/>
              <w:textAlignment w:val="center"/>
            </w:pPr>
            <w:r>
              <w:t>2022-04-27 09:43:48 淄川区平台中心【委员】[交办]至双杨镇；处理意见：</w:t>
              <w:br/>
            </w:r>
            <w:r>
              <w:t>2022-04-27 09:43:48 淄川区平台中心【委员】[交办]至淄川区发改局；处理意见：</w:t>
              <w:br/>
            </w:r>
            <w:r>
              <w:t>2022-04-27 09:43:48 淄川区平台中心【委员】[交办]至淄川区交通运输局；处理意见：</w:t>
              <w:br/>
            </w:r>
            <w:r>
              <w:t>2022-04-26 14:47:20 【满亮远】[委员发起提案]；处理意见：</w:t>
              <w:br/>
            </w:r>
          </w:p>
        </w:tc>
      </w:tr>
    </w:tbl>
    <w:p w14:paraId="30B8CF26" w14:textId="77777777" w:rsidR="00857988" w:rsidRDefault="00857988">
      <w:pPr>
        <w:spacing w:line="360" w:lineRule="auto"/>
        <w:jc w:val="center"/>
        <w:textAlignment w:val="center"/>
      </w:pPr>
    </w:p>
    <w:sectPr w:rsidR="0085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D1119"/>
    <w:rsid w:val="000F21F0"/>
    <w:rsid w:val="00172A27"/>
    <w:rsid w:val="001E2151"/>
    <w:rsid w:val="00367C89"/>
    <w:rsid w:val="003A3C8E"/>
    <w:rsid w:val="003B41C7"/>
    <w:rsid w:val="003F0F94"/>
    <w:rsid w:val="00421209"/>
    <w:rsid w:val="00504ADB"/>
    <w:rsid w:val="00594E64"/>
    <w:rsid w:val="0060009D"/>
    <w:rsid w:val="00611AC5"/>
    <w:rsid w:val="006B7A67"/>
    <w:rsid w:val="0079458A"/>
    <w:rsid w:val="007E5BC0"/>
    <w:rsid w:val="008128B8"/>
    <w:rsid w:val="00857988"/>
    <w:rsid w:val="008F1932"/>
    <w:rsid w:val="00946C7A"/>
    <w:rsid w:val="00A43151"/>
    <w:rsid w:val="00B55D23"/>
    <w:rsid w:val="00E07B08"/>
    <w:rsid w:val="00EA7778"/>
    <w:rsid w:val="00F909D4"/>
    <w:rsid w:val="00FE4CDC"/>
    <w:rsid w:val="00FF5292"/>
    <w:rsid w:val="01C15B84"/>
    <w:rsid w:val="02E147C3"/>
    <w:rsid w:val="02F85184"/>
    <w:rsid w:val="033B5686"/>
    <w:rsid w:val="03FF0368"/>
    <w:rsid w:val="04C32545"/>
    <w:rsid w:val="052566DE"/>
    <w:rsid w:val="05C24CED"/>
    <w:rsid w:val="075064C7"/>
    <w:rsid w:val="07D82DDF"/>
    <w:rsid w:val="09257B08"/>
    <w:rsid w:val="095F07CD"/>
    <w:rsid w:val="09994D8A"/>
    <w:rsid w:val="09CD3393"/>
    <w:rsid w:val="0B182674"/>
    <w:rsid w:val="0B4B676F"/>
    <w:rsid w:val="0B4D218C"/>
    <w:rsid w:val="0C88219D"/>
    <w:rsid w:val="0EDD288C"/>
    <w:rsid w:val="105C0E96"/>
    <w:rsid w:val="11187B5B"/>
    <w:rsid w:val="15506926"/>
    <w:rsid w:val="15557FA0"/>
    <w:rsid w:val="15DE3955"/>
    <w:rsid w:val="160F3A9D"/>
    <w:rsid w:val="17B557FD"/>
    <w:rsid w:val="17F8520C"/>
    <w:rsid w:val="18EC3623"/>
    <w:rsid w:val="1A6A0BD5"/>
    <w:rsid w:val="1AB427B8"/>
    <w:rsid w:val="1C1F5F1C"/>
    <w:rsid w:val="1CA35F37"/>
    <w:rsid w:val="1E1215AA"/>
    <w:rsid w:val="1F982BD4"/>
    <w:rsid w:val="21832B53"/>
    <w:rsid w:val="237A1FDD"/>
    <w:rsid w:val="23CD6240"/>
    <w:rsid w:val="2566544A"/>
    <w:rsid w:val="27F66184"/>
    <w:rsid w:val="29E41EA7"/>
    <w:rsid w:val="2A000282"/>
    <w:rsid w:val="2C110AF2"/>
    <w:rsid w:val="2C2B37DD"/>
    <w:rsid w:val="2CB748B6"/>
    <w:rsid w:val="2D6D796B"/>
    <w:rsid w:val="2E772B31"/>
    <w:rsid w:val="2EB06052"/>
    <w:rsid w:val="2F4E0DE3"/>
    <w:rsid w:val="2F7A0C66"/>
    <w:rsid w:val="30C33248"/>
    <w:rsid w:val="30CD569B"/>
    <w:rsid w:val="31886C2F"/>
    <w:rsid w:val="32677157"/>
    <w:rsid w:val="330D6328"/>
    <w:rsid w:val="38610EF0"/>
    <w:rsid w:val="395D2367"/>
    <w:rsid w:val="39647C78"/>
    <w:rsid w:val="3A8359F8"/>
    <w:rsid w:val="3D9C60A3"/>
    <w:rsid w:val="3E725BB7"/>
    <w:rsid w:val="3FE33418"/>
    <w:rsid w:val="40190011"/>
    <w:rsid w:val="4193709C"/>
    <w:rsid w:val="429226EA"/>
    <w:rsid w:val="478B4745"/>
    <w:rsid w:val="4A7740CF"/>
    <w:rsid w:val="4A8C1ED5"/>
    <w:rsid w:val="4AF4321F"/>
    <w:rsid w:val="4BBA66DE"/>
    <w:rsid w:val="4BD05C82"/>
    <w:rsid w:val="4C0E1E65"/>
    <w:rsid w:val="4D306942"/>
    <w:rsid w:val="4E444F60"/>
    <w:rsid w:val="4F131337"/>
    <w:rsid w:val="50E86AE7"/>
    <w:rsid w:val="51451D79"/>
    <w:rsid w:val="53D07DDC"/>
    <w:rsid w:val="550E4B95"/>
    <w:rsid w:val="55491404"/>
    <w:rsid w:val="557F33D2"/>
    <w:rsid w:val="56310FE0"/>
    <w:rsid w:val="57113DE9"/>
    <w:rsid w:val="58523E62"/>
    <w:rsid w:val="588444BC"/>
    <w:rsid w:val="590F3363"/>
    <w:rsid w:val="59905B18"/>
    <w:rsid w:val="59A247F5"/>
    <w:rsid w:val="59F53A9C"/>
    <w:rsid w:val="5A4F6ED3"/>
    <w:rsid w:val="5A8C522A"/>
    <w:rsid w:val="5A9C648F"/>
    <w:rsid w:val="5AF905C0"/>
    <w:rsid w:val="5C2D4987"/>
    <w:rsid w:val="5DBE58AA"/>
    <w:rsid w:val="5F837F24"/>
    <w:rsid w:val="5F921951"/>
    <w:rsid w:val="5FB960B3"/>
    <w:rsid w:val="5FF92714"/>
    <w:rsid w:val="66475B1F"/>
    <w:rsid w:val="664C0F2F"/>
    <w:rsid w:val="685449DE"/>
    <w:rsid w:val="6866327E"/>
    <w:rsid w:val="698C34E1"/>
    <w:rsid w:val="6CD94901"/>
    <w:rsid w:val="6ECB770B"/>
    <w:rsid w:val="6FA61478"/>
    <w:rsid w:val="74926186"/>
    <w:rsid w:val="76640175"/>
    <w:rsid w:val="76691FA8"/>
    <w:rsid w:val="7749599E"/>
    <w:rsid w:val="777B6E90"/>
    <w:rsid w:val="7A504193"/>
    <w:rsid w:val="7BE53ADC"/>
    <w:rsid w:val="7D027437"/>
    <w:rsid w:val="7ED5229B"/>
    <w:rsid w:val="7F89387A"/>
    <w:rsid w:val="7FDD271C"/>
    <w:rsid w:val="7F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E60DF"/>
  <w15:docId w15:val="{421BBABD-375C-4271-9F37-2C874F74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unhideWhenUsed/>
    <w:qFormat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标题5"/>
    <w:basedOn w:val="5"/>
    <w:next w:val="a"/>
    <w:qFormat/>
    <w:rPr>
      <w:szCs w:val="22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</Words>
  <Characters>224</Characters>
  <Application>Microsoft Office Word</Application>
  <DocSecurity>0</DocSecurity>
  <Lines>1</Lines>
  <Paragraphs>1</Paragraphs>
  <ScaleCrop>false</ScaleCrop>
  <Company>Kingsoft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</dc:creator>
  <lastModifiedBy>刘 新宇</lastModifiedBy>
  <dcterms:modified xsi:type="dcterms:W3CDTF">2021-04-23T06:53:00Z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