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淄博市淄川区交通运输局</w:t>
      </w:r>
    </w:p>
    <w:p>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snapToGrid w:val="0"/>
        <w:spacing w:line="560" w:lineRule="exact"/>
        <w:ind w:firstLine="880" w:firstLineChars="200"/>
        <w:jc w:val="left"/>
        <w:rPr>
          <w:rFonts w:ascii="方正小标宋简体" w:hAnsi="方正小标宋简体" w:eastAsia="方正小标宋简体" w:cs="方正小标宋简体"/>
          <w:sz w:val="44"/>
          <w:szCs w:val="44"/>
        </w:rPr>
      </w:pP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年度报告中所列数据的统计期限自2023年1月1日起，至2023年12月31日止。如对报告内容有疑问，请与淄川区交通运输局联系（地址：山东省淄博市淄川区张博路七里村北；邮编：255100；电话：0533-5180288；电子邮箱：</w:t>
      </w:r>
      <w:r>
        <w:rPr>
          <w:rFonts w:hint="eastAsia" w:ascii="Times New Roman" w:hAnsi="Times New Roman" w:eastAsia="仿宋_GB2312" w:cs="仿宋_GB2312"/>
          <w:color w:val="auto"/>
          <w:sz w:val="32"/>
          <w:szCs w:val="32"/>
          <w:u w:val="none"/>
        </w:rPr>
        <w:t>zcqjtj@zb.shandong.cn）。</w:t>
      </w:r>
    </w:p>
    <w:p>
      <w:pPr>
        <w:numPr>
          <w:ilvl w:val="0"/>
          <w:numId w:val="1"/>
        </w:num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总体情况</w:t>
      </w:r>
    </w:p>
    <w:p>
      <w:pPr>
        <w:snapToGrid w:val="0"/>
        <w:spacing w:line="56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2023年淄川区交通运输局全面贯彻落实党的二十大精神，坚持围绕中心，服务大局，充分发挥积极性主动性创造性，确保党的路线方针政策和决策部署贯彻落实。我局高度重视并积极推进政府信息公开工作，认真贯彻落实好上级相关文件要求，确保政府信息全面、及时、准确公开，提高工作的透明度和公信力，为经济社会活动和人民群众生产、生活提供服务，取得了较好成效。</w:t>
      </w:r>
    </w:p>
    <w:p>
      <w:pPr>
        <w:numPr>
          <w:ilvl w:val="0"/>
          <w:numId w:val="2"/>
        </w:numPr>
        <w:snapToGrid w:val="0"/>
        <w:spacing w:line="56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主动公开方面</w:t>
      </w:r>
    </w:p>
    <w:p>
      <w:pPr>
        <w:snapToGrid w:val="0"/>
        <w:spacing w:line="56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2023年，淄川区交通运输局通过淄川区人民政府网站主动公开政府信息203条，政策文件24条，行政执法公示100条（行政处罚事项93条），建议提案办理20条（人大代表建议9条、政协委员提案10条，办理建议提案总体办理情况1条），其他方面信息59条。</w:t>
      </w:r>
    </w:p>
    <w:p>
      <w:pPr>
        <w:numPr>
          <w:ilvl w:val="0"/>
          <w:numId w:val="2"/>
        </w:numPr>
        <w:snapToGrid w:val="0"/>
        <w:spacing w:line="56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依申请公开工作方面</w:t>
      </w:r>
    </w:p>
    <w:p>
      <w:pPr>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2023年收到政府信息公开申请1件，按法定程序在规定时间内予以答复。没有因政府信息公开引发的申请行政复议或提起行政诉讼。</w:t>
      </w:r>
    </w:p>
    <w:p>
      <w:pPr>
        <w:numPr>
          <w:ilvl w:val="0"/>
          <w:numId w:val="2"/>
        </w:numPr>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政府信息管理方面</w:t>
      </w:r>
    </w:p>
    <w:p>
      <w:pPr>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建立健全政务公开工作信息管理制度，明确办公室作为政务公开工作机构和信息查阅机构，具体负责本局政务公开工作的组织实施与日常管理工作，明确专人负责本局政务公开信息的收集、整理工作。2023年我局没有制发规章，没有制发规范性文件。本局制定的其他非涉密文件，如工作方案、总结、报告等，均按照法律法规和相关制度规定的需要主动公开。</w:t>
      </w:r>
    </w:p>
    <w:p>
      <w:pPr>
        <w:numPr>
          <w:ilvl w:val="0"/>
          <w:numId w:val="2"/>
        </w:numPr>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平台建设方面</w:t>
      </w:r>
    </w:p>
    <w:p>
      <w:pPr>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坚持“以公开为常态、不公开为例外”的原则，依托政务信息工作平台确保各类政务信息能够全面、及时、真实地向公众发布，保障公众知情权，回应公众关切。为进一步提升政务服务水平，方便市民获取相关信息与服务，建立淄川区交通运输局公众微信号，为群众提供信息查询、违章处理等各项便民服务。</w:t>
      </w:r>
    </w:p>
    <w:p>
      <w:pPr>
        <w:numPr>
          <w:ilvl w:val="0"/>
          <w:numId w:val="2"/>
        </w:numPr>
        <w:adjustRightInd w:val="0"/>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监督保障方面</w:t>
      </w:r>
    </w:p>
    <w:p>
      <w:pPr>
        <w:adjustRightInd w:val="0"/>
        <w:snapToGrid w:val="0"/>
        <w:spacing w:line="560" w:lineRule="exact"/>
        <w:ind w:firstLine="640" w:firstLineChars="200"/>
        <w:jc w:val="lef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监督保障。成立政务公开工作领导小组，明确专人负责政务公开工作，层层压实工作责任，确保政务公开工作的顺利进行。建立信息审查机制，对政务公开工作公开的信息须有分管领导审核后发布，提高信息的准确性。建立信息审查机制，对拟公开的政务信息须经分管领导审核后发布，确保信息的准确性。积极参加区里开展的政务公开工作培训会议，不断提升业务能力。通过定期组织内部培训和教育活动，提高工作人员的职业素养和工作能力，确保政务公开工作的专业性和规范性。</w:t>
      </w:r>
    </w:p>
    <w:p>
      <w:pPr>
        <w:snapToGrid w:val="0"/>
        <w:spacing w:line="560" w:lineRule="exact"/>
        <w:ind w:firstLine="640" w:firstLineChars="200"/>
        <w:jc w:val="left"/>
        <w:rPr>
          <w:rFonts w:ascii="黑体" w:hAnsi="黑体" w:eastAsia="黑体" w:cs="黑体"/>
          <w:snapToGrid w:val="0"/>
          <w:kern w:val="0"/>
          <w:sz w:val="32"/>
          <w:szCs w:val="32"/>
        </w:rPr>
      </w:pPr>
      <w:r>
        <w:rPr>
          <w:rFonts w:hint="eastAsia" w:ascii="黑体" w:hAnsi="黑体" w:eastAsia="黑体" w:cs="黑体"/>
          <w:snapToGrid w:val="0"/>
          <w:kern w:val="0"/>
          <w:sz w:val="32"/>
          <w:szCs w:val="32"/>
        </w:rPr>
        <w:t>二、主动公开政府信息情况</w:t>
      </w:r>
    </w:p>
    <w:tbl>
      <w:tblPr>
        <w:tblStyle w:val="3"/>
        <w:tblW w:w="7500" w:type="dxa"/>
        <w:jc w:val="center"/>
        <w:tblLayout w:type="fixed"/>
        <w:tblCellMar>
          <w:top w:w="0" w:type="dxa"/>
          <w:left w:w="108" w:type="dxa"/>
          <w:bottom w:w="0" w:type="dxa"/>
          <w:right w:w="108" w:type="dxa"/>
        </w:tblCellMar>
      </w:tblPr>
      <w:tblGrid>
        <w:gridCol w:w="1875"/>
        <w:gridCol w:w="1875"/>
        <w:gridCol w:w="1875"/>
        <w:gridCol w:w="1875"/>
      </w:tblGrid>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CellMar>
            <w:top w:w="0" w:type="dxa"/>
            <w:left w:w="108" w:type="dxa"/>
            <w:bottom w:w="0" w:type="dxa"/>
            <w:right w:w="108" w:type="dxa"/>
          </w:tblCellMar>
        </w:tblPrEx>
        <w:trPr>
          <w:trHeight w:val="904"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eastAsia="仿宋_GB2312" w:cs="Calibri"/>
                <w:color w:val="FF0000"/>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1028"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880"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行政许可</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仿宋_GB2312" w:eastAsia="仿宋_GB2312" w:cs="Calibri"/>
                <w:color w:val="FF0000"/>
                <w:kern w:val="0"/>
                <w:sz w:val="30"/>
                <w:szCs w:val="30"/>
                <w:lang w:val="en-US" w:eastAsia="zh-CN"/>
              </w:rPr>
            </w:pPr>
            <w:r>
              <w:rPr>
                <w:rFonts w:hint="eastAsia" w:ascii="仿宋_GB2312" w:eastAsia="仿宋_GB2312" w:cs="Calibri"/>
                <w:kern w:val="0"/>
                <w:szCs w:val="21"/>
                <w:lang w:val="en-US" w:eastAsia="zh-CN"/>
              </w:rPr>
              <w:t>1055</w:t>
            </w:r>
            <w:bookmarkStart w:id="10" w:name="_GoBack"/>
            <w:bookmarkEnd w:id="10"/>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FF0000"/>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1045"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0</w:t>
            </w:r>
          </w:p>
        </w:tc>
      </w:tr>
    </w:tbl>
    <w:p>
      <w:pPr>
        <w:ind w:firstLine="640"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3"/>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3648"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174"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58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543"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581" w:type="dxa"/>
            <w:vMerge w:val="continue"/>
            <w:shd w:val="clear" w:color="auto" w:fill="auto"/>
            <w:tcMar>
              <w:left w:w="108" w:type="dxa"/>
              <w:right w:w="108" w:type="dxa"/>
            </w:tcMar>
            <w:vAlign w:val="center"/>
          </w:tcPr>
          <w:p>
            <w:pPr>
              <w:jc w:val="center"/>
              <w:rPr>
                <w:rFonts w:ascii="黑体" w:hAnsi="黑体" w:eastAsia="黑体"/>
                <w:szCs w:val="21"/>
              </w:rPr>
            </w:pPr>
          </w:p>
        </w:tc>
        <w:tc>
          <w:tcPr>
            <w:tcW w:w="48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2"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69"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31"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00"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543"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FF0000"/>
                <w:szCs w:val="21"/>
              </w:rPr>
            </w:pPr>
            <w:r>
              <w:rPr>
                <w:rFonts w:hint="eastAsia" w:ascii="仿宋_GB2312" w:hAnsi="Times New Roman" w:eastAsia="仿宋_GB2312"/>
                <w:szCs w:val="21"/>
              </w:rPr>
              <w:t>1</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FF0000"/>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二、上年结转政府信息公开申请数量</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3267" w:type="dxa"/>
            <w:gridSpan w:val="2"/>
            <w:shd w:val="clear" w:color="auto" w:fill="auto"/>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（一）予以公开</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FF0000"/>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FF0000"/>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3267" w:type="dxa"/>
            <w:gridSpan w:val="2"/>
            <w:shd w:val="clear" w:color="auto" w:fill="auto"/>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（二）部分公开（</w:t>
            </w:r>
            <w:bookmarkStart w:id="1" w:name="_Hlk66973981"/>
            <w:r>
              <w:rPr>
                <w:rFonts w:hint="eastAsia" w:ascii="黑体" w:hAnsi="黑体" w:eastAsia="黑体"/>
                <w:kern w:val="0"/>
                <w:sz w:val="16"/>
                <w:szCs w:val="16"/>
              </w:rPr>
              <w:t>区分处理的，只计这一情形，不计其他情形</w:t>
            </w:r>
            <w:bookmarkEnd w:id="1"/>
            <w:r>
              <w:rPr>
                <w:rFonts w:hint="eastAsia" w:ascii="黑体" w:hAnsi="黑体" w:eastAsia="黑体"/>
                <w:kern w:val="0"/>
                <w:sz w:val="16"/>
                <w:szCs w:val="16"/>
              </w:rPr>
              <w:t>）</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color w:val="FF0000"/>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（三）不予公开</w:t>
            </w: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r>
              <w:rPr>
                <w:rFonts w:hint="eastAsia" w:ascii="黑体" w:hAnsi="黑体" w:eastAsia="黑体"/>
                <w:szCs w:val="21"/>
              </w:rPr>
              <w:t>S</w:t>
            </w: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3.危及“三安全一稳定”</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（四）无法提供</w:t>
            </w: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ind w:left="-107" w:leftChars="-51"/>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（五）不予处理</w:t>
            </w: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2.重复申请</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3.要求提供公开出版物</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4.无正当理由大量反复申请</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531" w:type="dxa"/>
            <w:shd w:val="clear" w:color="auto" w:fill="auto"/>
            <w:tcMar>
              <w:left w:w="108" w:type="dxa"/>
              <w:right w:w="108" w:type="dxa"/>
            </w:tcMar>
            <w:vAlign w:val="center"/>
          </w:tcPr>
          <w:p>
            <w:pPr>
              <w:widowControl/>
              <w:spacing w:line="300" w:lineRule="exact"/>
              <w:rPr>
                <w:rFonts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widowControl/>
              <w:spacing w:line="300" w:lineRule="exact"/>
              <w:ind w:firstLine="160" w:firstLineChars="100"/>
              <w:rPr>
                <w:rFonts w:ascii="仿宋_GB2312" w:hAnsi="黑体" w:eastAsia="仿宋_GB2312"/>
                <w:sz w:val="16"/>
                <w:szCs w:val="16"/>
              </w:rPr>
            </w:pPr>
            <w:r>
              <w:rPr>
                <w:rFonts w:hint="eastAsia" w:ascii="仿宋_GB2312" w:hAnsi="黑体" w:eastAsia="仿宋_GB2312"/>
                <w:kern w:val="0"/>
                <w:sz w:val="16"/>
                <w:szCs w:val="16"/>
              </w:rPr>
              <w:t>出具已获取信息</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restart"/>
            <w:shd w:val="clear" w:color="auto" w:fill="auto"/>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（六）其他处理</w:t>
            </w:r>
          </w:p>
        </w:tc>
        <w:tc>
          <w:tcPr>
            <w:tcW w:w="2531" w:type="dxa"/>
            <w:shd w:val="clear" w:color="auto" w:fill="auto"/>
            <w:vAlign w:val="center"/>
          </w:tcPr>
          <w:p>
            <w:pPr>
              <w:widowControl/>
              <w:spacing w:line="300" w:lineRule="exact"/>
              <w:rPr>
                <w:rFonts w:ascii="仿宋_GB2312" w:hAnsi="楷体" w:eastAsia="仿宋_GB2312"/>
                <w:sz w:val="16"/>
                <w:szCs w:val="18"/>
              </w:rPr>
            </w:pPr>
            <w:r>
              <w:rPr>
                <w:rFonts w:hint="eastAsia" w:ascii="仿宋_GB2312" w:hAnsi="楷体" w:eastAsia="仿宋_GB2312"/>
                <w:sz w:val="16"/>
                <w:szCs w:val="18"/>
              </w:rPr>
              <w:t>1.申请人无正当理由逾期……</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widowControl/>
              <w:spacing w:line="300" w:lineRule="exact"/>
              <w:rPr>
                <w:rFonts w:ascii="黑体" w:hAnsi="黑体" w:eastAsia="黑体"/>
                <w:kern w:val="0"/>
                <w:sz w:val="16"/>
                <w:szCs w:val="16"/>
              </w:rPr>
            </w:pPr>
          </w:p>
        </w:tc>
        <w:tc>
          <w:tcPr>
            <w:tcW w:w="2531" w:type="dxa"/>
            <w:shd w:val="clear" w:color="auto" w:fill="auto"/>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2.申请人逾期未按收费通知……</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736" w:type="dxa"/>
            <w:vMerge w:val="continue"/>
            <w:shd w:val="clear" w:color="auto" w:fill="auto"/>
            <w:tcMar>
              <w:left w:w="108" w:type="dxa"/>
              <w:right w:w="108" w:type="dxa"/>
            </w:tcMar>
            <w:vAlign w:val="center"/>
          </w:tcPr>
          <w:p>
            <w:pPr>
              <w:widowControl/>
              <w:spacing w:line="300" w:lineRule="exact"/>
              <w:rPr>
                <w:rFonts w:ascii="黑体" w:hAnsi="黑体" w:eastAsia="黑体"/>
                <w:kern w:val="0"/>
                <w:sz w:val="16"/>
                <w:szCs w:val="16"/>
              </w:rPr>
            </w:pPr>
          </w:p>
        </w:tc>
        <w:tc>
          <w:tcPr>
            <w:tcW w:w="2531" w:type="dxa"/>
            <w:shd w:val="clear" w:color="auto" w:fill="auto"/>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3.其他</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shd w:val="clear" w:color="auto" w:fill="auto"/>
            <w:tcMar>
              <w:left w:w="108" w:type="dxa"/>
              <w:right w:w="108" w:type="dxa"/>
            </w:tcMar>
            <w:vAlign w:val="center"/>
          </w:tcPr>
          <w:p>
            <w:pPr>
              <w:rPr>
                <w:rFonts w:ascii="黑体" w:hAnsi="黑体" w:eastAsia="黑体"/>
                <w:szCs w:val="21"/>
              </w:rPr>
            </w:pPr>
          </w:p>
        </w:tc>
        <w:tc>
          <w:tcPr>
            <w:tcW w:w="3267" w:type="dxa"/>
            <w:gridSpan w:val="2"/>
            <w:shd w:val="clear" w:color="auto" w:fill="auto"/>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（七）总计</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8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numPr>
          <w:ilvl w:val="0"/>
          <w:numId w:val="3"/>
        </w:numPr>
        <w:adjustRightInd w:val="0"/>
        <w:snapToGrid w:val="0"/>
        <w:spacing w:line="560" w:lineRule="exact"/>
        <w:ind w:firstLine="640" w:firstLineChars="200"/>
        <w:jc w:val="left"/>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政府信息公开行政复议、行政诉讼情况</w:t>
      </w:r>
    </w:p>
    <w:tbl>
      <w:tblPr>
        <w:tblStyle w:val="3"/>
        <w:tblpPr w:leftFromText="180" w:rightFromText="180" w:vertAnchor="text" w:horzAnchor="page" w:tblpXSpec="center" w:tblpY="51"/>
        <w:tblOverlap w:val="neve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adjustRightInd w:val="0"/>
        <w:snapToGrid w:val="0"/>
        <w:spacing w:line="560" w:lineRule="exact"/>
        <w:ind w:firstLine="640" w:firstLineChars="200"/>
        <w:jc w:val="left"/>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黑体" w:cs="黑体"/>
          <w:bCs/>
          <w:snapToGrid w:val="0"/>
          <w:color w:val="333333"/>
          <w:kern w:val="0"/>
          <w:sz w:val="32"/>
          <w:szCs w:val="32"/>
          <w:shd w:val="clear" w:color="auto" w:fill="FFFFFF"/>
          <w:lang w:bidi="ar"/>
        </w:rPr>
        <w:t>五、存在的主要问题及改进情况</w:t>
      </w:r>
    </w:p>
    <w:p>
      <w:pPr>
        <w:adjustRightInd w:val="0"/>
        <w:snapToGrid w:val="0"/>
        <w:spacing w:line="560" w:lineRule="exact"/>
        <w:ind w:firstLine="640" w:firstLineChars="200"/>
        <w:jc w:val="left"/>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2023年我局政务公开工作主要存在以下问题：</w:t>
      </w:r>
    </w:p>
    <w:p>
      <w:pPr>
        <w:adjustRightInd w:val="0"/>
        <w:snapToGrid w:val="0"/>
        <w:spacing w:line="560" w:lineRule="exact"/>
        <w:ind w:firstLine="640" w:firstLineChars="200"/>
        <w:jc w:val="left"/>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一是对我局网站开设栏目不熟悉、信息更新不及时；二是对依申请公开工作流程不够规范；三是政务公开工作人员对工作不够重视</w:t>
      </w:r>
    </w:p>
    <w:p>
      <w:pPr>
        <w:adjustRightInd w:val="0"/>
        <w:snapToGrid w:val="0"/>
        <w:spacing w:line="560" w:lineRule="exact"/>
        <w:ind w:firstLine="640" w:firstLineChars="200"/>
        <w:jc w:val="left"/>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改进措施：</w:t>
      </w:r>
    </w:p>
    <w:p>
      <w:pPr>
        <w:adjustRightInd w:val="0"/>
        <w:snapToGrid w:val="0"/>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一是建立健全信息更新制度。严格按照常态化工作清单确保政务信息的及时更新。二是</w:t>
      </w:r>
      <w:r>
        <w:rPr>
          <w:rFonts w:ascii="Times New Roman" w:hAnsi="Times New Roman" w:eastAsia="仿宋_GB2312" w:cs="仿宋_GB2312"/>
          <w:bCs/>
          <w:snapToGrid w:val="0"/>
          <w:color w:val="333333"/>
          <w:kern w:val="0"/>
          <w:sz w:val="32"/>
          <w:szCs w:val="32"/>
          <w:shd w:val="clear" w:color="auto" w:fill="FFFFFF"/>
          <w:lang w:bidi="ar"/>
        </w:rPr>
        <w:t>加强依申请公开工作的</w:t>
      </w:r>
      <w:r>
        <w:rPr>
          <w:rFonts w:hint="eastAsia" w:ascii="Times New Roman" w:hAnsi="Times New Roman" w:eastAsia="仿宋_GB2312" w:cs="仿宋_GB2312"/>
          <w:bCs/>
          <w:snapToGrid w:val="0"/>
          <w:color w:val="333333"/>
          <w:kern w:val="0"/>
          <w:sz w:val="32"/>
          <w:szCs w:val="32"/>
          <w:shd w:val="clear" w:color="auto" w:fill="FFFFFF"/>
          <w:lang w:bidi="ar"/>
        </w:rPr>
        <w:t>学习</w:t>
      </w:r>
      <w:r>
        <w:rPr>
          <w:rFonts w:ascii="Times New Roman" w:hAnsi="Times New Roman" w:eastAsia="仿宋_GB2312" w:cs="仿宋_GB2312"/>
          <w:bCs/>
          <w:snapToGrid w:val="0"/>
          <w:color w:val="333333"/>
          <w:kern w:val="0"/>
          <w:sz w:val="32"/>
          <w:szCs w:val="32"/>
          <w:shd w:val="clear" w:color="auto" w:fill="FFFFFF"/>
          <w:lang w:bidi="ar"/>
        </w:rPr>
        <w:t>。</w:t>
      </w:r>
      <w:r>
        <w:rPr>
          <w:rFonts w:hint="eastAsia" w:ascii="Times New Roman" w:hAnsi="Times New Roman" w:eastAsia="仿宋_GB2312" w:cs="仿宋_GB2312"/>
          <w:bCs/>
          <w:snapToGrid w:val="0"/>
          <w:color w:val="333333"/>
          <w:kern w:val="0"/>
          <w:sz w:val="32"/>
          <w:szCs w:val="32"/>
          <w:shd w:val="clear" w:color="auto" w:fill="FFFFFF"/>
          <w:lang w:bidi="ar"/>
        </w:rPr>
        <w:t>按照《淄川区人民政府办公室关于进一步加强和规范政府信息依申请公开工作的通知》</w:t>
      </w:r>
      <w:r>
        <w:rPr>
          <w:rFonts w:ascii="Times New Roman" w:hAnsi="Times New Roman" w:eastAsia="仿宋_GB2312" w:cs="仿宋_GB2312"/>
          <w:bCs/>
          <w:snapToGrid w:val="0"/>
          <w:color w:val="333333"/>
          <w:kern w:val="0"/>
          <w:sz w:val="32"/>
          <w:szCs w:val="32"/>
          <w:shd w:val="clear" w:color="auto" w:fill="FFFFFF"/>
          <w:lang w:bidi="ar"/>
        </w:rPr>
        <w:t>，组织开展</w:t>
      </w:r>
      <w:r>
        <w:rPr>
          <w:rFonts w:hint="eastAsia" w:ascii="Times New Roman" w:hAnsi="Times New Roman" w:eastAsia="仿宋_GB2312" w:cs="仿宋_GB2312"/>
          <w:bCs/>
          <w:snapToGrid w:val="0"/>
          <w:color w:val="333333"/>
          <w:kern w:val="0"/>
          <w:sz w:val="32"/>
          <w:szCs w:val="32"/>
          <w:shd w:val="clear" w:color="auto" w:fill="FFFFFF"/>
          <w:lang w:bidi="ar"/>
        </w:rPr>
        <w:t>学习，严格按照规定流程进行回复，提升依申请公开答复规范性，不断提高依申请公开业务水平。三是加强工作人员的工作意识。提高业务水平，对于变动信息及时更新处理，确保政务公开工作的时效性、准确性。</w:t>
      </w:r>
    </w:p>
    <w:p>
      <w:pPr>
        <w:adjustRightInd w:val="0"/>
        <w:snapToGrid w:val="0"/>
        <w:spacing w:line="560" w:lineRule="exact"/>
        <w:ind w:firstLine="640" w:firstLineChars="200"/>
        <w:jc w:val="left"/>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黑体" w:cs="黑体"/>
          <w:bCs/>
          <w:snapToGrid w:val="0"/>
          <w:color w:val="333333"/>
          <w:kern w:val="0"/>
          <w:sz w:val="32"/>
          <w:szCs w:val="32"/>
          <w:shd w:val="clear" w:color="auto" w:fill="FFFFFF"/>
          <w:lang w:bidi="ar"/>
        </w:rPr>
        <w:t>六、其他需要报告的事项</w:t>
      </w:r>
    </w:p>
    <w:p>
      <w:pPr>
        <w:adjustRightInd w:val="0"/>
        <w:snapToGrid w:val="0"/>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1. 收取信息处理费情况。依据《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adjustRightInd w:val="0"/>
        <w:snapToGrid w:val="0"/>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2. 落实上级年度政务公开工作要点情况。根据国家、省、市、区政务公开工作要求，认真贯彻落实相关要点，严格执行政务公开制度，切实提高政务公开水平。通过加强组织领导、完善制度机制、强化监督检查等措施，确保信息公开工作有序开展，助力监督管理的强化和服务水平的提升。</w:t>
      </w:r>
    </w:p>
    <w:p>
      <w:pPr>
        <w:adjustRightInd w:val="0"/>
        <w:snapToGrid w:val="0"/>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3. 人大代表建议和政协提案办理结果公开情况。2023年淄川区交通运输局一共办理建议提案办理19条，分别为人大代表建议9条、政协委员提案10条。人大代表建议和政协委员提案答复文件均按法定程序面复代表和委员，面复率100%，办复率100%，满意率100%。2023年上级交办政协提案0件。</w:t>
      </w:r>
    </w:p>
    <w:p>
      <w:pPr>
        <w:adjustRightInd w:val="0"/>
        <w:snapToGrid w:val="0"/>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4. 政务公开工作创新情况。设置淄川区交通运输局公众号，拓宽信息宣传的渠道，以短视频、图文等形式讲解发布政务信息，增强宣传内容形式的多样化，确保公众能够全面、准确地了解政府的工作动态和政策方向。推进审批许可事项网上一站式办理，让人民群众少跑腿，办事更方便，进一步提高政府的办事效率和服务水平。</w:t>
      </w:r>
    </w:p>
    <w:p>
      <w:pPr>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bCs/>
          <w:snapToGrid w:val="0"/>
          <w:color w:val="333333"/>
          <w:kern w:val="0"/>
          <w:sz w:val="32"/>
          <w:szCs w:val="32"/>
          <w:shd w:val="clear" w:color="auto" w:fill="FFFFFF"/>
          <w:lang w:bidi="ar"/>
        </w:rPr>
        <w:t>5. 政府信息公开工作年度报告数据统计说明事项。无。</w:t>
      </w:r>
    </w:p>
    <w:p>
      <w:pPr>
        <w:spacing w:line="560" w:lineRule="exact"/>
        <w:ind w:firstLine="640" w:firstLineChars="200"/>
        <w:rPr>
          <w:rFonts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snapToGrid w:val="0"/>
          <w:kern w:val="0"/>
          <w:sz w:val="32"/>
          <w:szCs w:val="32"/>
        </w:rPr>
        <w:t>6、本行政机关认为需要报告的其他事项：无</w:t>
      </w:r>
    </w:p>
    <w:p>
      <w:pPr>
        <w:spacing w:line="560" w:lineRule="exact"/>
        <w:ind w:firstLine="640" w:firstLineChars="200"/>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7、其他有关文件专门要求通过政府信息公开工作年度报告予以报告的事项：无</w:t>
      </w:r>
    </w:p>
    <w:p>
      <w:pPr>
        <w:spacing w:line="560" w:lineRule="exact"/>
        <w:ind w:firstLine="640" w:firstLineChars="200"/>
        <w:rPr>
          <w:rFonts w:ascii="Times New Roman" w:hAnsi="Times New Roman" w:eastAsia="仿宋_GB2312" w:cs="仿宋_GB2312"/>
          <w:snapToGrid w:val="0"/>
          <w:kern w:val="0"/>
          <w:sz w:val="32"/>
          <w:szCs w:val="32"/>
        </w:rPr>
      </w:pPr>
    </w:p>
    <w:p>
      <w:pPr>
        <w:spacing w:line="560" w:lineRule="exact"/>
        <w:ind w:firstLine="640" w:firstLineChars="200"/>
        <w:rPr>
          <w:rFonts w:hint="eastAsia" w:ascii="Times New Roman" w:hAnsi="Times New Roman" w:eastAsia="仿宋_GB2312" w:cs="仿宋_GB2312"/>
          <w:snapToGrid w:val="0"/>
          <w:kern w:val="0"/>
          <w:sz w:val="32"/>
          <w:szCs w:val="32"/>
        </w:rPr>
      </w:pPr>
    </w:p>
    <w:p>
      <w:pPr>
        <w:spacing w:line="560" w:lineRule="exact"/>
        <w:ind w:firstLine="640" w:firstLineChars="200"/>
        <w:jc w:val="righ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淄川区交通运输局</w:t>
      </w:r>
    </w:p>
    <w:p>
      <w:pPr>
        <w:spacing w:line="560" w:lineRule="exact"/>
        <w:ind w:firstLine="640" w:firstLineChars="200"/>
        <w:jc w:val="right"/>
        <w:rPr>
          <w:rFonts w:hint="eastAsia" w:ascii="Times New Roman" w:hAnsi="Times New Roman" w:eastAsia="仿宋_GB2312" w:cs="仿宋_GB2312"/>
          <w:bCs/>
          <w:snapToGrid w:val="0"/>
          <w:color w:val="333333"/>
          <w:kern w:val="0"/>
          <w:sz w:val="32"/>
          <w:szCs w:val="32"/>
          <w:shd w:val="clear" w:color="auto" w:fill="FFFFFF"/>
          <w:lang w:bidi="ar"/>
        </w:rPr>
      </w:pPr>
      <w:r>
        <w:rPr>
          <w:rFonts w:hint="eastAsia" w:ascii="Times New Roman" w:hAnsi="Times New Roman" w:eastAsia="仿宋_GB2312" w:cs="仿宋_GB2312"/>
          <w:snapToGrid w:val="0"/>
          <w:kern w:val="0"/>
          <w:sz w:val="32"/>
          <w:szCs w:val="32"/>
        </w:rPr>
        <w:t>2024年1月26日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E968"/>
    <w:multiLevelType w:val="singleLevel"/>
    <w:tmpl w:val="1A45E968"/>
    <w:lvl w:ilvl="0" w:tentative="0">
      <w:start w:val="4"/>
      <w:numFmt w:val="chineseCounting"/>
      <w:suff w:val="nothing"/>
      <w:lvlText w:val="%1、"/>
      <w:lvlJc w:val="left"/>
      <w:rPr>
        <w:rFonts w:hint="eastAsia"/>
      </w:rPr>
    </w:lvl>
  </w:abstractNum>
  <w:abstractNum w:abstractNumId="1">
    <w:nsid w:val="3894AAFF"/>
    <w:multiLevelType w:val="singleLevel"/>
    <w:tmpl w:val="3894AAFF"/>
    <w:lvl w:ilvl="0" w:tentative="0">
      <w:start w:val="1"/>
      <w:numFmt w:val="decimal"/>
      <w:lvlText w:val="%1."/>
      <w:lvlJc w:val="left"/>
      <w:pPr>
        <w:tabs>
          <w:tab w:val="left" w:pos="312"/>
        </w:tabs>
      </w:pPr>
    </w:lvl>
  </w:abstractNum>
  <w:abstractNum w:abstractNumId="2">
    <w:nsid w:val="49AEBED4"/>
    <w:multiLevelType w:val="singleLevel"/>
    <w:tmpl w:val="49AEBED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jFlZmM2ZTViMmFlMTBjYjBjZjhmOGM5NmZlYmEifQ=="/>
  </w:docVars>
  <w:rsids>
    <w:rsidRoot w:val="22AB2D62"/>
    <w:rsid w:val="002552AF"/>
    <w:rsid w:val="002727DE"/>
    <w:rsid w:val="007A09B2"/>
    <w:rsid w:val="0C0E410A"/>
    <w:rsid w:val="0F7B4AA5"/>
    <w:rsid w:val="148B7F84"/>
    <w:rsid w:val="1AAF0786"/>
    <w:rsid w:val="1AD5672C"/>
    <w:rsid w:val="216670CB"/>
    <w:rsid w:val="22AB2D62"/>
    <w:rsid w:val="2D2C5FB8"/>
    <w:rsid w:val="368F275F"/>
    <w:rsid w:val="39EC4B43"/>
    <w:rsid w:val="43635361"/>
    <w:rsid w:val="45213F4B"/>
    <w:rsid w:val="49B27819"/>
    <w:rsid w:val="4A314103"/>
    <w:rsid w:val="4F565C64"/>
    <w:rsid w:val="5ACA4768"/>
    <w:rsid w:val="60310E5B"/>
    <w:rsid w:val="62571DD5"/>
    <w:rsid w:val="6DD42F16"/>
    <w:rsid w:val="6E11610D"/>
    <w:rsid w:val="6F3965E2"/>
    <w:rsid w:val="78044C6A"/>
    <w:rsid w:val="79AE6327"/>
    <w:rsid w:val="7DC26AB1"/>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503</Words>
  <Characters>2869</Characters>
  <Lines>23</Lines>
  <Paragraphs>6</Paragraphs>
  <TotalTime>14</TotalTime>
  <ScaleCrop>false</ScaleCrop>
  <LinksUpToDate>false</LinksUpToDate>
  <CharactersWithSpaces>3366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2024-01-10T00:52:00Z</dcterms:created>
  <dc:creator>尾生抱柱</dc:creator>
  <cp:lastModifiedBy>银杏果</cp:lastModifiedBy>
  <dcterms:modified xsi:type="dcterms:W3CDTF">2024-01-31T06:34:54Z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AFDA79C5AF2F42999EB904361BBDCC40_13</vt:lpwstr>
  </property>
</Properties>
</file>