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1DF7C6">
      <w:pPr>
        <w:rPr>
          <w:rFonts w:ascii="宋体" w:hAnsi="宋体"/>
          <w:sz w:val="28"/>
          <w:szCs w:val="28"/>
        </w:rPr>
      </w:pPr>
      <w:bookmarkStart w:id="0" w:name="_Hlk120294810"/>
      <w:bookmarkEnd w:id="0"/>
    </w:p>
    <w:p w14:paraId="4007A575">
      <w:pPr>
        <w:rPr>
          <w:rFonts w:ascii="宋体" w:hAnsi="宋体"/>
          <w:sz w:val="28"/>
          <w:szCs w:val="28"/>
        </w:rPr>
      </w:pPr>
      <w:r>
        <w:rPr>
          <w:rFonts w:hint="eastAsia" w:ascii="宋体" w:hAnsi="宋体"/>
          <w:sz w:val="28"/>
          <w:szCs w:val="28"/>
        </w:rPr>
        <w:drawing>
          <wp:anchor distT="0" distB="0" distL="114300" distR="114300" simplePos="0" relativeHeight="251659264" behindDoc="0" locked="0" layoutInCell="1" allowOverlap="1">
            <wp:simplePos x="0" y="0"/>
            <wp:positionH relativeFrom="column">
              <wp:posOffset>742950</wp:posOffset>
            </wp:positionH>
            <wp:positionV relativeFrom="paragraph">
              <wp:posOffset>17145</wp:posOffset>
            </wp:positionV>
            <wp:extent cx="4570730" cy="1052195"/>
            <wp:effectExtent l="0" t="0" r="0" b="0"/>
            <wp:wrapSquare wrapText="bothSides"/>
            <wp:docPr id="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6"/>
                    <pic:cNvPicPr>
                      <a:picLocks noChangeAspect="1" noChangeArrowheads="1"/>
                    </pic:cNvPicPr>
                  </pic:nvPicPr>
                  <pic:blipFill>
                    <a:blip r:embed="rId9" cstate="print"/>
                    <a:srcRect/>
                    <a:stretch>
                      <a:fillRect/>
                    </a:stretch>
                  </pic:blipFill>
                  <pic:spPr>
                    <a:xfrm>
                      <a:off x="0" y="0"/>
                      <a:ext cx="4570730" cy="1052195"/>
                    </a:xfrm>
                    <a:prstGeom prst="rect">
                      <a:avLst/>
                    </a:prstGeom>
                    <a:noFill/>
                    <a:ln w="9525">
                      <a:noFill/>
                      <a:miter lim="800000"/>
                      <a:headEnd/>
                      <a:tailEnd/>
                    </a:ln>
                  </pic:spPr>
                </pic:pic>
              </a:graphicData>
            </a:graphic>
          </wp:anchor>
        </w:drawing>
      </w:r>
    </w:p>
    <w:p w14:paraId="47F5862B">
      <w:pPr>
        <w:rPr>
          <w:rFonts w:ascii="宋体" w:hAnsi="宋体"/>
          <w:sz w:val="28"/>
          <w:szCs w:val="28"/>
        </w:rPr>
      </w:pPr>
    </w:p>
    <w:p w14:paraId="4D483226">
      <w:pPr>
        <w:rPr>
          <w:rFonts w:ascii="宋体" w:hAnsi="宋体"/>
          <w:sz w:val="28"/>
          <w:szCs w:val="28"/>
        </w:rPr>
      </w:pPr>
    </w:p>
    <w:p w14:paraId="2174BB8D">
      <w:pPr>
        <w:rPr>
          <w:rFonts w:ascii="宋体" w:hAnsi="宋体"/>
          <w:sz w:val="28"/>
          <w:szCs w:val="28"/>
        </w:rPr>
      </w:pPr>
    </w:p>
    <w:p w14:paraId="0585498A">
      <w:pPr>
        <w:rPr>
          <w:rFonts w:ascii="宋体" w:hAnsi="宋体"/>
          <w:sz w:val="28"/>
          <w:szCs w:val="28"/>
        </w:rPr>
      </w:pPr>
    </w:p>
    <w:p w14:paraId="11647107">
      <w:pPr>
        <w:adjustRightInd w:val="0"/>
        <w:snapToGrid w:val="0"/>
        <w:rPr>
          <w:rFonts w:ascii="宋体" w:hAnsi="宋体"/>
          <w:sz w:val="48"/>
          <w:szCs w:val="48"/>
        </w:rPr>
      </w:pPr>
    </w:p>
    <w:p w14:paraId="7A3FFAC7">
      <w:pPr>
        <w:adjustRightInd w:val="0"/>
        <w:snapToGrid w:val="0"/>
        <w:jc w:val="center"/>
        <w:rPr>
          <w:rFonts w:ascii="宋体" w:hAnsi="宋体"/>
          <w:sz w:val="48"/>
          <w:szCs w:val="48"/>
        </w:rPr>
      </w:pPr>
    </w:p>
    <w:p w14:paraId="43807F38">
      <w:pPr>
        <w:adjustRightInd w:val="0"/>
        <w:snapToGrid w:val="0"/>
        <w:jc w:val="center"/>
        <w:rPr>
          <w:rFonts w:hint="eastAsia" w:ascii="方正小标宋简体" w:hAnsi="方正小标宋简体" w:eastAsia="方正小标宋简体" w:cs="方正小标宋简体"/>
          <w:b w:val="0"/>
          <w:bCs/>
          <w:sz w:val="52"/>
          <w:szCs w:val="52"/>
        </w:rPr>
      </w:pPr>
      <w:r>
        <w:rPr>
          <w:rFonts w:hint="eastAsia" w:ascii="方正小标宋简体" w:hAnsi="方正小标宋简体" w:eastAsia="方正小标宋简体" w:cs="方正小标宋简体"/>
          <w:b w:val="0"/>
          <w:bCs/>
          <w:sz w:val="52"/>
          <w:szCs w:val="52"/>
        </w:rPr>
        <w:t>淄博理工学校</w:t>
      </w:r>
    </w:p>
    <w:p w14:paraId="4C144200">
      <w:pPr>
        <w:adjustRightInd w:val="0"/>
        <w:snapToGrid w:val="0"/>
        <w:jc w:val="center"/>
        <w:rPr>
          <w:rFonts w:hint="eastAsia" w:ascii="方正小标宋简体" w:hAnsi="方正小标宋简体" w:eastAsia="方正小标宋简体" w:cs="方正小标宋简体"/>
          <w:b w:val="0"/>
          <w:bCs/>
          <w:sz w:val="52"/>
          <w:szCs w:val="52"/>
        </w:rPr>
      </w:pPr>
      <w:r>
        <w:rPr>
          <w:rFonts w:hint="eastAsia" w:ascii="方正小标宋简体" w:hAnsi="方正小标宋简体" w:eastAsia="方正小标宋简体" w:cs="方正小标宋简体"/>
          <w:b w:val="0"/>
          <w:bCs/>
          <w:sz w:val="52"/>
          <w:szCs w:val="52"/>
          <w:lang w:val="en-US" w:eastAsia="zh-CN"/>
        </w:rPr>
        <w:t>中等职业教育</w:t>
      </w:r>
      <w:r>
        <w:rPr>
          <w:rFonts w:hint="eastAsia" w:ascii="方正小标宋简体" w:hAnsi="方正小标宋简体" w:eastAsia="方正小标宋简体" w:cs="方正小标宋简体"/>
          <w:b w:val="0"/>
          <w:bCs/>
          <w:sz w:val="52"/>
          <w:szCs w:val="52"/>
        </w:rPr>
        <w:t>质量年度报告</w:t>
      </w:r>
    </w:p>
    <w:p w14:paraId="18CD5437">
      <w:pPr>
        <w:adjustRightInd w:val="0"/>
        <w:snapToGrid w:val="0"/>
        <w:jc w:val="center"/>
        <w:rPr>
          <w:rFonts w:hint="eastAsia" w:ascii="方正小标宋简体" w:hAnsi="方正小标宋简体" w:eastAsia="方正小标宋简体" w:cs="方正小标宋简体"/>
          <w:b w:val="0"/>
          <w:bCs/>
          <w:sz w:val="52"/>
          <w:szCs w:val="52"/>
        </w:rPr>
      </w:pPr>
      <w:r>
        <w:rPr>
          <w:rFonts w:hint="eastAsia" w:ascii="方正小标宋简体" w:hAnsi="方正小标宋简体" w:eastAsia="方正小标宋简体" w:cs="方正小标宋简体"/>
          <w:b w:val="0"/>
          <w:bCs/>
          <w:sz w:val="52"/>
          <w:szCs w:val="52"/>
        </w:rPr>
        <w:t>（202</w:t>
      </w:r>
      <w:r>
        <w:rPr>
          <w:rFonts w:hint="eastAsia" w:ascii="方正小标宋简体" w:hAnsi="方正小标宋简体" w:eastAsia="方正小标宋简体" w:cs="方正小标宋简体"/>
          <w:b w:val="0"/>
          <w:bCs/>
          <w:sz w:val="52"/>
          <w:szCs w:val="52"/>
          <w:lang w:val="en-US" w:eastAsia="zh-CN"/>
        </w:rPr>
        <w:t>5年度</w:t>
      </w:r>
      <w:r>
        <w:rPr>
          <w:rFonts w:hint="eastAsia" w:ascii="方正小标宋简体" w:hAnsi="方正小标宋简体" w:eastAsia="方正小标宋简体" w:cs="方正小标宋简体"/>
          <w:b w:val="0"/>
          <w:bCs/>
          <w:sz w:val="52"/>
          <w:szCs w:val="52"/>
        </w:rPr>
        <w:t>）</w:t>
      </w:r>
    </w:p>
    <w:p w14:paraId="3CC4567D">
      <w:pPr>
        <w:adjustRightInd w:val="0"/>
        <w:snapToGrid w:val="0"/>
        <w:ind w:firstLine="1680" w:firstLineChars="200"/>
        <w:rPr>
          <w:rFonts w:ascii="黑体" w:hAnsi="黑体" w:eastAsia="黑体"/>
          <w:sz w:val="84"/>
          <w:szCs w:val="84"/>
        </w:rPr>
      </w:pPr>
    </w:p>
    <w:p w14:paraId="143DF0E8">
      <w:pPr>
        <w:adjustRightInd w:val="0"/>
        <w:snapToGrid w:val="0"/>
        <w:spacing w:line="360" w:lineRule="exact"/>
        <w:ind w:firstLine="560" w:firstLineChars="200"/>
        <w:rPr>
          <w:rFonts w:ascii="黑体" w:hAnsi="黑体" w:eastAsia="黑体"/>
          <w:sz w:val="28"/>
          <w:szCs w:val="28"/>
        </w:rPr>
      </w:pPr>
    </w:p>
    <w:p w14:paraId="4AE6C50C">
      <w:pPr>
        <w:adjustRightInd w:val="0"/>
        <w:snapToGrid w:val="0"/>
        <w:spacing w:line="360" w:lineRule="exact"/>
        <w:ind w:firstLine="560" w:firstLineChars="200"/>
        <w:rPr>
          <w:rFonts w:ascii="黑体" w:hAnsi="黑体" w:eastAsia="黑体"/>
          <w:sz w:val="28"/>
          <w:szCs w:val="28"/>
        </w:rPr>
      </w:pPr>
    </w:p>
    <w:p w14:paraId="2359C548">
      <w:pPr>
        <w:adjustRightInd w:val="0"/>
        <w:snapToGrid w:val="0"/>
        <w:spacing w:line="360" w:lineRule="exact"/>
        <w:ind w:firstLine="560" w:firstLineChars="200"/>
        <w:rPr>
          <w:rFonts w:ascii="黑体" w:hAnsi="黑体" w:eastAsia="黑体"/>
          <w:sz w:val="28"/>
          <w:szCs w:val="28"/>
        </w:rPr>
      </w:pPr>
    </w:p>
    <w:p w14:paraId="00ADE6F9">
      <w:pPr>
        <w:adjustRightInd w:val="0"/>
        <w:snapToGrid w:val="0"/>
        <w:spacing w:line="360" w:lineRule="exact"/>
        <w:ind w:firstLine="560" w:firstLineChars="200"/>
        <w:rPr>
          <w:rFonts w:ascii="黑体" w:hAnsi="黑体" w:eastAsia="黑体"/>
          <w:sz w:val="28"/>
          <w:szCs w:val="28"/>
        </w:rPr>
      </w:pPr>
    </w:p>
    <w:p w14:paraId="01D088B3">
      <w:pPr>
        <w:adjustRightInd w:val="0"/>
        <w:snapToGrid w:val="0"/>
        <w:spacing w:line="360" w:lineRule="exact"/>
        <w:rPr>
          <w:rFonts w:ascii="黑体" w:hAnsi="黑体" w:eastAsia="黑体"/>
          <w:sz w:val="28"/>
          <w:szCs w:val="28"/>
        </w:rPr>
      </w:pPr>
    </w:p>
    <w:p w14:paraId="449EBE7C">
      <w:pPr>
        <w:adjustRightInd w:val="0"/>
        <w:snapToGrid w:val="0"/>
        <w:spacing w:line="360" w:lineRule="exact"/>
        <w:ind w:firstLine="560" w:firstLineChars="200"/>
        <w:rPr>
          <w:rFonts w:ascii="黑体" w:hAnsi="黑体" w:eastAsia="黑体"/>
          <w:sz w:val="28"/>
          <w:szCs w:val="28"/>
        </w:rPr>
      </w:pPr>
    </w:p>
    <w:p w14:paraId="6C4C208E">
      <w:pPr>
        <w:adjustRightInd w:val="0"/>
        <w:snapToGrid w:val="0"/>
        <w:spacing w:line="360" w:lineRule="exact"/>
        <w:ind w:firstLine="560" w:firstLineChars="200"/>
        <w:rPr>
          <w:rFonts w:ascii="黑体" w:hAnsi="黑体" w:eastAsia="黑体"/>
          <w:sz w:val="28"/>
          <w:szCs w:val="28"/>
        </w:rPr>
      </w:pPr>
    </w:p>
    <w:p w14:paraId="784BE899">
      <w:pPr>
        <w:adjustRightInd w:val="0"/>
        <w:snapToGrid w:val="0"/>
        <w:spacing w:line="360" w:lineRule="exact"/>
        <w:ind w:firstLine="560" w:firstLineChars="200"/>
        <w:rPr>
          <w:rFonts w:ascii="黑体" w:hAnsi="黑体" w:eastAsia="黑体"/>
          <w:sz w:val="28"/>
          <w:szCs w:val="28"/>
        </w:rPr>
      </w:pPr>
    </w:p>
    <w:p w14:paraId="25F8E690">
      <w:pPr>
        <w:adjustRightInd w:val="0"/>
        <w:snapToGrid w:val="0"/>
        <w:spacing w:line="360" w:lineRule="exact"/>
        <w:ind w:firstLine="560" w:firstLineChars="200"/>
        <w:rPr>
          <w:rFonts w:hint="eastAsia" w:ascii="方正小标宋简体" w:hAnsi="方正小标宋简体" w:eastAsia="方正小标宋简体" w:cs="方正小标宋简体"/>
          <w:sz w:val="28"/>
          <w:szCs w:val="28"/>
        </w:rPr>
      </w:pPr>
    </w:p>
    <w:p w14:paraId="2C5D9DC4">
      <w:pPr>
        <w:adjustRightInd w:val="0"/>
        <w:snapToGrid w:val="0"/>
        <w:jc w:val="center"/>
        <w:rPr>
          <w:rFonts w:hint="eastAsia" w:ascii="方正小标宋简体" w:hAnsi="方正小标宋简体" w:eastAsia="方正小标宋简体" w:cs="方正小标宋简体"/>
          <w:b/>
          <w:sz w:val="44"/>
          <w:szCs w:val="44"/>
        </w:rPr>
      </w:pPr>
      <w:r>
        <w:rPr>
          <w:rFonts w:hint="eastAsia" w:ascii="方正小标宋简体" w:hAnsi="方正小标宋简体" w:eastAsia="方正小标宋简体" w:cs="方正小标宋简体"/>
          <w:b/>
          <w:sz w:val="44"/>
          <w:szCs w:val="44"/>
        </w:rPr>
        <w:t>202</w:t>
      </w:r>
      <w:r>
        <w:rPr>
          <w:rFonts w:hint="eastAsia" w:ascii="方正小标宋简体" w:hAnsi="方正小标宋简体" w:eastAsia="方正小标宋简体" w:cs="方正小标宋简体"/>
          <w:b/>
          <w:sz w:val="44"/>
          <w:szCs w:val="44"/>
          <w:lang w:val="en-US" w:eastAsia="zh-CN"/>
        </w:rPr>
        <w:t>5</w:t>
      </w:r>
      <w:r>
        <w:rPr>
          <w:rFonts w:hint="eastAsia" w:ascii="方正小标宋简体" w:hAnsi="方正小标宋简体" w:eastAsia="方正小标宋简体" w:cs="方正小标宋简体"/>
          <w:b/>
          <w:sz w:val="44"/>
          <w:szCs w:val="44"/>
        </w:rPr>
        <w:t>年12月</w:t>
      </w:r>
    </w:p>
    <w:p w14:paraId="4FA00656">
      <w:pPr>
        <w:adjustRightInd w:val="0"/>
        <w:snapToGrid w:val="0"/>
        <w:spacing w:line="360" w:lineRule="exact"/>
        <w:rPr>
          <w:rFonts w:ascii="黑体" w:hAnsi="黑体" w:eastAsia="黑体"/>
          <w:sz w:val="28"/>
          <w:szCs w:val="28"/>
        </w:rPr>
      </w:pPr>
    </w:p>
    <w:p w14:paraId="3DC0DF02">
      <w:pPr>
        <w:adjustRightInd w:val="0"/>
        <w:snapToGrid w:val="0"/>
        <w:spacing w:line="360" w:lineRule="exact"/>
        <w:rPr>
          <w:rFonts w:ascii="黑体" w:hAnsi="黑体" w:eastAsia="黑体"/>
          <w:sz w:val="28"/>
          <w:szCs w:val="28"/>
        </w:rPr>
      </w:pPr>
    </w:p>
    <w:p w14:paraId="692C2A58">
      <w:pPr>
        <w:adjustRightInd w:val="0"/>
        <w:snapToGrid w:val="0"/>
        <w:spacing w:line="360" w:lineRule="exact"/>
        <w:rPr>
          <w:rFonts w:ascii="黑体" w:hAnsi="黑体" w:eastAsia="黑体"/>
          <w:sz w:val="28"/>
          <w:szCs w:val="28"/>
        </w:rPr>
      </w:pPr>
    </w:p>
    <w:p w14:paraId="2CD49A6F">
      <w:pPr>
        <w:adjustRightInd w:val="0"/>
        <w:snapToGrid w:val="0"/>
        <w:spacing w:line="360" w:lineRule="exact"/>
        <w:rPr>
          <w:rFonts w:ascii="黑体" w:hAnsi="黑体" w:eastAsia="黑体"/>
          <w:sz w:val="28"/>
          <w:szCs w:val="28"/>
        </w:rPr>
      </w:pPr>
    </w:p>
    <w:p w14:paraId="03F9F138">
      <w:pPr>
        <w:adjustRightInd w:val="0"/>
        <w:snapToGrid w:val="0"/>
        <w:spacing w:line="360" w:lineRule="exact"/>
        <w:rPr>
          <w:rFonts w:ascii="黑体" w:hAnsi="黑体" w:eastAsia="黑体"/>
          <w:sz w:val="28"/>
          <w:szCs w:val="28"/>
        </w:rPr>
      </w:pPr>
    </w:p>
    <w:p w14:paraId="42BE7219">
      <w:pPr>
        <w:spacing w:line="400" w:lineRule="exact"/>
        <w:rPr>
          <w:rFonts w:hint="eastAsia" w:ascii="仿宋_GB2312" w:eastAsia="仿宋_GB2312"/>
          <w:sz w:val="28"/>
          <w:szCs w:val="28"/>
          <w:lang w:val="en-US" w:eastAsia="zh-CN"/>
        </w:rPr>
      </w:pPr>
    </w:p>
    <w:p w14:paraId="4D7E7866">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eastAsia="仿宋_GB2312"/>
          <w:b/>
          <w:bCs/>
          <w:color w:val="6FBDFF"/>
          <w:sz w:val="40"/>
          <w:szCs w:val="40"/>
          <w:lang w:val="en-US" w:eastAsia="zh-CN"/>
        </w:rPr>
      </w:pPr>
    </w:p>
    <w:p w14:paraId="76411D0C">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eastAsia="仿宋_GB2312"/>
          <w:sz w:val="28"/>
          <w:szCs w:val="28"/>
          <w:lang w:val="en-US" w:eastAsia="zh-CN"/>
        </w:rPr>
      </w:pPr>
      <w:r>
        <w:rPr>
          <w:rFonts w:hint="eastAsia" w:ascii="仿宋_GB2312" w:eastAsia="仿宋_GB2312"/>
          <w:b/>
          <w:bCs/>
          <w:color w:val="00B0F0"/>
          <w:sz w:val="40"/>
          <w:szCs w:val="40"/>
          <w:lang w:val="en-US" w:eastAsia="zh-CN"/>
        </w:rPr>
        <w:t>年报公开形式：</w:t>
      </w:r>
      <w:r>
        <w:rPr>
          <w:rFonts w:hint="eastAsia" w:ascii="仿宋_GB2312" w:eastAsia="仿宋_GB2312"/>
          <w:sz w:val="40"/>
          <w:szCs w:val="40"/>
          <w:lang w:val="en-US" w:eastAsia="zh-CN"/>
        </w:rPr>
        <w:t>淄博理工学校微信公众号</w:t>
      </w:r>
    </w:p>
    <w:p w14:paraId="731CE2CE">
      <w:pPr>
        <w:keepNext w:val="0"/>
        <w:keepLines w:val="0"/>
        <w:pageBreakBefore w:val="0"/>
        <w:widowControl w:val="0"/>
        <w:kinsoku/>
        <w:wordWrap/>
        <w:overflowPunct/>
        <w:topLinePunct w:val="0"/>
        <w:autoSpaceDE/>
        <w:autoSpaceDN/>
        <w:bidi w:val="0"/>
        <w:adjustRightInd/>
        <w:snapToGrid/>
        <w:spacing w:line="560" w:lineRule="exact"/>
        <w:ind w:firstLine="1040" w:firstLineChars="200"/>
        <w:jc w:val="left"/>
        <w:textAlignment w:val="auto"/>
        <w:rPr>
          <w:rFonts w:hint="eastAsia" w:ascii="仿宋_GB2312" w:eastAsia="仿宋_GB2312"/>
          <w:color w:val="6FBDFF"/>
          <w:sz w:val="52"/>
          <w:szCs w:val="52"/>
          <w:lang w:val="en-US" w:eastAsia="zh-CN"/>
        </w:rPr>
      </w:pPr>
    </w:p>
    <w:p w14:paraId="29ACB51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ascii="仿宋_GB2312" w:eastAsia="仿宋_GB2312"/>
          <w:sz w:val="28"/>
          <w:szCs w:val="28"/>
          <w:lang w:val="en-US" w:eastAsia="zh-CN"/>
        </w:rPr>
      </w:pPr>
      <w:r>
        <w:rPr>
          <w:rFonts w:hint="eastAsia" w:ascii="仿宋_GB2312" w:eastAsia="仿宋_GB2312"/>
          <w:b/>
          <w:bCs/>
          <w:color w:val="00B0F0"/>
          <w:sz w:val="40"/>
          <w:szCs w:val="40"/>
          <w:lang w:val="en-US" w:eastAsia="zh-CN"/>
        </w:rPr>
        <w:t>年报公开地址：</w:t>
      </w:r>
      <w:r>
        <w:rPr>
          <w:rFonts w:hint="eastAsia" w:ascii="仿宋_GB2312" w:eastAsia="仿宋_GB2312"/>
          <w:sz w:val="40"/>
          <w:szCs w:val="40"/>
          <w:lang w:val="en-US" w:eastAsia="zh-CN"/>
        </w:rPr>
        <w:t>https://mp.weixin.qq.com/s/9dIFDqv4S6yLW6gYZp8BHQ</w:t>
      </w:r>
    </w:p>
    <w:p w14:paraId="0C32D1EB"/>
    <w:p w14:paraId="0214527A">
      <w:pPr>
        <w:rPr>
          <w:rFonts w:hint="eastAsia" w:ascii="黑体" w:hAnsi="黑体" w:eastAsia="黑体" w:cs="黑体"/>
          <w:b/>
          <w:bCs/>
          <w:kern w:val="0"/>
          <w:sz w:val="44"/>
          <w:szCs w:val="44"/>
          <w:lang w:eastAsia="zh-CN"/>
        </w:rPr>
      </w:pPr>
      <w:r>
        <w:drawing>
          <wp:inline distT="0" distB="0" distL="114300" distR="114300">
            <wp:extent cx="6170930" cy="8696960"/>
            <wp:effectExtent l="0" t="0" r="1270" b="508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0">
                      <a:lum contrast="12000"/>
                    </a:blip>
                    <a:srcRect l="706" t="714" r="610" b="563"/>
                    <a:stretch>
                      <a:fillRect/>
                    </a:stretch>
                  </pic:blipFill>
                  <pic:spPr>
                    <a:xfrm>
                      <a:off x="0" y="0"/>
                      <a:ext cx="6170930" cy="8696960"/>
                    </a:xfrm>
                    <a:prstGeom prst="rect">
                      <a:avLst/>
                    </a:prstGeom>
                    <a:noFill/>
                    <a:ln>
                      <a:noFill/>
                    </a:ln>
                  </pic:spPr>
                </pic:pic>
              </a:graphicData>
            </a:graphic>
          </wp:inline>
        </w:drawing>
      </w:r>
    </w:p>
    <w:p w14:paraId="50471F91">
      <w:pPr>
        <w:jc w:val="center"/>
        <w:rPr>
          <w:rFonts w:ascii="黑体" w:hAnsi="黑体" w:eastAsia="黑体" w:cs="黑体"/>
          <w:b/>
          <w:bCs/>
          <w:kern w:val="0"/>
          <w:sz w:val="44"/>
          <w:szCs w:val="44"/>
        </w:rPr>
      </w:pPr>
    </w:p>
    <w:p w14:paraId="3519CDCB">
      <w:pPr>
        <w:jc w:val="center"/>
        <w:rPr>
          <w:rFonts w:ascii="黑体" w:hAnsi="黑体" w:eastAsia="黑体" w:cs="黑体"/>
          <w:b/>
          <w:bCs/>
          <w:kern w:val="0"/>
          <w:sz w:val="44"/>
          <w:szCs w:val="44"/>
        </w:rPr>
      </w:pPr>
      <w:r>
        <w:rPr>
          <w:rFonts w:hint="eastAsia" w:ascii="黑体" w:hAnsi="黑体" w:eastAsia="黑体" w:cs="黑体"/>
          <w:b/>
          <w:bCs/>
          <w:kern w:val="0"/>
          <w:sz w:val="44"/>
          <w:szCs w:val="44"/>
        </w:rPr>
        <w:t>前    言</w:t>
      </w:r>
    </w:p>
    <w:p w14:paraId="14974F4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5B9BD5" w:themeColor="accent1"/>
          <w:sz w:val="32"/>
          <w:szCs w:val="32"/>
          <w:lang w:val="en-US" w:eastAsia="zh-CN"/>
          <w14:textFill>
            <w14:solidFill>
              <w14:schemeClr w14:val="accent1"/>
            </w14:solidFill>
          </w14:textFill>
        </w:rPr>
      </w:pPr>
      <w:r>
        <w:rPr>
          <w:rFonts w:hint="eastAsia" w:ascii="黑体" w:hAnsi="黑体" w:eastAsia="黑体" w:cs="黑体"/>
          <w:color w:val="5B9BD5" w:themeColor="accent1"/>
          <w:sz w:val="32"/>
          <w:szCs w:val="32"/>
          <w:lang w:val="en-US" w:eastAsia="zh-CN"/>
          <w14:textFill>
            <w14:solidFill>
              <w14:schemeClr w14:val="accent1"/>
            </w14:solidFill>
          </w14:textFill>
        </w:rPr>
        <w:t>学校概况：</w:t>
      </w:r>
    </w:p>
    <w:p w14:paraId="03A52D9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eastAsia="仿宋_GB2312"/>
          <w:sz w:val="28"/>
          <w:szCs w:val="28"/>
        </w:rPr>
      </w:pPr>
      <w:r>
        <w:rPr>
          <w:rFonts w:hint="eastAsia" w:ascii="仿宋_GB2312" w:eastAsia="仿宋_GB2312"/>
          <w:sz w:val="28"/>
          <w:szCs w:val="28"/>
        </w:rPr>
        <w:t>淄博理工学校是淄川区唯一一所公办中等职业学校,是首批国家级重点职业学校、全国教育系统先进集体、国家中等职业教育改革发展示范学校、山东省示范性中等职业学校、山东省首批校企一体化办学示范院校、山东省首批高水平中等职业学校项目立项建设单位，是集三年中专、初中后五年制高职教育、社区教育、开放大学、社会培训于一体的综合性职业学校。</w:t>
      </w:r>
    </w:p>
    <w:p w14:paraId="0B46F99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黑体" w:hAnsi="黑体" w:eastAsia="黑体" w:cs="黑体"/>
          <w:color w:val="5B9BD5" w:themeColor="accent1"/>
          <w:sz w:val="32"/>
          <w:szCs w:val="32"/>
          <w:lang w:val="en-US" w:eastAsia="zh-CN"/>
          <w14:textFill>
            <w14:solidFill>
              <w14:schemeClr w14:val="accent1"/>
            </w14:solidFill>
          </w14:textFill>
        </w:rPr>
      </w:pPr>
      <w:r>
        <w:rPr>
          <w:rFonts w:hint="eastAsia" w:ascii="黑体" w:hAnsi="黑体" w:eastAsia="黑体" w:cs="黑体"/>
          <w:color w:val="5B9BD5" w:themeColor="accent1"/>
          <w:sz w:val="32"/>
          <w:szCs w:val="32"/>
          <w:lang w:val="en-US" w:eastAsia="zh-CN"/>
          <w14:textFill>
            <w14:solidFill>
              <w14:schemeClr w14:val="accent1"/>
            </w14:solidFill>
          </w14:textFill>
        </w:rPr>
        <w:t>编制背景与依据：</w:t>
      </w:r>
    </w:p>
    <w:p w14:paraId="7CD7321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eastAsia="仿宋_GB2312"/>
          <w:sz w:val="28"/>
          <w:szCs w:val="28"/>
          <w:lang w:eastAsia="zh-CN"/>
        </w:rPr>
      </w:pPr>
      <w:r>
        <w:rPr>
          <w:rFonts w:hint="eastAsia" w:ascii="仿宋_GB2312" w:eastAsia="仿宋_GB2312"/>
          <w:sz w:val="28"/>
          <w:szCs w:val="28"/>
          <w:lang w:val="en-US" w:eastAsia="zh-CN"/>
        </w:rPr>
        <w:t>撰写中职学校教育质量年度报告</w:t>
      </w:r>
      <w:r>
        <w:rPr>
          <w:rFonts w:hint="eastAsia" w:ascii="仿宋_GB2312" w:eastAsia="仿宋_GB2312"/>
          <w:sz w:val="28"/>
          <w:szCs w:val="28"/>
        </w:rPr>
        <w:t>是贯彻落实《中华人民共和国职业教育法》及国家《关于推动现代职业教育高质量发展的意见》等政策法规的刚性要求，</w:t>
      </w:r>
      <w:r>
        <w:rPr>
          <w:rFonts w:hint="eastAsia" w:ascii="仿宋_GB2312" w:eastAsia="仿宋_GB2312"/>
          <w:sz w:val="28"/>
          <w:szCs w:val="28"/>
          <w:lang w:eastAsia="zh-CN"/>
        </w:rPr>
        <w:t>是</w:t>
      </w:r>
      <w:r>
        <w:rPr>
          <w:rFonts w:hint="eastAsia" w:ascii="仿宋_GB2312" w:eastAsia="仿宋_GB2312"/>
          <w:sz w:val="28"/>
          <w:szCs w:val="28"/>
        </w:rPr>
        <w:t>在我国职业教育发展进入提质培优、增值赋能新阶段的宏观背景下，为适应新时代要求、推动学校自身可持续发展而开展的一项系统性、规范性工作。其核心背景源于服务产业转型升级、回应社会关切的内外驱动，更是学校履行办学主体责任、建立自我诊断与改进机制、实现内涵式发展的内在需求。报告的编制严格依据国家与地方教育行政部门的规范性通知、职业教育国家教学标准体系，并紧密结合学校年度工作计划与发展规划，以翔实的办学数据与事实为基础，系统梳理育人成效、反思存在问题，</w:t>
      </w:r>
      <w:r>
        <w:rPr>
          <w:rFonts w:hint="eastAsia" w:ascii="仿宋_GB2312" w:eastAsia="仿宋_GB2312"/>
          <w:sz w:val="28"/>
          <w:szCs w:val="28"/>
          <w:lang w:val="en-US" w:eastAsia="zh-CN"/>
        </w:rPr>
        <w:t>为学校</w:t>
      </w:r>
      <w:r>
        <w:rPr>
          <w:rFonts w:hint="eastAsia" w:ascii="仿宋_GB2312" w:eastAsia="仿宋_GB2312"/>
          <w:sz w:val="28"/>
          <w:szCs w:val="28"/>
        </w:rPr>
        <w:t>科学决策与持续发展提供关键依据</w:t>
      </w:r>
      <w:r>
        <w:rPr>
          <w:rFonts w:hint="eastAsia" w:ascii="仿宋_GB2312" w:eastAsia="仿宋_GB2312"/>
          <w:sz w:val="28"/>
          <w:szCs w:val="28"/>
          <w:lang w:eastAsia="zh-CN"/>
        </w:rPr>
        <w:t>。</w:t>
      </w:r>
    </w:p>
    <w:p w14:paraId="3C5C6F7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黑体" w:hAnsi="黑体" w:eastAsia="黑体" w:cs="黑体"/>
          <w:color w:val="5B9BD5" w:themeColor="accent1"/>
          <w:sz w:val="32"/>
          <w:szCs w:val="32"/>
          <w:lang w:val="en-US" w:eastAsia="zh-CN"/>
          <w14:textFill>
            <w14:solidFill>
              <w14:schemeClr w14:val="accent1"/>
            </w14:solidFill>
          </w14:textFill>
        </w:rPr>
      </w:pPr>
      <w:r>
        <w:rPr>
          <w:rFonts w:hint="eastAsia" w:ascii="黑体" w:hAnsi="黑体" w:eastAsia="黑体" w:cs="黑体"/>
          <w:color w:val="5B9BD5" w:themeColor="accent1"/>
          <w:sz w:val="32"/>
          <w:szCs w:val="32"/>
          <w:lang w:val="en-US" w:eastAsia="zh-CN"/>
          <w14:textFill>
            <w14:solidFill>
              <w14:schemeClr w14:val="accent1"/>
            </w14:solidFill>
          </w14:textFill>
        </w:rPr>
        <w:t>目的与作用：</w:t>
      </w:r>
    </w:p>
    <w:p w14:paraId="18AC4C9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eastAsia="仿宋_GB2312"/>
          <w:sz w:val="28"/>
          <w:szCs w:val="28"/>
        </w:rPr>
      </w:pPr>
      <w:r>
        <w:rPr>
          <w:rFonts w:hint="eastAsia" w:ascii="仿宋_GB2312" w:eastAsia="仿宋_GB2312"/>
          <w:sz w:val="28"/>
          <w:szCs w:val="28"/>
          <w:lang w:val="en-US" w:eastAsia="zh-CN"/>
        </w:rPr>
        <w:t>中职学校教育质量年度报告的撰写是学校一次</w:t>
      </w:r>
      <w:r>
        <w:rPr>
          <w:rFonts w:hint="eastAsia" w:ascii="仿宋_GB2312" w:eastAsia="仿宋_GB2312"/>
          <w:sz w:val="28"/>
          <w:szCs w:val="28"/>
        </w:rPr>
        <w:t>系统性的自我评估与公开陈述，</w:t>
      </w:r>
      <w:r>
        <w:rPr>
          <w:rFonts w:hint="eastAsia" w:ascii="仿宋_GB2312" w:eastAsia="仿宋_GB2312"/>
          <w:sz w:val="28"/>
          <w:szCs w:val="28"/>
          <w:lang w:val="en-US" w:eastAsia="zh-CN"/>
        </w:rPr>
        <w:t>有助于学校</w:t>
      </w:r>
      <w:r>
        <w:rPr>
          <w:rFonts w:hint="eastAsia" w:ascii="仿宋_GB2312" w:eastAsia="仿宋_GB2312"/>
          <w:sz w:val="28"/>
          <w:szCs w:val="28"/>
        </w:rPr>
        <w:t>建立常态化的质量监测与改进机制。</w:t>
      </w:r>
      <w:r>
        <w:rPr>
          <w:rFonts w:hint="eastAsia" w:ascii="仿宋_GB2312" w:eastAsia="仿宋_GB2312"/>
          <w:sz w:val="28"/>
          <w:szCs w:val="28"/>
          <w:lang w:val="en-US" w:eastAsia="zh-CN"/>
        </w:rPr>
        <w:t>质量年度报告</w:t>
      </w:r>
      <w:r>
        <w:rPr>
          <w:rFonts w:hint="eastAsia" w:ascii="仿宋_GB2312" w:eastAsia="仿宋_GB2312"/>
          <w:sz w:val="28"/>
          <w:szCs w:val="28"/>
        </w:rPr>
        <w:t>系统梳理年度办学数据与成效，对照国家标准与规划进行诊断反思，为学校科学决策与内涵发展提供依据；</w:t>
      </w:r>
      <w:r>
        <w:rPr>
          <w:rFonts w:hint="eastAsia" w:ascii="仿宋_GB2312" w:eastAsia="仿宋_GB2312"/>
          <w:sz w:val="28"/>
          <w:szCs w:val="28"/>
          <w:lang w:val="en-US" w:eastAsia="zh-CN"/>
        </w:rPr>
        <w:t>同时也是学校</w:t>
      </w:r>
      <w:r>
        <w:rPr>
          <w:rFonts w:hint="eastAsia" w:ascii="仿宋_GB2312" w:eastAsia="仿宋_GB2312"/>
          <w:sz w:val="28"/>
          <w:szCs w:val="28"/>
        </w:rPr>
        <w:t>履行质量公开的法定义务，全面展示育人成果、特色与承诺，主动回应政府、行业、社会及家长等的监督与关切，增强学校公信力与吸引力</w:t>
      </w:r>
      <w:r>
        <w:rPr>
          <w:rFonts w:hint="eastAsia" w:ascii="仿宋_GB2312" w:eastAsia="仿宋_GB2312"/>
          <w:sz w:val="28"/>
          <w:szCs w:val="28"/>
          <w:lang w:eastAsia="zh-CN"/>
        </w:rPr>
        <w:t>的</w:t>
      </w:r>
      <w:r>
        <w:rPr>
          <w:rFonts w:hint="eastAsia" w:ascii="仿宋_GB2312" w:eastAsia="仿宋_GB2312"/>
          <w:sz w:val="28"/>
          <w:szCs w:val="28"/>
          <w:lang w:val="en-US" w:eastAsia="zh-CN"/>
        </w:rPr>
        <w:t>重要举措</w:t>
      </w:r>
      <w:r>
        <w:rPr>
          <w:rFonts w:hint="eastAsia" w:ascii="仿宋_GB2312" w:eastAsia="仿宋_GB2312"/>
          <w:sz w:val="28"/>
          <w:szCs w:val="28"/>
        </w:rPr>
        <w:t>，同时为区域职业教育发展提供参考，最终形成以报告促建设、以公开促发展的良性循环。</w:t>
      </w:r>
    </w:p>
    <w:p w14:paraId="5A226DE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5B9BD5" w:themeColor="accent1"/>
          <w:sz w:val="32"/>
          <w:szCs w:val="32"/>
          <w:lang w:val="en-US" w:eastAsia="zh-CN"/>
          <w14:textFill>
            <w14:solidFill>
              <w14:schemeClr w14:val="accent1"/>
            </w14:solidFill>
          </w14:textFill>
        </w:rPr>
      </w:pPr>
      <w:r>
        <w:rPr>
          <w:rFonts w:hint="eastAsia" w:ascii="黑体" w:hAnsi="黑体" w:eastAsia="黑体" w:cs="黑体"/>
          <w:color w:val="5B9BD5" w:themeColor="accent1"/>
          <w:sz w:val="32"/>
          <w:szCs w:val="32"/>
          <w:lang w:val="en-US" w:eastAsia="zh-CN"/>
          <w14:textFill>
            <w14:solidFill>
              <w14:schemeClr w14:val="accent1"/>
            </w14:solidFill>
          </w14:textFill>
        </w:rPr>
        <w:t>主要内容：</w:t>
      </w:r>
    </w:p>
    <w:p w14:paraId="5A3CE22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eastAsia="仿宋_GB2312"/>
          <w:sz w:val="28"/>
          <w:szCs w:val="28"/>
        </w:rPr>
      </w:pPr>
      <w:r>
        <w:rPr>
          <w:rFonts w:hint="eastAsia" w:ascii="仿宋_GB2312" w:eastAsia="仿宋_GB2312"/>
          <w:sz w:val="28"/>
          <w:szCs w:val="28"/>
        </w:rPr>
        <w:t>学校高度重视本次年报的撰写工作，精心组织，扎实推进。本年度报告旨在全面展示淄博理工学校在过去一年中的教育质量发展情况，包括学校人才培养、服务贡献、文化传承、国际合作、产教融合、发展保障、面临挑战等方面的内容，展示各方面的工作进展、主要成绩，总结宝贵经验，客观分析当前存在的问题与不足，并在此基础上，科学谋划新一年的发展思路与重点工作，为持续推进学校内涵式发展、办好人民满意的职业教育奠定坚实基础。</w:t>
      </w:r>
    </w:p>
    <w:p w14:paraId="7C42C178">
      <w:pPr>
        <w:spacing w:line="400" w:lineRule="exact"/>
        <w:ind w:firstLine="560" w:firstLineChars="200"/>
        <w:rPr>
          <w:rFonts w:ascii="仿宋_GB2312" w:eastAsia="仿宋_GB2312"/>
          <w:sz w:val="28"/>
          <w:szCs w:val="28"/>
        </w:rPr>
      </w:pPr>
    </w:p>
    <w:p w14:paraId="10237B78">
      <w:pPr>
        <w:spacing w:line="400" w:lineRule="exact"/>
        <w:ind w:firstLine="560" w:firstLineChars="200"/>
        <w:rPr>
          <w:rFonts w:hint="eastAsia" w:ascii="仿宋_GB2312" w:eastAsia="仿宋_GB2312"/>
          <w:sz w:val="28"/>
          <w:szCs w:val="28"/>
        </w:rPr>
        <w:sectPr>
          <w:headerReference r:id="rId3" w:type="default"/>
          <w:pgSz w:w="11906" w:h="16838"/>
          <w:pgMar w:top="1417" w:right="1417" w:bottom="1417" w:left="1417" w:header="851" w:footer="992" w:gutter="0"/>
          <w:cols w:space="425" w:num="1"/>
          <w:docGrid w:type="lines" w:linePitch="312" w:charSpace="0"/>
        </w:sectPr>
      </w:pPr>
    </w:p>
    <w:sdt>
      <w:sdtPr>
        <w:rPr>
          <w:rFonts w:hint="eastAsia" w:ascii="黑体" w:hAnsi="黑体" w:eastAsia="黑体" w:cs="黑体"/>
          <w:b/>
          <w:bCs/>
          <w:color w:val="auto"/>
          <w:kern w:val="2"/>
          <w:sz w:val="44"/>
          <w:szCs w:val="44"/>
          <w:lang w:val="zh-CN"/>
        </w:rPr>
        <w:id w:val="685480774"/>
        <w:docPartObj>
          <w:docPartGallery w:val="Table of Contents"/>
          <w:docPartUnique/>
        </w:docPartObj>
      </w:sdtPr>
      <w:sdtEndPr>
        <w:rPr>
          <w:rFonts w:hint="eastAsia" w:ascii="Times New Roman" w:hAnsi="Times New Roman" w:eastAsia="宋体" w:cs="Times New Roman"/>
          <w:b/>
          <w:bCs/>
          <w:color w:val="auto"/>
          <w:kern w:val="2"/>
          <w:sz w:val="24"/>
          <w:szCs w:val="24"/>
          <w:lang w:val="zh-CN"/>
        </w:rPr>
      </w:sdtEndPr>
      <w:sdtContent>
        <w:p w14:paraId="338B4572">
          <w:pPr>
            <w:pStyle w:val="29"/>
            <w:jc w:val="center"/>
            <w:rPr>
              <w:rFonts w:ascii="黑体" w:hAnsi="黑体" w:eastAsia="黑体" w:cs="黑体"/>
              <w:b/>
              <w:bCs/>
              <w:color w:val="auto"/>
              <w:sz w:val="44"/>
              <w:szCs w:val="44"/>
              <w:lang w:val="zh-CN"/>
            </w:rPr>
          </w:pPr>
          <w:r>
            <w:rPr>
              <w:rFonts w:hint="eastAsia" w:ascii="黑体" w:hAnsi="黑体" w:eastAsia="黑体" w:cs="黑体"/>
              <w:b/>
              <w:bCs/>
              <w:color w:val="auto"/>
              <w:sz w:val="44"/>
              <w:szCs w:val="44"/>
              <w:lang w:val="zh-CN"/>
            </w:rPr>
            <w:t>目录</w:t>
          </w:r>
        </w:p>
        <w:p w14:paraId="60F811DB">
          <w:pPr>
            <w:pStyle w:val="12"/>
            <w:tabs>
              <w:tab w:val="right" w:leader="dot" w:pos="9638"/>
            </w:tabs>
          </w:pPr>
          <w:r>
            <w:rPr>
              <w:sz w:val="28"/>
              <w:szCs w:val="28"/>
            </w:rPr>
            <w:fldChar w:fldCharType="begin"/>
          </w:r>
          <w:r>
            <w:rPr>
              <w:sz w:val="28"/>
              <w:szCs w:val="28"/>
            </w:rPr>
            <w:instrText xml:space="preserve"> TOC \o "1-3" \h \z \u </w:instrText>
          </w:r>
          <w:r>
            <w:rPr>
              <w:sz w:val="28"/>
              <w:szCs w:val="28"/>
            </w:rPr>
            <w:fldChar w:fldCharType="separate"/>
          </w:r>
          <w:r>
            <w:rPr>
              <w:sz w:val="32"/>
              <w:szCs w:val="32"/>
            </w:rPr>
            <w:fldChar w:fldCharType="begin"/>
          </w:r>
          <w:r>
            <w:rPr>
              <w:sz w:val="32"/>
              <w:szCs w:val="32"/>
            </w:rPr>
            <w:instrText xml:space="preserve"> HYPERLINK \l _Toc30861 </w:instrText>
          </w:r>
          <w:r>
            <w:rPr>
              <w:sz w:val="32"/>
              <w:szCs w:val="32"/>
            </w:rPr>
            <w:fldChar w:fldCharType="separate"/>
          </w:r>
          <w:r>
            <w:rPr>
              <w:rFonts w:hint="eastAsia" w:ascii="黑体" w:hAnsi="黑体" w:eastAsia="黑体" w:cs="Times New Roman"/>
              <w:bCs w:val="0"/>
              <w:kern w:val="44"/>
              <w:sz w:val="32"/>
              <w:szCs w:val="32"/>
              <w:lang w:val="en-US" w:eastAsia="zh-CN" w:bidi="ar-SA"/>
            </w:rPr>
            <w:t>一、</w:t>
          </w:r>
          <w:r>
            <w:rPr>
              <w:rFonts w:hint="eastAsia" w:ascii="黑体" w:hAnsi="黑体" w:eastAsia="黑体"/>
              <w:bCs w:val="0"/>
              <w:sz w:val="32"/>
              <w:szCs w:val="32"/>
              <w:lang w:val="en-US" w:eastAsia="zh-CN"/>
            </w:rPr>
            <w:t>人才培养</w:t>
          </w:r>
          <w:r>
            <w:rPr>
              <w:sz w:val="32"/>
              <w:szCs w:val="32"/>
            </w:rPr>
            <w:tab/>
          </w:r>
          <w:r>
            <w:rPr>
              <w:sz w:val="32"/>
              <w:szCs w:val="32"/>
            </w:rPr>
            <w:fldChar w:fldCharType="begin"/>
          </w:r>
          <w:r>
            <w:rPr>
              <w:sz w:val="32"/>
              <w:szCs w:val="32"/>
            </w:rPr>
            <w:instrText xml:space="preserve"> PAGEREF _Toc30861 \h </w:instrText>
          </w:r>
          <w:r>
            <w:rPr>
              <w:sz w:val="32"/>
              <w:szCs w:val="32"/>
            </w:rPr>
            <w:fldChar w:fldCharType="separate"/>
          </w:r>
          <w:r>
            <w:rPr>
              <w:sz w:val="32"/>
              <w:szCs w:val="32"/>
            </w:rPr>
            <w:t>1</w:t>
          </w:r>
          <w:r>
            <w:rPr>
              <w:sz w:val="32"/>
              <w:szCs w:val="32"/>
            </w:rPr>
            <w:fldChar w:fldCharType="end"/>
          </w:r>
          <w:r>
            <w:rPr>
              <w:sz w:val="32"/>
              <w:szCs w:val="32"/>
            </w:rPr>
            <w:fldChar w:fldCharType="end"/>
          </w:r>
        </w:p>
        <w:p w14:paraId="6098C401">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_Toc20126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一</w:t>
          </w:r>
          <w:r>
            <w:rPr>
              <w:rFonts w:hint="eastAsia" w:ascii="黑体" w:hAnsi="黑体" w:eastAsia="黑体" w:cs="黑体"/>
              <w:bCs w:val="0"/>
              <w:sz w:val="30"/>
              <w:szCs w:val="30"/>
              <w:lang w:eastAsia="zh-CN"/>
            </w:rPr>
            <w:t>）</w:t>
          </w:r>
          <w:r>
            <w:rPr>
              <w:rFonts w:hint="eastAsia" w:ascii="黑体" w:hAnsi="黑体" w:eastAsia="黑体" w:cs="黑体"/>
              <w:bCs w:val="0"/>
              <w:sz w:val="30"/>
              <w:szCs w:val="30"/>
            </w:rPr>
            <w:t>立德树人</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_Toc20126 \h </w:instrText>
          </w:r>
          <w:r>
            <w:rPr>
              <w:rFonts w:hint="eastAsia" w:ascii="黑体" w:hAnsi="黑体" w:eastAsia="黑体" w:cs="黑体"/>
              <w:sz w:val="30"/>
              <w:szCs w:val="30"/>
            </w:rPr>
            <w:fldChar w:fldCharType="separate"/>
          </w:r>
          <w:r>
            <w:rPr>
              <w:rFonts w:hint="eastAsia" w:ascii="黑体" w:hAnsi="黑体" w:eastAsia="黑体" w:cs="黑体"/>
              <w:sz w:val="30"/>
              <w:szCs w:val="30"/>
            </w:rPr>
            <w:t>2</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DD56D66">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_Toc16097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二</w:t>
          </w:r>
          <w:r>
            <w:rPr>
              <w:rFonts w:hint="eastAsia" w:ascii="黑体" w:hAnsi="黑体" w:eastAsia="黑体" w:cs="黑体"/>
              <w:bCs w:val="0"/>
              <w:sz w:val="30"/>
              <w:szCs w:val="30"/>
              <w:lang w:eastAsia="zh-CN"/>
            </w:rPr>
            <w:t>）</w:t>
          </w:r>
          <w:r>
            <w:rPr>
              <w:rFonts w:hint="eastAsia" w:ascii="黑体" w:hAnsi="黑体" w:eastAsia="黑体" w:cs="黑体"/>
              <w:bCs w:val="0"/>
              <w:sz w:val="30"/>
              <w:szCs w:val="30"/>
            </w:rPr>
            <w:t>在校体验</w:t>
          </w:r>
          <w:r>
            <w:rPr>
              <w:rFonts w:hint="eastAsia" w:ascii="黑体" w:hAnsi="黑体" w:eastAsia="黑体" w:cs="黑体"/>
              <w:bCs w:val="0"/>
              <w:sz w:val="30"/>
              <w:szCs w:val="30"/>
              <w:lang w:val="en-US" w:eastAsia="zh-CN"/>
            </w:rPr>
            <w:t>与就业质量</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_Toc16097 \h </w:instrText>
          </w:r>
          <w:r>
            <w:rPr>
              <w:rFonts w:hint="eastAsia" w:ascii="黑体" w:hAnsi="黑体" w:eastAsia="黑体" w:cs="黑体"/>
              <w:sz w:val="30"/>
              <w:szCs w:val="30"/>
            </w:rPr>
            <w:fldChar w:fldCharType="separate"/>
          </w:r>
          <w:r>
            <w:rPr>
              <w:rFonts w:hint="eastAsia" w:ascii="黑体" w:hAnsi="黑体" w:eastAsia="黑体" w:cs="黑体"/>
              <w:sz w:val="30"/>
              <w:szCs w:val="30"/>
            </w:rPr>
            <w:t>10</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628814B8">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_Toc13217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lang w:eastAsia="zh-CN"/>
            </w:rPr>
            <w:t>）</w:t>
          </w:r>
          <w:r>
            <w:rPr>
              <w:rFonts w:hint="eastAsia" w:ascii="黑体" w:hAnsi="黑体" w:eastAsia="黑体" w:cs="黑体"/>
              <w:bCs w:val="0"/>
              <w:sz w:val="30"/>
              <w:szCs w:val="30"/>
            </w:rPr>
            <w:t>创新创业</w:t>
          </w:r>
          <w:r>
            <w:rPr>
              <w:rFonts w:hint="eastAsia" w:ascii="黑体" w:hAnsi="黑体" w:eastAsia="黑体" w:cs="黑体"/>
              <w:bCs w:val="0"/>
              <w:sz w:val="30"/>
              <w:szCs w:val="30"/>
              <w:lang w:val="en-US" w:eastAsia="zh-CN"/>
            </w:rPr>
            <w:t>与技能大赛</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_Toc13217 \h </w:instrText>
          </w:r>
          <w:r>
            <w:rPr>
              <w:rFonts w:hint="eastAsia" w:ascii="黑体" w:hAnsi="黑体" w:eastAsia="黑体" w:cs="黑体"/>
              <w:sz w:val="30"/>
              <w:szCs w:val="30"/>
            </w:rPr>
            <w:fldChar w:fldCharType="separate"/>
          </w:r>
          <w:r>
            <w:rPr>
              <w:rFonts w:hint="eastAsia" w:ascii="黑体" w:hAnsi="黑体" w:eastAsia="黑体" w:cs="黑体"/>
              <w:sz w:val="30"/>
              <w:szCs w:val="30"/>
            </w:rPr>
            <w:t>14</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5EBDC932">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_Toc3407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（四）</w:t>
          </w:r>
          <w:r>
            <w:rPr>
              <w:rFonts w:hint="eastAsia" w:ascii="黑体" w:hAnsi="黑体" w:eastAsia="黑体" w:cs="黑体"/>
              <w:bCs w:val="0"/>
              <w:sz w:val="30"/>
              <w:szCs w:val="30"/>
            </w:rPr>
            <w:t>专业</w:t>
          </w:r>
          <w:r>
            <w:rPr>
              <w:rFonts w:hint="eastAsia" w:ascii="黑体" w:hAnsi="黑体" w:eastAsia="黑体" w:cs="黑体"/>
              <w:bCs w:val="0"/>
              <w:sz w:val="30"/>
              <w:szCs w:val="30"/>
              <w:lang w:val="en-US" w:eastAsia="zh-CN"/>
            </w:rPr>
            <w:t>与课程</w:t>
          </w:r>
          <w:r>
            <w:rPr>
              <w:rFonts w:hint="eastAsia" w:ascii="黑体" w:hAnsi="黑体" w:eastAsia="黑体" w:cs="黑体"/>
              <w:bCs w:val="0"/>
              <w:sz w:val="30"/>
              <w:szCs w:val="30"/>
            </w:rPr>
            <w:t>建设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_Toc3407 \h </w:instrText>
          </w:r>
          <w:r>
            <w:rPr>
              <w:rFonts w:hint="eastAsia" w:ascii="黑体" w:hAnsi="黑体" w:eastAsia="黑体" w:cs="黑体"/>
              <w:sz w:val="30"/>
              <w:szCs w:val="30"/>
            </w:rPr>
            <w:fldChar w:fldCharType="separate"/>
          </w:r>
          <w:r>
            <w:rPr>
              <w:rFonts w:hint="eastAsia" w:ascii="黑体" w:hAnsi="黑体" w:eastAsia="黑体" w:cs="黑体"/>
              <w:sz w:val="30"/>
              <w:szCs w:val="30"/>
            </w:rPr>
            <w:t>19</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5231B430">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_Toc12825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（五）</w:t>
          </w:r>
          <w:r>
            <w:rPr>
              <w:rFonts w:hint="eastAsia" w:ascii="黑体" w:hAnsi="黑体" w:eastAsia="黑体" w:cs="黑体"/>
              <w:bCs w:val="0"/>
              <w:sz w:val="30"/>
              <w:szCs w:val="30"/>
            </w:rPr>
            <w:t>教学改革</w:t>
          </w:r>
          <w:r>
            <w:rPr>
              <w:rFonts w:hint="eastAsia" w:ascii="黑体" w:hAnsi="黑体" w:eastAsia="黑体" w:cs="黑体"/>
              <w:bCs w:val="0"/>
              <w:sz w:val="30"/>
              <w:szCs w:val="30"/>
              <w:lang w:val="en-US" w:eastAsia="zh-CN"/>
            </w:rPr>
            <w:t>与教材建设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_Toc12825 \h </w:instrText>
          </w:r>
          <w:r>
            <w:rPr>
              <w:rFonts w:hint="eastAsia" w:ascii="黑体" w:hAnsi="黑体" w:eastAsia="黑体" w:cs="黑体"/>
              <w:sz w:val="30"/>
              <w:szCs w:val="30"/>
            </w:rPr>
            <w:fldChar w:fldCharType="separate"/>
          </w:r>
          <w:r>
            <w:rPr>
              <w:rFonts w:hint="eastAsia" w:ascii="黑体" w:hAnsi="黑体" w:eastAsia="黑体" w:cs="黑体"/>
              <w:sz w:val="30"/>
              <w:szCs w:val="30"/>
            </w:rPr>
            <w:t>23</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BFF9BB4">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_Toc21329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（六）</w:t>
          </w:r>
          <w:r>
            <w:rPr>
              <w:rFonts w:hint="eastAsia" w:ascii="黑体" w:hAnsi="黑体" w:eastAsia="黑体" w:cs="黑体"/>
              <w:bCs w:val="0"/>
              <w:sz w:val="30"/>
              <w:szCs w:val="30"/>
            </w:rPr>
            <w:t>人才培养模式改革</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_Toc21329 \h </w:instrText>
          </w:r>
          <w:r>
            <w:rPr>
              <w:rFonts w:hint="eastAsia" w:ascii="黑体" w:hAnsi="黑体" w:eastAsia="黑体" w:cs="黑体"/>
              <w:sz w:val="30"/>
              <w:szCs w:val="30"/>
            </w:rPr>
            <w:fldChar w:fldCharType="separate"/>
          </w:r>
          <w:r>
            <w:rPr>
              <w:rFonts w:hint="eastAsia" w:ascii="黑体" w:hAnsi="黑体" w:eastAsia="黑体" w:cs="黑体"/>
              <w:sz w:val="30"/>
              <w:szCs w:val="30"/>
            </w:rPr>
            <w:t>29</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4448DBB3">
          <w:pPr>
            <w:pStyle w:val="12"/>
            <w:tabs>
              <w:tab w:val="right" w:leader="dot" w:pos="9638"/>
            </w:tabs>
            <w:rPr>
              <w:rFonts w:hint="eastAsia" w:ascii="黑体" w:hAnsi="黑体" w:eastAsia="黑体" w:cs="黑体"/>
              <w:sz w:val="32"/>
              <w:szCs w:val="32"/>
            </w:rPr>
          </w:pPr>
          <w:r>
            <w:rPr>
              <w:rFonts w:hint="eastAsia" w:ascii="黑体" w:hAnsi="黑体" w:eastAsia="黑体" w:cs="黑体"/>
              <w:sz w:val="32"/>
              <w:szCs w:val="32"/>
              <w:lang w:val="zh-CN"/>
            </w:rPr>
            <w:fldChar w:fldCharType="begin"/>
          </w:r>
          <w:r>
            <w:rPr>
              <w:rFonts w:hint="eastAsia" w:ascii="黑体" w:hAnsi="黑体" w:eastAsia="黑体" w:cs="黑体"/>
              <w:sz w:val="32"/>
              <w:szCs w:val="32"/>
              <w:lang w:val="zh-CN"/>
            </w:rPr>
            <w:instrText xml:space="preserve"> HYPERLINK \l _Toc29597 </w:instrText>
          </w:r>
          <w:r>
            <w:rPr>
              <w:rFonts w:hint="eastAsia" w:ascii="黑体" w:hAnsi="黑体" w:eastAsia="黑体" w:cs="黑体"/>
              <w:sz w:val="32"/>
              <w:szCs w:val="32"/>
              <w:lang w:val="zh-CN"/>
            </w:rPr>
            <w:fldChar w:fldCharType="separate"/>
          </w:r>
          <w:r>
            <w:rPr>
              <w:rFonts w:hint="eastAsia" w:ascii="黑体" w:hAnsi="黑体" w:eastAsia="黑体" w:cs="黑体"/>
              <w:sz w:val="32"/>
              <w:szCs w:val="32"/>
              <w:lang w:val="en-US" w:eastAsia="zh-CN"/>
            </w:rPr>
            <w:t>二、服务贡献</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_Toc29597 \h </w:instrText>
          </w:r>
          <w:r>
            <w:rPr>
              <w:rFonts w:hint="eastAsia" w:ascii="黑体" w:hAnsi="黑体" w:eastAsia="黑体" w:cs="黑体"/>
              <w:sz w:val="32"/>
              <w:szCs w:val="32"/>
            </w:rPr>
            <w:fldChar w:fldCharType="separate"/>
          </w:r>
          <w:r>
            <w:rPr>
              <w:rFonts w:hint="eastAsia" w:ascii="黑体" w:hAnsi="黑体" w:eastAsia="黑体" w:cs="黑体"/>
              <w:sz w:val="32"/>
              <w:szCs w:val="32"/>
            </w:rPr>
            <w:t>31</w:t>
          </w:r>
          <w:r>
            <w:rPr>
              <w:rFonts w:hint="eastAsia" w:ascii="黑体" w:hAnsi="黑体" w:eastAsia="黑体" w:cs="黑体"/>
              <w:sz w:val="32"/>
              <w:szCs w:val="32"/>
            </w:rPr>
            <w:fldChar w:fldCharType="end"/>
          </w:r>
          <w:r>
            <w:rPr>
              <w:rFonts w:hint="eastAsia" w:ascii="黑体" w:hAnsi="黑体" w:eastAsia="黑体" w:cs="黑体"/>
              <w:sz w:val="32"/>
              <w:szCs w:val="32"/>
              <w:lang w:val="zh-CN"/>
            </w:rPr>
            <w:fldChar w:fldCharType="end"/>
          </w:r>
        </w:p>
        <w:p w14:paraId="2DCAF85D">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_Toc2769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（一）</w:t>
          </w:r>
          <w:r>
            <w:rPr>
              <w:rFonts w:hint="eastAsia" w:ascii="黑体" w:hAnsi="黑体" w:eastAsia="黑体" w:cs="黑体"/>
              <w:bCs w:val="0"/>
              <w:sz w:val="30"/>
              <w:szCs w:val="30"/>
            </w:rPr>
            <w:t>服务行业企业</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_Toc2769 \h </w:instrText>
          </w:r>
          <w:r>
            <w:rPr>
              <w:rFonts w:hint="eastAsia" w:ascii="黑体" w:hAnsi="黑体" w:eastAsia="黑体" w:cs="黑体"/>
              <w:sz w:val="30"/>
              <w:szCs w:val="30"/>
            </w:rPr>
            <w:fldChar w:fldCharType="separate"/>
          </w:r>
          <w:r>
            <w:rPr>
              <w:rFonts w:hint="eastAsia" w:ascii="黑体" w:hAnsi="黑体" w:eastAsia="黑体" w:cs="黑体"/>
              <w:sz w:val="30"/>
              <w:szCs w:val="30"/>
            </w:rPr>
            <w:t>31</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73250782">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_Toc4583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（二）</w:t>
          </w:r>
          <w:r>
            <w:rPr>
              <w:rFonts w:hint="eastAsia" w:ascii="黑体" w:hAnsi="黑体" w:eastAsia="黑体" w:cs="黑体"/>
              <w:bCs w:val="0"/>
              <w:sz w:val="30"/>
              <w:szCs w:val="30"/>
            </w:rPr>
            <w:t>服务地方发展</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_Toc4583 \h </w:instrText>
          </w:r>
          <w:r>
            <w:rPr>
              <w:rFonts w:hint="eastAsia" w:ascii="黑体" w:hAnsi="黑体" w:eastAsia="黑体" w:cs="黑体"/>
              <w:sz w:val="30"/>
              <w:szCs w:val="30"/>
            </w:rPr>
            <w:fldChar w:fldCharType="separate"/>
          </w:r>
          <w:r>
            <w:rPr>
              <w:rFonts w:hint="eastAsia" w:ascii="黑体" w:hAnsi="黑体" w:eastAsia="黑体" w:cs="黑体"/>
              <w:sz w:val="30"/>
              <w:szCs w:val="30"/>
            </w:rPr>
            <w:t>32</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5F32E4C1">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_Toc12163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rPr>
            <w:t>服务乡村振兴</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_Toc12163 \h </w:instrText>
          </w:r>
          <w:r>
            <w:rPr>
              <w:rFonts w:hint="eastAsia" w:ascii="黑体" w:hAnsi="黑体" w:eastAsia="黑体" w:cs="黑体"/>
              <w:sz w:val="30"/>
              <w:szCs w:val="30"/>
            </w:rPr>
            <w:fldChar w:fldCharType="separate"/>
          </w:r>
          <w:r>
            <w:rPr>
              <w:rFonts w:hint="eastAsia" w:ascii="黑体" w:hAnsi="黑体" w:eastAsia="黑体" w:cs="黑体"/>
              <w:sz w:val="30"/>
              <w:szCs w:val="30"/>
            </w:rPr>
            <w:t>33</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02C9A9AF">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_Toc13131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（四）</w:t>
          </w:r>
          <w:r>
            <w:rPr>
              <w:rFonts w:hint="eastAsia" w:ascii="黑体" w:hAnsi="黑体" w:eastAsia="黑体" w:cs="黑体"/>
              <w:bCs w:val="0"/>
              <w:sz w:val="30"/>
              <w:szCs w:val="30"/>
            </w:rPr>
            <w:t>服务地方社区</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_Toc13131 \h </w:instrText>
          </w:r>
          <w:r>
            <w:rPr>
              <w:rFonts w:hint="eastAsia" w:ascii="黑体" w:hAnsi="黑体" w:eastAsia="黑体" w:cs="黑体"/>
              <w:sz w:val="30"/>
              <w:szCs w:val="30"/>
            </w:rPr>
            <w:fldChar w:fldCharType="separate"/>
          </w:r>
          <w:r>
            <w:rPr>
              <w:rFonts w:hint="eastAsia" w:ascii="黑体" w:hAnsi="黑体" w:eastAsia="黑体" w:cs="黑体"/>
              <w:sz w:val="30"/>
              <w:szCs w:val="30"/>
            </w:rPr>
            <w:t>34</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4D4F35D3">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_Toc29620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（五）</w:t>
          </w:r>
          <w:r>
            <w:rPr>
              <w:rFonts w:hint="eastAsia" w:ascii="黑体" w:hAnsi="黑体" w:eastAsia="黑体" w:cs="黑体"/>
              <w:bCs w:val="0"/>
              <w:sz w:val="30"/>
              <w:szCs w:val="30"/>
            </w:rPr>
            <w:t>具有地域特色的服务</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_Toc29620 \h </w:instrText>
          </w:r>
          <w:r>
            <w:rPr>
              <w:rFonts w:hint="eastAsia" w:ascii="黑体" w:hAnsi="黑体" w:eastAsia="黑体" w:cs="黑体"/>
              <w:sz w:val="30"/>
              <w:szCs w:val="30"/>
            </w:rPr>
            <w:fldChar w:fldCharType="separate"/>
          </w:r>
          <w:r>
            <w:rPr>
              <w:rFonts w:hint="eastAsia" w:ascii="黑体" w:hAnsi="黑体" w:eastAsia="黑体" w:cs="黑体"/>
              <w:sz w:val="30"/>
              <w:szCs w:val="30"/>
            </w:rPr>
            <w:t>36</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67303D74">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_Toc19141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（六）</w:t>
          </w:r>
          <w:r>
            <w:rPr>
              <w:rFonts w:hint="eastAsia" w:ascii="黑体" w:hAnsi="黑体" w:eastAsia="黑体" w:cs="黑体"/>
              <w:bCs w:val="0"/>
              <w:sz w:val="30"/>
              <w:szCs w:val="30"/>
            </w:rPr>
            <w:t>具有本校特色的服务</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_Toc19141 \h </w:instrText>
          </w:r>
          <w:r>
            <w:rPr>
              <w:rFonts w:hint="eastAsia" w:ascii="黑体" w:hAnsi="黑体" w:eastAsia="黑体" w:cs="黑体"/>
              <w:sz w:val="30"/>
              <w:szCs w:val="30"/>
            </w:rPr>
            <w:fldChar w:fldCharType="separate"/>
          </w:r>
          <w:r>
            <w:rPr>
              <w:rFonts w:hint="eastAsia" w:ascii="黑体" w:hAnsi="黑体" w:eastAsia="黑体" w:cs="黑体"/>
              <w:sz w:val="30"/>
              <w:szCs w:val="30"/>
            </w:rPr>
            <w:t>38</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27201624">
          <w:pPr>
            <w:pStyle w:val="12"/>
            <w:tabs>
              <w:tab w:val="right" w:leader="dot" w:pos="9638"/>
            </w:tabs>
          </w:pPr>
          <w:r>
            <w:rPr>
              <w:rFonts w:hint="eastAsia" w:ascii="黑体" w:hAnsi="黑体" w:eastAsia="黑体" w:cs="黑体"/>
              <w:bCs/>
              <w:sz w:val="32"/>
              <w:szCs w:val="32"/>
              <w:lang w:val="zh-CN"/>
            </w:rPr>
            <w:fldChar w:fldCharType="begin"/>
          </w:r>
          <w:r>
            <w:rPr>
              <w:rFonts w:hint="eastAsia" w:ascii="黑体" w:hAnsi="黑体" w:eastAsia="黑体" w:cs="黑体"/>
              <w:bCs/>
              <w:sz w:val="32"/>
              <w:szCs w:val="32"/>
              <w:lang w:val="zh-CN"/>
            </w:rPr>
            <w:instrText xml:space="preserve"> HYPERLINK \l _Toc4954 </w:instrText>
          </w:r>
          <w:r>
            <w:rPr>
              <w:rFonts w:hint="eastAsia" w:ascii="黑体" w:hAnsi="黑体" w:eastAsia="黑体" w:cs="黑体"/>
              <w:bCs/>
              <w:sz w:val="32"/>
              <w:szCs w:val="32"/>
              <w:lang w:val="zh-CN"/>
            </w:rPr>
            <w:fldChar w:fldCharType="separate"/>
          </w:r>
          <w:r>
            <w:rPr>
              <w:rFonts w:hint="eastAsia" w:ascii="黑体" w:hAnsi="黑体" w:eastAsia="黑体" w:cs="黑体"/>
              <w:bCs/>
              <w:sz w:val="32"/>
              <w:szCs w:val="32"/>
              <w:lang w:val="en-US" w:eastAsia="zh-CN"/>
            </w:rPr>
            <w:t>三</w:t>
          </w:r>
          <w:r>
            <w:rPr>
              <w:rFonts w:hint="eastAsia" w:ascii="黑体" w:hAnsi="黑体" w:eastAsia="黑体" w:cs="黑体"/>
              <w:bCs/>
              <w:sz w:val="32"/>
              <w:szCs w:val="32"/>
              <w:lang w:eastAsia="zh-CN"/>
            </w:rPr>
            <w:t>、</w:t>
          </w:r>
          <w:r>
            <w:rPr>
              <w:rFonts w:hint="eastAsia" w:ascii="黑体" w:hAnsi="黑体" w:eastAsia="黑体" w:cs="黑体"/>
              <w:bCs/>
              <w:sz w:val="32"/>
              <w:szCs w:val="32"/>
            </w:rPr>
            <w:t>文化传承</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_Toc4954 \h </w:instrText>
          </w:r>
          <w:r>
            <w:rPr>
              <w:rFonts w:hint="eastAsia" w:ascii="黑体" w:hAnsi="黑体" w:eastAsia="黑体" w:cs="黑体"/>
              <w:sz w:val="32"/>
              <w:szCs w:val="32"/>
            </w:rPr>
            <w:fldChar w:fldCharType="separate"/>
          </w:r>
          <w:r>
            <w:rPr>
              <w:rFonts w:hint="eastAsia" w:ascii="黑体" w:hAnsi="黑体" w:eastAsia="黑体" w:cs="黑体"/>
              <w:sz w:val="32"/>
              <w:szCs w:val="32"/>
            </w:rPr>
            <w:t>40</w:t>
          </w:r>
          <w:r>
            <w:rPr>
              <w:rFonts w:hint="eastAsia" w:ascii="黑体" w:hAnsi="黑体" w:eastAsia="黑体" w:cs="黑体"/>
              <w:sz w:val="32"/>
              <w:szCs w:val="32"/>
            </w:rPr>
            <w:fldChar w:fldCharType="end"/>
          </w:r>
          <w:r>
            <w:rPr>
              <w:rFonts w:hint="eastAsia" w:ascii="黑体" w:hAnsi="黑体" w:eastAsia="黑体" w:cs="黑体"/>
              <w:bCs/>
              <w:sz w:val="32"/>
              <w:szCs w:val="32"/>
              <w:lang w:val="zh-CN"/>
            </w:rPr>
            <w:fldChar w:fldCharType="end"/>
          </w:r>
        </w:p>
        <w:p w14:paraId="664B343F">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_Toc22471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（一）工匠精神</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_Toc22471 \h </w:instrText>
          </w:r>
          <w:r>
            <w:rPr>
              <w:rFonts w:hint="eastAsia" w:ascii="黑体" w:hAnsi="黑体" w:eastAsia="黑体" w:cs="黑体"/>
              <w:sz w:val="30"/>
              <w:szCs w:val="30"/>
            </w:rPr>
            <w:fldChar w:fldCharType="separate"/>
          </w:r>
          <w:r>
            <w:rPr>
              <w:rFonts w:hint="eastAsia" w:ascii="黑体" w:hAnsi="黑体" w:eastAsia="黑体" w:cs="黑体"/>
              <w:sz w:val="30"/>
              <w:szCs w:val="30"/>
            </w:rPr>
            <w:t>41</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1EF4F98">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_Toc12177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（二）红色基因</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_Toc12177 \h </w:instrText>
          </w:r>
          <w:r>
            <w:rPr>
              <w:rFonts w:hint="eastAsia" w:ascii="黑体" w:hAnsi="黑体" w:eastAsia="黑体" w:cs="黑体"/>
              <w:sz w:val="30"/>
              <w:szCs w:val="30"/>
            </w:rPr>
            <w:fldChar w:fldCharType="separate"/>
          </w:r>
          <w:r>
            <w:rPr>
              <w:rFonts w:hint="eastAsia" w:ascii="黑体" w:hAnsi="黑体" w:eastAsia="黑体" w:cs="黑体"/>
              <w:sz w:val="30"/>
              <w:szCs w:val="30"/>
            </w:rPr>
            <w:t>42</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7AE64DDC">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_Toc31062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传统文化</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_Toc31062 \h </w:instrText>
          </w:r>
          <w:r>
            <w:rPr>
              <w:rFonts w:hint="eastAsia" w:ascii="黑体" w:hAnsi="黑体" w:eastAsia="黑体" w:cs="黑体"/>
              <w:sz w:val="30"/>
              <w:szCs w:val="30"/>
            </w:rPr>
            <w:fldChar w:fldCharType="separate"/>
          </w:r>
          <w:r>
            <w:rPr>
              <w:rFonts w:hint="eastAsia" w:ascii="黑体" w:hAnsi="黑体" w:eastAsia="黑体" w:cs="黑体"/>
              <w:sz w:val="30"/>
              <w:szCs w:val="30"/>
            </w:rPr>
            <w:t>43</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6709374D">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_Toc32240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（四）学校特色文化</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_Toc32240 \h </w:instrText>
          </w:r>
          <w:r>
            <w:rPr>
              <w:rFonts w:hint="eastAsia" w:ascii="黑体" w:hAnsi="黑体" w:eastAsia="黑体" w:cs="黑体"/>
              <w:sz w:val="30"/>
              <w:szCs w:val="30"/>
            </w:rPr>
            <w:fldChar w:fldCharType="separate"/>
          </w:r>
          <w:r>
            <w:rPr>
              <w:rFonts w:hint="eastAsia" w:ascii="黑体" w:hAnsi="黑体" w:eastAsia="黑体" w:cs="黑体"/>
              <w:sz w:val="30"/>
              <w:szCs w:val="30"/>
            </w:rPr>
            <w:t>46</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3A9CC514">
          <w:pPr>
            <w:pStyle w:val="12"/>
            <w:tabs>
              <w:tab w:val="right" w:leader="dot" w:pos="9638"/>
            </w:tabs>
          </w:pPr>
          <w:r>
            <w:rPr>
              <w:rFonts w:hint="eastAsia" w:ascii="黑体" w:hAnsi="黑体" w:eastAsia="黑体" w:cs="黑体"/>
              <w:bCs/>
              <w:sz w:val="32"/>
              <w:szCs w:val="32"/>
              <w:lang w:val="zh-CN"/>
            </w:rPr>
            <w:fldChar w:fldCharType="begin"/>
          </w:r>
          <w:r>
            <w:rPr>
              <w:rFonts w:hint="eastAsia" w:ascii="黑体" w:hAnsi="黑体" w:eastAsia="黑体" w:cs="黑体"/>
              <w:bCs/>
              <w:sz w:val="32"/>
              <w:szCs w:val="32"/>
              <w:lang w:val="zh-CN"/>
            </w:rPr>
            <w:instrText xml:space="preserve"> HYPERLINK \l _Toc25159 </w:instrText>
          </w:r>
          <w:r>
            <w:rPr>
              <w:rFonts w:hint="eastAsia" w:ascii="黑体" w:hAnsi="黑体" w:eastAsia="黑体" w:cs="黑体"/>
              <w:bCs/>
              <w:sz w:val="32"/>
              <w:szCs w:val="32"/>
              <w:lang w:val="zh-CN"/>
            </w:rPr>
            <w:fldChar w:fldCharType="separate"/>
          </w:r>
          <w:r>
            <w:rPr>
              <w:rFonts w:hint="eastAsia" w:ascii="黑体" w:hAnsi="黑体" w:eastAsia="黑体" w:cs="黑体"/>
              <w:bCs/>
              <w:kern w:val="44"/>
              <w:sz w:val="32"/>
              <w:szCs w:val="32"/>
              <w:lang w:val="en-US" w:eastAsia="zh-CN" w:bidi="ar-SA"/>
            </w:rPr>
            <w:t>四、</w:t>
          </w:r>
          <w:r>
            <w:rPr>
              <w:rFonts w:hint="eastAsia" w:ascii="黑体" w:hAnsi="黑体" w:eastAsia="黑体" w:cs="黑体"/>
              <w:bCs/>
              <w:sz w:val="32"/>
              <w:szCs w:val="32"/>
            </w:rPr>
            <w:t>国际合作质量</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_Toc25159 \h </w:instrText>
          </w:r>
          <w:r>
            <w:rPr>
              <w:rFonts w:hint="eastAsia" w:ascii="黑体" w:hAnsi="黑体" w:eastAsia="黑体" w:cs="黑体"/>
              <w:sz w:val="32"/>
              <w:szCs w:val="32"/>
            </w:rPr>
            <w:fldChar w:fldCharType="separate"/>
          </w:r>
          <w:r>
            <w:rPr>
              <w:rFonts w:hint="eastAsia" w:ascii="黑体" w:hAnsi="黑体" w:eastAsia="黑体" w:cs="黑体"/>
              <w:sz w:val="32"/>
              <w:szCs w:val="32"/>
            </w:rPr>
            <w:t>49</w:t>
          </w:r>
          <w:r>
            <w:rPr>
              <w:rFonts w:hint="eastAsia" w:ascii="黑体" w:hAnsi="黑体" w:eastAsia="黑体" w:cs="黑体"/>
              <w:sz w:val="32"/>
              <w:szCs w:val="32"/>
            </w:rPr>
            <w:fldChar w:fldCharType="end"/>
          </w:r>
          <w:r>
            <w:rPr>
              <w:rFonts w:hint="eastAsia" w:ascii="黑体" w:hAnsi="黑体" w:eastAsia="黑体" w:cs="黑体"/>
              <w:bCs/>
              <w:sz w:val="32"/>
              <w:szCs w:val="32"/>
              <w:lang w:val="zh-CN"/>
            </w:rPr>
            <w:fldChar w:fldCharType="end"/>
          </w:r>
        </w:p>
        <w:p w14:paraId="666516F1">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_Toc29747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（一）合作办学</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_Toc29747 \h </w:instrText>
          </w:r>
          <w:r>
            <w:rPr>
              <w:rFonts w:hint="eastAsia" w:ascii="黑体" w:hAnsi="黑体" w:eastAsia="黑体" w:cs="黑体"/>
              <w:sz w:val="30"/>
              <w:szCs w:val="30"/>
            </w:rPr>
            <w:fldChar w:fldCharType="separate"/>
          </w:r>
          <w:r>
            <w:rPr>
              <w:rFonts w:hint="eastAsia" w:ascii="黑体" w:hAnsi="黑体" w:eastAsia="黑体" w:cs="黑体"/>
              <w:sz w:val="30"/>
              <w:szCs w:val="30"/>
            </w:rPr>
            <w:t>49</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BD9DD56">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_Toc16389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（二）国际素养提升</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_Toc16389 \h </w:instrText>
          </w:r>
          <w:r>
            <w:rPr>
              <w:rFonts w:hint="eastAsia" w:ascii="黑体" w:hAnsi="黑体" w:eastAsia="黑体" w:cs="黑体"/>
              <w:sz w:val="30"/>
              <w:szCs w:val="30"/>
            </w:rPr>
            <w:fldChar w:fldCharType="separate"/>
          </w:r>
          <w:r>
            <w:rPr>
              <w:rFonts w:hint="eastAsia" w:ascii="黑体" w:hAnsi="黑体" w:eastAsia="黑体" w:cs="黑体"/>
              <w:sz w:val="30"/>
              <w:szCs w:val="30"/>
            </w:rPr>
            <w:t>49</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358219A6">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_Toc18240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（三）交流互鉴</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_Toc18240 \h </w:instrText>
          </w:r>
          <w:r>
            <w:rPr>
              <w:rFonts w:hint="eastAsia" w:ascii="黑体" w:hAnsi="黑体" w:eastAsia="黑体" w:cs="黑体"/>
              <w:sz w:val="30"/>
              <w:szCs w:val="30"/>
            </w:rPr>
            <w:fldChar w:fldCharType="separate"/>
          </w:r>
          <w:r>
            <w:rPr>
              <w:rFonts w:hint="eastAsia" w:ascii="黑体" w:hAnsi="黑体" w:eastAsia="黑体" w:cs="黑体"/>
              <w:sz w:val="30"/>
              <w:szCs w:val="30"/>
            </w:rPr>
            <w:t>50</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28F91BFF">
          <w:pPr>
            <w:pStyle w:val="12"/>
            <w:tabs>
              <w:tab w:val="right" w:leader="dot" w:pos="9638"/>
            </w:tabs>
          </w:pPr>
          <w:r>
            <w:rPr>
              <w:rFonts w:hint="eastAsia" w:ascii="黑体" w:hAnsi="黑体" w:eastAsia="黑体" w:cs="黑体"/>
              <w:bCs/>
              <w:sz w:val="32"/>
              <w:szCs w:val="32"/>
              <w:lang w:val="zh-CN"/>
            </w:rPr>
            <w:fldChar w:fldCharType="begin"/>
          </w:r>
          <w:r>
            <w:rPr>
              <w:rFonts w:hint="eastAsia" w:ascii="黑体" w:hAnsi="黑体" w:eastAsia="黑体" w:cs="黑体"/>
              <w:bCs/>
              <w:sz w:val="32"/>
              <w:szCs w:val="32"/>
              <w:lang w:val="zh-CN"/>
            </w:rPr>
            <w:instrText xml:space="preserve"> HYPERLINK \l _Toc25983 </w:instrText>
          </w:r>
          <w:r>
            <w:rPr>
              <w:rFonts w:hint="eastAsia" w:ascii="黑体" w:hAnsi="黑体" w:eastAsia="黑体" w:cs="黑体"/>
              <w:bCs/>
              <w:sz w:val="32"/>
              <w:szCs w:val="32"/>
              <w:lang w:val="zh-CN"/>
            </w:rPr>
            <w:fldChar w:fldCharType="separate"/>
          </w:r>
          <w:r>
            <w:rPr>
              <w:rFonts w:hint="eastAsia" w:ascii="黑体" w:hAnsi="黑体" w:eastAsia="黑体" w:cs="黑体"/>
              <w:bCs/>
              <w:sz w:val="32"/>
              <w:szCs w:val="32"/>
              <w:lang w:val="en-US" w:eastAsia="zh-CN"/>
            </w:rPr>
            <w:t>五、产教融合</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_Toc25983 \h </w:instrText>
          </w:r>
          <w:r>
            <w:rPr>
              <w:rFonts w:hint="eastAsia" w:ascii="黑体" w:hAnsi="黑体" w:eastAsia="黑体" w:cs="黑体"/>
              <w:sz w:val="32"/>
              <w:szCs w:val="32"/>
            </w:rPr>
            <w:fldChar w:fldCharType="separate"/>
          </w:r>
          <w:r>
            <w:rPr>
              <w:rFonts w:hint="eastAsia" w:ascii="黑体" w:hAnsi="黑体" w:eastAsia="黑体" w:cs="黑体"/>
              <w:sz w:val="32"/>
              <w:szCs w:val="32"/>
            </w:rPr>
            <w:t>51</w:t>
          </w:r>
          <w:r>
            <w:rPr>
              <w:rFonts w:hint="eastAsia" w:ascii="黑体" w:hAnsi="黑体" w:eastAsia="黑体" w:cs="黑体"/>
              <w:sz w:val="32"/>
              <w:szCs w:val="32"/>
            </w:rPr>
            <w:fldChar w:fldCharType="end"/>
          </w:r>
          <w:r>
            <w:rPr>
              <w:rFonts w:hint="eastAsia" w:ascii="黑体" w:hAnsi="黑体" w:eastAsia="黑体" w:cs="黑体"/>
              <w:bCs/>
              <w:sz w:val="32"/>
              <w:szCs w:val="32"/>
              <w:lang w:val="zh-CN"/>
            </w:rPr>
            <w:fldChar w:fldCharType="end"/>
          </w:r>
        </w:p>
        <w:p w14:paraId="05E68FCF">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_Toc23411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（一）产教融合机制</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_Toc23411 \h </w:instrText>
          </w:r>
          <w:r>
            <w:rPr>
              <w:rFonts w:hint="eastAsia" w:ascii="黑体" w:hAnsi="黑体" w:eastAsia="黑体" w:cs="黑体"/>
              <w:sz w:val="30"/>
              <w:szCs w:val="30"/>
            </w:rPr>
            <w:fldChar w:fldCharType="separate"/>
          </w:r>
          <w:r>
            <w:rPr>
              <w:rFonts w:hint="eastAsia" w:ascii="黑体" w:hAnsi="黑体" w:eastAsia="黑体" w:cs="黑体"/>
              <w:sz w:val="30"/>
              <w:szCs w:val="30"/>
            </w:rPr>
            <w:t>51</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5BA8C01D">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_Toc17725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（二）校企双元育人</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_Toc17725 \h </w:instrText>
          </w:r>
          <w:r>
            <w:rPr>
              <w:rFonts w:hint="eastAsia" w:ascii="黑体" w:hAnsi="黑体" w:eastAsia="黑体" w:cs="黑体"/>
              <w:sz w:val="30"/>
              <w:szCs w:val="30"/>
            </w:rPr>
            <w:fldChar w:fldCharType="separate"/>
          </w:r>
          <w:r>
            <w:rPr>
              <w:rFonts w:hint="eastAsia" w:ascii="黑体" w:hAnsi="黑体" w:eastAsia="黑体" w:cs="黑体"/>
              <w:sz w:val="30"/>
              <w:szCs w:val="30"/>
            </w:rPr>
            <w:t>54</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083F1207">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_Toc7579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rPr>
            <w:t>“双师型”教师培养</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_Toc7579 \h </w:instrText>
          </w:r>
          <w:r>
            <w:rPr>
              <w:rFonts w:hint="eastAsia" w:ascii="黑体" w:hAnsi="黑体" w:eastAsia="黑体" w:cs="黑体"/>
              <w:sz w:val="30"/>
              <w:szCs w:val="30"/>
            </w:rPr>
            <w:fldChar w:fldCharType="separate"/>
          </w:r>
          <w:r>
            <w:rPr>
              <w:rFonts w:hint="eastAsia" w:ascii="黑体" w:hAnsi="黑体" w:eastAsia="黑体" w:cs="黑体"/>
              <w:sz w:val="30"/>
              <w:szCs w:val="30"/>
            </w:rPr>
            <w:t>57</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36029C9E">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_Toc10556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（四）产业学院建设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_Toc10556 \h </w:instrText>
          </w:r>
          <w:r>
            <w:rPr>
              <w:rFonts w:hint="eastAsia" w:ascii="黑体" w:hAnsi="黑体" w:eastAsia="黑体" w:cs="黑体"/>
              <w:sz w:val="30"/>
              <w:szCs w:val="30"/>
            </w:rPr>
            <w:fldChar w:fldCharType="separate"/>
          </w:r>
          <w:r>
            <w:rPr>
              <w:rFonts w:hint="eastAsia" w:ascii="黑体" w:hAnsi="黑体" w:eastAsia="黑体" w:cs="黑体"/>
              <w:sz w:val="30"/>
              <w:szCs w:val="30"/>
            </w:rPr>
            <w:t>58</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459BAB6A">
          <w:pPr>
            <w:pStyle w:val="12"/>
            <w:tabs>
              <w:tab w:val="right" w:leader="dot" w:pos="9638"/>
            </w:tabs>
            <w:rPr>
              <w:rFonts w:hint="eastAsia" w:ascii="黑体" w:hAnsi="黑体" w:eastAsia="黑体" w:cs="黑体"/>
              <w:sz w:val="32"/>
              <w:szCs w:val="32"/>
            </w:rPr>
          </w:pPr>
          <w:r>
            <w:rPr>
              <w:rFonts w:hint="eastAsia" w:ascii="黑体" w:hAnsi="黑体" w:eastAsia="黑体" w:cs="黑体"/>
              <w:bCs/>
              <w:sz w:val="32"/>
              <w:szCs w:val="32"/>
              <w:lang w:val="zh-CN"/>
            </w:rPr>
            <w:fldChar w:fldCharType="begin"/>
          </w:r>
          <w:r>
            <w:rPr>
              <w:rFonts w:hint="eastAsia" w:ascii="黑体" w:hAnsi="黑体" w:eastAsia="黑体" w:cs="黑体"/>
              <w:bCs/>
              <w:sz w:val="32"/>
              <w:szCs w:val="32"/>
              <w:lang w:val="zh-CN"/>
            </w:rPr>
            <w:instrText xml:space="preserve"> HYPERLINK \l _Toc29801 </w:instrText>
          </w:r>
          <w:r>
            <w:rPr>
              <w:rFonts w:hint="eastAsia" w:ascii="黑体" w:hAnsi="黑体" w:eastAsia="黑体" w:cs="黑体"/>
              <w:bCs/>
              <w:sz w:val="32"/>
              <w:szCs w:val="32"/>
              <w:lang w:val="zh-CN"/>
            </w:rPr>
            <w:fldChar w:fldCharType="separate"/>
          </w:r>
          <w:r>
            <w:rPr>
              <w:rFonts w:hint="eastAsia" w:ascii="黑体" w:hAnsi="黑体" w:eastAsia="黑体" w:cs="黑体"/>
              <w:bCs/>
              <w:sz w:val="32"/>
              <w:szCs w:val="32"/>
              <w:lang w:val="en-US" w:eastAsia="zh-CN"/>
            </w:rPr>
            <w:t>六、</w:t>
          </w:r>
          <w:r>
            <w:rPr>
              <w:rFonts w:hint="eastAsia" w:ascii="黑体" w:hAnsi="黑体" w:eastAsia="黑体" w:cs="黑体"/>
              <w:bCs/>
              <w:sz w:val="32"/>
              <w:szCs w:val="32"/>
            </w:rPr>
            <w:t>发展保障</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_Toc29801 \h </w:instrText>
          </w:r>
          <w:r>
            <w:rPr>
              <w:rFonts w:hint="eastAsia" w:ascii="黑体" w:hAnsi="黑体" w:eastAsia="黑体" w:cs="黑体"/>
              <w:sz w:val="32"/>
              <w:szCs w:val="32"/>
            </w:rPr>
            <w:fldChar w:fldCharType="separate"/>
          </w:r>
          <w:r>
            <w:rPr>
              <w:rFonts w:hint="eastAsia" w:ascii="黑体" w:hAnsi="黑体" w:eastAsia="黑体" w:cs="黑体"/>
              <w:sz w:val="32"/>
              <w:szCs w:val="32"/>
            </w:rPr>
            <w:t>60</w:t>
          </w:r>
          <w:r>
            <w:rPr>
              <w:rFonts w:hint="eastAsia" w:ascii="黑体" w:hAnsi="黑体" w:eastAsia="黑体" w:cs="黑体"/>
              <w:sz w:val="32"/>
              <w:szCs w:val="32"/>
            </w:rPr>
            <w:fldChar w:fldCharType="end"/>
          </w:r>
          <w:r>
            <w:rPr>
              <w:rFonts w:hint="eastAsia" w:ascii="黑体" w:hAnsi="黑体" w:eastAsia="黑体" w:cs="黑体"/>
              <w:bCs/>
              <w:sz w:val="32"/>
              <w:szCs w:val="32"/>
              <w:lang w:val="zh-CN"/>
            </w:rPr>
            <w:fldChar w:fldCharType="end"/>
          </w:r>
        </w:p>
        <w:p w14:paraId="2B211404">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_Toc18870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一</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党建引领</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_Toc18870 \h </w:instrText>
          </w:r>
          <w:r>
            <w:rPr>
              <w:rFonts w:hint="eastAsia" w:ascii="黑体" w:hAnsi="黑体" w:eastAsia="黑体" w:cs="黑体"/>
              <w:sz w:val="30"/>
              <w:szCs w:val="30"/>
            </w:rPr>
            <w:fldChar w:fldCharType="separate"/>
          </w:r>
          <w:r>
            <w:rPr>
              <w:rFonts w:hint="eastAsia" w:ascii="黑体" w:hAnsi="黑体" w:eastAsia="黑体" w:cs="黑体"/>
              <w:sz w:val="30"/>
              <w:szCs w:val="30"/>
            </w:rPr>
            <w:t>60</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4E4B89DE">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_Toc23045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（二）</w:t>
          </w:r>
          <w:r>
            <w:rPr>
              <w:rFonts w:hint="eastAsia" w:ascii="黑体" w:hAnsi="黑体" w:eastAsia="黑体" w:cs="黑体"/>
              <w:bCs w:val="0"/>
              <w:sz w:val="30"/>
              <w:szCs w:val="30"/>
              <w:lang w:eastAsia="zh-CN"/>
            </w:rPr>
            <w:t>经费投入</w:t>
          </w:r>
          <w:r>
            <w:rPr>
              <w:rFonts w:hint="eastAsia" w:ascii="黑体" w:hAnsi="黑体" w:eastAsia="黑体" w:cs="黑体"/>
              <w:bCs w:val="0"/>
              <w:sz w:val="30"/>
              <w:szCs w:val="30"/>
              <w:lang w:val="en-US" w:eastAsia="zh-CN"/>
            </w:rPr>
            <w:t>与政策落实</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_Toc23045 \h </w:instrText>
          </w:r>
          <w:r>
            <w:rPr>
              <w:rFonts w:hint="eastAsia" w:ascii="黑体" w:hAnsi="黑体" w:eastAsia="黑体" w:cs="黑体"/>
              <w:sz w:val="30"/>
              <w:szCs w:val="30"/>
            </w:rPr>
            <w:fldChar w:fldCharType="separate"/>
          </w:r>
          <w:r>
            <w:rPr>
              <w:rFonts w:hint="eastAsia" w:ascii="黑体" w:hAnsi="黑体" w:eastAsia="黑体" w:cs="黑体"/>
              <w:sz w:val="30"/>
              <w:szCs w:val="30"/>
            </w:rPr>
            <w:t>62</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06FC3D6">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_Toc14516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lang w:eastAsia="zh-CN"/>
            </w:rPr>
            <w:t>师资队伍</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_Toc14516 \h </w:instrText>
          </w:r>
          <w:r>
            <w:rPr>
              <w:rFonts w:hint="eastAsia" w:ascii="黑体" w:hAnsi="黑体" w:eastAsia="黑体" w:cs="黑体"/>
              <w:sz w:val="30"/>
              <w:szCs w:val="30"/>
            </w:rPr>
            <w:fldChar w:fldCharType="separate"/>
          </w:r>
          <w:r>
            <w:rPr>
              <w:rFonts w:hint="eastAsia" w:ascii="黑体" w:hAnsi="黑体" w:eastAsia="黑体" w:cs="黑体"/>
              <w:sz w:val="30"/>
              <w:szCs w:val="30"/>
            </w:rPr>
            <w:t>65</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44ED03B">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_Toc24315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四</w:t>
          </w:r>
          <w:r>
            <w:rPr>
              <w:rFonts w:hint="eastAsia" w:ascii="黑体" w:hAnsi="黑体" w:eastAsia="黑体" w:cs="黑体"/>
              <w:bCs w:val="0"/>
              <w:sz w:val="30"/>
              <w:szCs w:val="30"/>
              <w:lang w:eastAsia="zh-CN"/>
            </w:rPr>
            <w:t>）学校治理</w:t>
          </w:r>
          <w:r>
            <w:rPr>
              <w:rFonts w:hint="eastAsia" w:ascii="黑体" w:hAnsi="黑体" w:eastAsia="黑体" w:cs="黑体"/>
              <w:bCs w:val="0"/>
              <w:sz w:val="30"/>
              <w:szCs w:val="30"/>
              <w:lang w:val="en-US" w:eastAsia="zh-CN"/>
            </w:rPr>
            <w:t>与质量保证体系建设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_Toc24315 \h </w:instrText>
          </w:r>
          <w:r>
            <w:rPr>
              <w:rFonts w:hint="eastAsia" w:ascii="黑体" w:hAnsi="黑体" w:eastAsia="黑体" w:cs="黑体"/>
              <w:sz w:val="30"/>
              <w:szCs w:val="30"/>
            </w:rPr>
            <w:fldChar w:fldCharType="separate"/>
          </w:r>
          <w:r>
            <w:rPr>
              <w:rFonts w:hint="eastAsia" w:ascii="黑体" w:hAnsi="黑体" w:eastAsia="黑体" w:cs="黑体"/>
              <w:sz w:val="30"/>
              <w:szCs w:val="30"/>
            </w:rPr>
            <w:t>70</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6D746F32">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_Toc11012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五</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资源建设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_Toc11012 \h </w:instrText>
          </w:r>
          <w:r>
            <w:rPr>
              <w:rFonts w:hint="eastAsia" w:ascii="黑体" w:hAnsi="黑体" w:eastAsia="黑体" w:cs="黑体"/>
              <w:sz w:val="30"/>
              <w:szCs w:val="30"/>
            </w:rPr>
            <w:fldChar w:fldCharType="separate"/>
          </w:r>
          <w:r>
            <w:rPr>
              <w:rFonts w:hint="eastAsia" w:ascii="黑体" w:hAnsi="黑体" w:eastAsia="黑体" w:cs="黑体"/>
              <w:sz w:val="30"/>
              <w:szCs w:val="30"/>
            </w:rPr>
            <w:t>72</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B2E64A6">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_Toc13627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六</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校园安全与总务后勤</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_Toc13627 \h </w:instrText>
          </w:r>
          <w:r>
            <w:rPr>
              <w:rFonts w:hint="eastAsia" w:ascii="黑体" w:hAnsi="黑体" w:eastAsia="黑体" w:cs="黑体"/>
              <w:sz w:val="30"/>
              <w:szCs w:val="30"/>
            </w:rPr>
            <w:fldChar w:fldCharType="separate"/>
          </w:r>
          <w:r>
            <w:rPr>
              <w:rFonts w:hint="eastAsia" w:ascii="黑体" w:hAnsi="黑体" w:eastAsia="黑体" w:cs="黑体"/>
              <w:sz w:val="30"/>
              <w:szCs w:val="30"/>
            </w:rPr>
            <w:t>73</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4C7BD99A">
          <w:pPr>
            <w:pStyle w:val="12"/>
            <w:tabs>
              <w:tab w:val="right" w:leader="dot" w:pos="9638"/>
            </w:tabs>
            <w:rPr>
              <w:rFonts w:hint="eastAsia" w:ascii="黑体" w:hAnsi="黑体" w:eastAsia="黑体" w:cs="黑体"/>
              <w:sz w:val="32"/>
              <w:szCs w:val="32"/>
            </w:rPr>
          </w:pPr>
          <w:r>
            <w:rPr>
              <w:rFonts w:hint="eastAsia" w:ascii="黑体" w:hAnsi="黑体" w:eastAsia="黑体" w:cs="黑体"/>
              <w:bCs/>
              <w:sz w:val="32"/>
              <w:szCs w:val="32"/>
              <w:lang w:val="zh-CN"/>
            </w:rPr>
            <w:fldChar w:fldCharType="begin"/>
          </w:r>
          <w:r>
            <w:rPr>
              <w:rFonts w:hint="eastAsia" w:ascii="黑体" w:hAnsi="黑体" w:eastAsia="黑体" w:cs="黑体"/>
              <w:bCs/>
              <w:sz w:val="32"/>
              <w:szCs w:val="32"/>
              <w:lang w:val="zh-CN"/>
            </w:rPr>
            <w:instrText xml:space="preserve"> HYPERLINK \l _Toc15282 </w:instrText>
          </w:r>
          <w:r>
            <w:rPr>
              <w:rFonts w:hint="eastAsia" w:ascii="黑体" w:hAnsi="黑体" w:eastAsia="黑体" w:cs="黑体"/>
              <w:bCs/>
              <w:sz w:val="32"/>
              <w:szCs w:val="32"/>
              <w:lang w:val="zh-CN"/>
            </w:rPr>
            <w:fldChar w:fldCharType="separate"/>
          </w:r>
          <w:r>
            <w:rPr>
              <w:rFonts w:hint="eastAsia" w:ascii="黑体" w:hAnsi="黑体" w:eastAsia="黑体" w:cs="黑体"/>
              <w:bCs/>
              <w:sz w:val="32"/>
              <w:szCs w:val="32"/>
              <w:lang w:val="en-US" w:eastAsia="zh-CN"/>
            </w:rPr>
            <w:t>七、</w:t>
          </w:r>
          <w:r>
            <w:rPr>
              <w:rFonts w:hint="eastAsia" w:ascii="黑体" w:hAnsi="黑体" w:eastAsia="黑体" w:cs="黑体"/>
              <w:bCs/>
              <w:sz w:val="32"/>
              <w:szCs w:val="32"/>
            </w:rPr>
            <w:t>面临挑战</w:t>
          </w:r>
          <w:r>
            <w:rPr>
              <w:rFonts w:hint="eastAsia" w:ascii="黑体" w:hAnsi="黑体" w:eastAsia="黑体" w:cs="黑体"/>
              <w:sz w:val="32"/>
              <w:szCs w:val="32"/>
            </w:rPr>
            <w:tab/>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 PAGEREF _Toc15282 \h </w:instrText>
          </w:r>
          <w:r>
            <w:rPr>
              <w:rFonts w:hint="eastAsia" w:ascii="黑体" w:hAnsi="黑体" w:eastAsia="黑体" w:cs="黑体"/>
              <w:sz w:val="32"/>
              <w:szCs w:val="32"/>
            </w:rPr>
            <w:fldChar w:fldCharType="separate"/>
          </w:r>
          <w:r>
            <w:rPr>
              <w:rFonts w:hint="eastAsia" w:ascii="黑体" w:hAnsi="黑体" w:eastAsia="黑体" w:cs="黑体"/>
              <w:sz w:val="32"/>
              <w:szCs w:val="32"/>
            </w:rPr>
            <w:t>76</w:t>
          </w:r>
          <w:r>
            <w:rPr>
              <w:rFonts w:hint="eastAsia" w:ascii="黑体" w:hAnsi="黑体" w:eastAsia="黑体" w:cs="黑体"/>
              <w:sz w:val="32"/>
              <w:szCs w:val="32"/>
            </w:rPr>
            <w:fldChar w:fldCharType="end"/>
          </w:r>
          <w:r>
            <w:rPr>
              <w:rFonts w:hint="eastAsia" w:ascii="黑体" w:hAnsi="黑体" w:eastAsia="黑体" w:cs="黑体"/>
              <w:bCs/>
              <w:sz w:val="32"/>
              <w:szCs w:val="32"/>
              <w:lang w:val="zh-CN"/>
            </w:rPr>
            <w:fldChar w:fldCharType="end"/>
          </w:r>
        </w:p>
        <w:p w14:paraId="4289DC04">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_Toc25541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val="en-US" w:eastAsia="zh-CN"/>
            </w:rPr>
            <w:t>（一）问题回顾</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_Toc25541 \h </w:instrText>
          </w:r>
          <w:r>
            <w:rPr>
              <w:rFonts w:hint="eastAsia" w:ascii="黑体" w:hAnsi="黑体" w:eastAsia="黑体" w:cs="黑体"/>
              <w:sz w:val="30"/>
              <w:szCs w:val="30"/>
            </w:rPr>
            <w:fldChar w:fldCharType="separate"/>
          </w:r>
          <w:r>
            <w:rPr>
              <w:rFonts w:hint="eastAsia" w:ascii="黑体" w:hAnsi="黑体" w:eastAsia="黑体" w:cs="黑体"/>
              <w:sz w:val="30"/>
              <w:szCs w:val="30"/>
            </w:rPr>
            <w:t>76</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7490CC7E">
          <w:pPr>
            <w:pStyle w:val="14"/>
            <w:tabs>
              <w:tab w:val="right" w:leader="dot" w:pos="9638"/>
            </w:tabs>
            <w:rPr>
              <w:rFonts w:hint="eastAsia" w:ascii="黑体" w:hAnsi="黑体" w:eastAsia="黑体" w:cs="黑体"/>
              <w:sz w:val="30"/>
              <w:szCs w:val="30"/>
            </w:rPr>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_Toc3202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二</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存在问题</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_Toc3202 \h </w:instrText>
          </w:r>
          <w:r>
            <w:rPr>
              <w:rFonts w:hint="eastAsia" w:ascii="黑体" w:hAnsi="黑体" w:eastAsia="黑体" w:cs="黑体"/>
              <w:sz w:val="30"/>
              <w:szCs w:val="30"/>
            </w:rPr>
            <w:fldChar w:fldCharType="separate"/>
          </w:r>
          <w:r>
            <w:rPr>
              <w:rFonts w:hint="eastAsia" w:ascii="黑体" w:hAnsi="黑体" w:eastAsia="黑体" w:cs="黑体"/>
              <w:sz w:val="30"/>
              <w:szCs w:val="30"/>
            </w:rPr>
            <w:t>77</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15079CF6">
          <w:pPr>
            <w:pStyle w:val="14"/>
            <w:tabs>
              <w:tab w:val="right" w:leader="dot" w:pos="9638"/>
            </w:tabs>
          </w:pPr>
          <w:r>
            <w:rPr>
              <w:rFonts w:hint="eastAsia" w:ascii="黑体" w:hAnsi="黑体" w:eastAsia="黑体" w:cs="黑体"/>
              <w:bCs/>
              <w:sz w:val="30"/>
              <w:szCs w:val="30"/>
              <w:lang w:val="zh-CN"/>
            </w:rPr>
            <w:fldChar w:fldCharType="begin"/>
          </w:r>
          <w:r>
            <w:rPr>
              <w:rFonts w:hint="eastAsia" w:ascii="黑体" w:hAnsi="黑体" w:eastAsia="黑体" w:cs="黑体"/>
              <w:bCs/>
              <w:sz w:val="30"/>
              <w:szCs w:val="30"/>
              <w:lang w:val="zh-CN"/>
            </w:rPr>
            <w:instrText xml:space="preserve"> HYPERLINK \l _Toc9244 </w:instrText>
          </w:r>
          <w:r>
            <w:rPr>
              <w:rFonts w:hint="eastAsia" w:ascii="黑体" w:hAnsi="黑体" w:eastAsia="黑体" w:cs="黑体"/>
              <w:bCs/>
              <w:sz w:val="30"/>
              <w:szCs w:val="30"/>
              <w:lang w:val="zh-CN"/>
            </w:rPr>
            <w:fldChar w:fldCharType="separate"/>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三</w:t>
          </w:r>
          <w:r>
            <w:rPr>
              <w:rFonts w:hint="eastAsia" w:ascii="黑体" w:hAnsi="黑体" w:eastAsia="黑体" w:cs="黑体"/>
              <w:bCs w:val="0"/>
              <w:sz w:val="30"/>
              <w:szCs w:val="30"/>
              <w:lang w:eastAsia="zh-CN"/>
            </w:rPr>
            <w:t>）</w:t>
          </w:r>
          <w:r>
            <w:rPr>
              <w:rFonts w:hint="eastAsia" w:ascii="黑体" w:hAnsi="黑体" w:eastAsia="黑体" w:cs="黑体"/>
              <w:bCs w:val="0"/>
              <w:sz w:val="30"/>
              <w:szCs w:val="30"/>
              <w:lang w:val="en-US" w:eastAsia="zh-CN"/>
            </w:rPr>
            <w:t>未来展望</w:t>
          </w:r>
          <w:r>
            <w:rPr>
              <w:rFonts w:hint="eastAsia" w:ascii="黑体" w:hAnsi="黑体" w:eastAsia="黑体" w:cs="黑体"/>
              <w:sz w:val="30"/>
              <w:szCs w:val="30"/>
            </w:rPr>
            <w:tab/>
          </w:r>
          <w:r>
            <w:rPr>
              <w:rFonts w:hint="eastAsia" w:ascii="黑体" w:hAnsi="黑体" w:eastAsia="黑体" w:cs="黑体"/>
              <w:sz w:val="30"/>
              <w:szCs w:val="30"/>
            </w:rPr>
            <w:fldChar w:fldCharType="begin"/>
          </w:r>
          <w:r>
            <w:rPr>
              <w:rFonts w:hint="eastAsia" w:ascii="黑体" w:hAnsi="黑体" w:eastAsia="黑体" w:cs="黑体"/>
              <w:sz w:val="30"/>
              <w:szCs w:val="30"/>
            </w:rPr>
            <w:instrText xml:space="preserve"> PAGEREF _Toc9244 \h </w:instrText>
          </w:r>
          <w:r>
            <w:rPr>
              <w:rFonts w:hint="eastAsia" w:ascii="黑体" w:hAnsi="黑体" w:eastAsia="黑体" w:cs="黑体"/>
              <w:sz w:val="30"/>
              <w:szCs w:val="30"/>
            </w:rPr>
            <w:fldChar w:fldCharType="separate"/>
          </w:r>
          <w:r>
            <w:rPr>
              <w:rFonts w:hint="eastAsia" w:ascii="黑体" w:hAnsi="黑体" w:eastAsia="黑体" w:cs="黑体"/>
              <w:sz w:val="30"/>
              <w:szCs w:val="30"/>
            </w:rPr>
            <w:t>78</w:t>
          </w:r>
          <w:r>
            <w:rPr>
              <w:rFonts w:hint="eastAsia" w:ascii="黑体" w:hAnsi="黑体" w:eastAsia="黑体" w:cs="黑体"/>
              <w:sz w:val="30"/>
              <w:szCs w:val="30"/>
            </w:rPr>
            <w:fldChar w:fldCharType="end"/>
          </w:r>
          <w:r>
            <w:rPr>
              <w:rFonts w:hint="eastAsia" w:ascii="黑体" w:hAnsi="黑体" w:eastAsia="黑体" w:cs="黑体"/>
              <w:bCs/>
              <w:sz w:val="30"/>
              <w:szCs w:val="30"/>
              <w:lang w:val="zh-CN"/>
            </w:rPr>
            <w:fldChar w:fldCharType="end"/>
          </w:r>
        </w:p>
        <w:p w14:paraId="696CAC2E">
          <w:pPr>
            <w:keepNext w:val="0"/>
            <w:keepLines w:val="0"/>
            <w:pageBreakBefore w:val="0"/>
            <w:widowControl w:val="0"/>
            <w:kinsoku/>
            <w:wordWrap/>
            <w:overflowPunct/>
            <w:topLinePunct w:val="0"/>
            <w:autoSpaceDE/>
            <w:autoSpaceDN/>
            <w:bidi w:val="0"/>
            <w:adjustRightInd/>
            <w:snapToGrid/>
            <w:spacing w:line="400" w:lineRule="exact"/>
            <w:textAlignment w:val="auto"/>
            <w:rPr>
              <w:sz w:val="24"/>
              <w:szCs w:val="24"/>
            </w:rPr>
          </w:pPr>
          <w:r>
            <w:rPr>
              <w:bCs/>
              <w:szCs w:val="28"/>
              <w:lang w:val="zh-CN"/>
            </w:rPr>
            <w:fldChar w:fldCharType="end"/>
          </w:r>
        </w:p>
      </w:sdtContent>
    </w:sdt>
    <w:p w14:paraId="35DD0CF5">
      <w:pPr>
        <w:rPr>
          <w:rFonts w:ascii="黑体" w:hAnsi="黑体" w:eastAsia="黑体" w:cs="黑体"/>
          <w:b/>
          <w:bCs/>
          <w:kern w:val="0"/>
          <w:sz w:val="44"/>
          <w:szCs w:val="44"/>
        </w:rPr>
      </w:pPr>
      <w:bookmarkStart w:id="1" w:name="_Toc27558903"/>
      <w:r>
        <w:rPr>
          <w:rFonts w:hint="eastAsia" w:ascii="黑体" w:hAnsi="黑体" w:eastAsia="黑体" w:cs="黑体"/>
          <w:b/>
          <w:bCs/>
          <w:kern w:val="0"/>
          <w:sz w:val="44"/>
          <w:szCs w:val="44"/>
        </w:rPr>
        <w:br w:type="page"/>
      </w:r>
    </w:p>
    <w:p w14:paraId="05E05DAE">
      <w:pPr>
        <w:jc w:val="center"/>
        <w:rPr>
          <w:rFonts w:ascii="黑体" w:hAnsi="黑体" w:eastAsia="黑体" w:cs="黑体"/>
          <w:b/>
          <w:bCs/>
          <w:kern w:val="0"/>
          <w:sz w:val="44"/>
          <w:szCs w:val="44"/>
        </w:rPr>
      </w:pPr>
    </w:p>
    <w:p w14:paraId="0A68A514">
      <w:pPr>
        <w:jc w:val="center"/>
        <w:rPr>
          <w:rFonts w:ascii="黑体" w:hAnsi="黑体" w:eastAsia="黑体" w:cs="黑体"/>
          <w:b/>
          <w:bCs/>
          <w:kern w:val="0"/>
          <w:sz w:val="44"/>
          <w:szCs w:val="44"/>
        </w:rPr>
      </w:pPr>
      <w:r>
        <w:rPr>
          <w:rFonts w:hint="eastAsia" w:ascii="黑体" w:hAnsi="黑体" w:eastAsia="黑体" w:cs="黑体"/>
          <w:b/>
          <w:bCs/>
          <w:kern w:val="0"/>
          <w:sz w:val="44"/>
          <w:szCs w:val="44"/>
        </w:rPr>
        <w:t>图目录</w:t>
      </w:r>
    </w:p>
    <w:p w14:paraId="6C5D5F41">
      <w:pPr>
        <w:jc w:val="center"/>
        <w:rPr>
          <w:rFonts w:ascii="黑体" w:hAnsi="黑体" w:eastAsia="黑体" w:cs="黑体"/>
          <w:b/>
          <w:bCs/>
          <w:kern w:val="0"/>
          <w:sz w:val="44"/>
          <w:szCs w:val="44"/>
        </w:rPr>
      </w:pPr>
    </w:p>
    <w:p w14:paraId="6B93582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rPr>
        <w:fldChar w:fldCharType="begin"/>
      </w:r>
      <w:r>
        <w:rPr>
          <w:rFonts w:hint="eastAsia" w:ascii="楷体_GB2312" w:hAnsi="楷体_GB2312" w:eastAsia="楷体_GB2312" w:cs="楷体_GB2312"/>
          <w:sz w:val="24"/>
          <w:szCs w:val="24"/>
        </w:rPr>
        <w:instrText xml:space="preserve">TOC \h \c "图"</w:instrText>
      </w:r>
      <w:r>
        <w:rPr>
          <w:rFonts w:hint="eastAsia" w:ascii="楷体_GB2312" w:hAnsi="楷体_GB2312" w:eastAsia="楷体_GB2312" w:cs="楷体_GB2312"/>
          <w:sz w:val="24"/>
          <w:szCs w:val="24"/>
        </w:rPr>
        <w:fldChar w:fldCharType="separate"/>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_Toc32203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  全日制在校生分布图</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_Toc32203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D975BC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_Toc5154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  淄博理工学校古法蓝染非遗文化进校园活动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_Toc5154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A32349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_Toc24728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  淄博市跳绳联赛获佳绩</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_Toc24728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257997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_Toc6097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1-4  跳绳联赛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_Toc6097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FE8DE6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_Toc29913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1-5  10人集体长绳项目</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_Toc29913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D0FEBE0">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_Toc5930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1-6  “生涯路·励志情·报国行”学生励志手册</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_Toc5930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05190E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_Toc9609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1-7  新团员入团仪式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_Toc9609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EF9DA1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_Toc1315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1-8  啦啦操社团参加市运会开幕式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_Toc1315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B8D9D3B">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_Toc11865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 xml:space="preserve">图 1-9  心理健康活动月启动仪式 </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_Toc11865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4FA3E7B">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_Toc13590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1-10  “燃趣嘉年华”团体心理活动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_Toc13590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7495D3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_Toc2213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1-11  家长进课堂活动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_Toc2213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1109F8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_Toc20317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1-12  成长营授牌仪式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_Toc20317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C027572">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_Toc9382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1-13  成长营宣誓仪式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_Toc9382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9D82260">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_Toc29727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1-14  国家奖学金表彰大会</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_Toc29727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0CBD9C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_Toc17129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1-15  陈浩彬荣登《人民日报》国家奖学金获奖学生优秀代表名录</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_Toc17129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2B8382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_Toc105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1-16  2025年学生对口就业情况表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_Toc105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7A91DD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_Toc512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1-17  企业满意度调查表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_Toc512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B520080">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_Toc10625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1-18  2025年学生初次就业起薪情况统计表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_Toc10625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BF66FB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_Toc29815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1-19  教师指导学生设计作品</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_Toc29815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AF0DAB2">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_Toc25207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1-20  学生团队参加市大学生夜市</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_Toc25207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B09929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_Toc21258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1-21  2024年淄博市“技能兴淄”陶瓷职业技能竞赛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_Toc21258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E7A3714">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_Toc16380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1-22  技能大赛学生集训</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_Toc16380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2B21AC2">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_Toc7956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1-23  学生参加淄博市技能大赛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_Toc7956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D2E86A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_Toc20087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1-24  与淄博师范高等专科学校交流座谈</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_Toc20087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514165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_Toc18763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1-25  初中后五年制高职教育专业学生参加技能大赛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_Toc18763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FEC217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_Toc3670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1-26  选修课《3D动画制作》作品</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_Toc3670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738045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_Toc12459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1-27  选修课《数字绘画》作品</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_Toc12459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3662F40">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_Toc2722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1-28  学生参观《名工匠工作室》</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_Toc2722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3B5054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_Toc3504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1-29  数字人李白朗诵古诗《将进酒》</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_Toc3504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F8654E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_Toc15831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1-30  学生技能大赛作品《浪尖逐梦》</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_Toc15831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9240DE2">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_Toc7624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1-31  AI生成《琵琶行》动画短片</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_Toc7624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267136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_Toc14578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1-32  学校立项山东省“十四五”职业教育规划教材2门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_Toc14578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3F2100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_Toc8968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1-33  学校教材建设、选用会议</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_Toc8968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5186BD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_Toc16587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1-34  职教高考学生自习</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_Toc16587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FA4B8EB">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_Toc3102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2-1  鲁泰集团职工焊工技能竞赛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_Toc3102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D22857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_Toc21925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2-2  淄川区第二届“匠心逐梦，技耀未来”机械制造行业大赛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_Toc21925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E0F6C23">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_Toc22663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2-3  安全生产月送教上门活动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_Toc22663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40D9C0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_Toc22788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2-4  电钢琴培训</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_Toc22788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62B480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_Toc3330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2-5  淄川老年开放大学揭牌</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_Toc3330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A28F13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_Toc17855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2-6  太极拳培训</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_Toc17855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D8D204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_Toc19524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2-7  陶瓷琉璃工匠学院培训场景</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_Toc19524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A6F9F8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_Toc17447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2-8  陶瓷琉璃工匠学院培训场景</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_Toc17447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53B1F2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_Toc27611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2-9  山东省陶瓷职业技能竞赛比赛场景</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_Toc27611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888277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_Toc11934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2-10  心理健康沙龙</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_Toc11934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A88AA8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_Toc27416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2-11  心理健康教育讲座</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_Toc27416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4B45F4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_Toc31296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2-12  走进乡镇开展家庭教育讲座活动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_Toc31296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8F1CEF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_Toc19224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2-13  学校学生参加全国陶瓷职业院校技能竞赛总决赛</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_Toc19224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04663F6">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_Toc9482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3-1  参观红色展馆宣誓活动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_Toc9482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403534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_Toc3687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3-2  学生为革命烈士扫墓</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_Toc3687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A598A4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_Toc32658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3-3  学生红色文化作品展示</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_Toc32658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EB7107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_Toc4324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3-4  名家经典作品临摹</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_Toc4324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5C59666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_Toc73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3-5  学生课堂创作</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_Toc73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1388C1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_Toc5410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3-6  学生进行茶艺表演</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_Toc5410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863616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_Toc23549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3-7  学校育人理念</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_Toc23549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840931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_Toc16655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3-8  近代职业教育创始人黄炎培塑像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_Toc16655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9F1303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_Toc1954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3-9  现代生活陶艺比赛现场</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_Toc1954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49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E30F97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_Toc19923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4-1  王瑜芹老师南洋理工大学研究生毕业证书</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_Toc19923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5C86EC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_Toc1873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4-2  中白教育交流互鉴合影</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_Toc1873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711CB274">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_Toc28411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5-1  产教联合体理事会会场</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_Toc28411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7ADB4D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_Toc11921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5-2  山东先河悦新机电股份有限公司产学研一体化实践基地揭牌</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_Toc11921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FA37A86">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_Toc13527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5-3  汽修系学生赴山东宏路重工股份有限公司参观学习</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_Toc13527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8AB0234">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_Toc13782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5-4  2023级实习学生誓师大会</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_Toc13782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10F9622">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_Toc28192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5-5  刘永强大师收徒仪式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_Toc28192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F00D81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_Toc18759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5-6  学校领导赴普莱瑞电器有限公司调研</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_Toc18759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0AAEBE8">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_Toc19678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5-7  与山东工业职业学院座谈</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_Toc19678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6C2850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_Toc29892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5-8  “双师型”教师认定工作部署会议</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_Toc29892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AFE06F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_Toc21129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5-9  “双师型”教师认定工作校级初审</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_Toc21129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82FEA40">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_Toc4392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5-10  淄博市第三批现代产业学院--数智制造产业学院</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_Toc4392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59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44A346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_Toc18287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5-11  产业学院实训基地及实训设备</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_Toc18287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06593B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_Toc5835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  党员参观红色教育基地</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_Toc5835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2540F54">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_Toc16725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6-2  2024年教学经费支出情况</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_Toc16725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7DB6DC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_Toc31052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6-3  2024年项目投入情况</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_Toc31052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16A3C6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_Toc32097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6-4  指导教师为学生讲解加工技巧</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_Toc32097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9E54FFB">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_Toc28813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6-5  教师教学能力提升培训</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_Toc28813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6B1C23D">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_Toc4408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6-6  名师优课</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_Toc4408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BBA5A43">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_Toc21246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6-7  课例研讨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_Toc21246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67</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20E013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_Toc14179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6-8  新入职教师师徒结对仪式</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_Toc14179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68</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E50AC07">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_Toc25887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6-9  教师企业实践</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_Toc25887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7EDC965">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_Toc15095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6-10  教师执教省级公开课</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_Toc15095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D33B72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_Toc16960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6-11  产业教授为专业课教师进行培训</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_Toc16960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EDBB56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_Toc18037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6-12  全国人大代表王一君来校授课</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_Toc18037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3B6936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_Toc17035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6-13  学校党委扩大会议</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_Toc17035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3936E70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_Toc6639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6-14  课程资源库平台</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_Toc6639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FAD97C5">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_Toc581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6-15  山东省职工创新创造云内容管理平台</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_Toc581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66F8305">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_Toc27756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6-16  学校安保人员严守岗位</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_Toc27756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75</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655727A">
      <w:pPr>
        <w:pStyle w:val="13"/>
        <w:tabs>
          <w:tab w:val="right" w:leader="dot" w:pos="9638"/>
        </w:tabs>
        <w:rPr>
          <w:sz w:val="24"/>
          <w:szCs w:val="24"/>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_Toc28241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图 6-17  夜间疏散演练</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_Toc28241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76</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BA51F5B">
      <w:pPr>
        <w:keepNext w:val="0"/>
        <w:keepLines w:val="0"/>
        <w:pageBreakBefore w:val="0"/>
        <w:widowControl w:val="0"/>
        <w:kinsoku/>
        <w:wordWrap/>
        <w:overflowPunct/>
        <w:topLinePunct w:val="0"/>
        <w:autoSpaceDE/>
        <w:autoSpaceDN/>
        <w:bidi w:val="0"/>
        <w:adjustRightInd/>
        <w:snapToGrid/>
        <w:spacing w:line="400" w:lineRule="exact"/>
        <w:textAlignment w:val="auto"/>
        <w:rPr>
          <w:rFonts w:ascii="楷体_GB2312" w:hAnsi="楷体_GB2312" w:eastAsia="楷体_GB2312" w:cs="楷体_GB2312"/>
          <w:sz w:val="24"/>
        </w:rPr>
      </w:pPr>
      <w:r>
        <w:rPr>
          <w:rFonts w:hint="eastAsia" w:ascii="楷体_GB2312" w:hAnsi="楷体_GB2312" w:eastAsia="楷体_GB2312" w:cs="楷体_GB2312"/>
          <w:sz w:val="24"/>
          <w:szCs w:val="24"/>
        </w:rPr>
        <w:fldChar w:fldCharType="end"/>
      </w:r>
      <w:r>
        <w:rPr>
          <w:rFonts w:hint="eastAsia" w:ascii="楷体_GB2312" w:hAnsi="楷体_GB2312" w:eastAsia="楷体_GB2312" w:cs="楷体_GB2312"/>
          <w:sz w:val="24"/>
        </w:rPr>
        <w:br w:type="page"/>
      </w:r>
    </w:p>
    <w:p w14:paraId="28D1100E">
      <w:pPr>
        <w:pStyle w:val="12"/>
      </w:pPr>
    </w:p>
    <w:p w14:paraId="6DF42164">
      <w:pPr>
        <w:jc w:val="center"/>
        <w:rPr>
          <w:rFonts w:ascii="黑体" w:hAnsi="黑体" w:eastAsia="黑体" w:cs="黑体"/>
          <w:b/>
          <w:bCs/>
          <w:kern w:val="0"/>
          <w:sz w:val="44"/>
          <w:szCs w:val="44"/>
        </w:rPr>
      </w:pPr>
      <w:r>
        <w:rPr>
          <w:rFonts w:hint="eastAsia" w:ascii="黑体" w:hAnsi="黑体" w:eastAsia="黑体" w:cs="黑体"/>
          <w:b/>
          <w:bCs/>
          <w:kern w:val="0"/>
          <w:sz w:val="44"/>
          <w:szCs w:val="44"/>
        </w:rPr>
        <w:t>表目录</w:t>
      </w:r>
    </w:p>
    <w:p w14:paraId="3FDDBADF">
      <w:pPr>
        <w:rPr>
          <w:sz w:val="24"/>
        </w:rPr>
      </w:pPr>
    </w:p>
    <w:p w14:paraId="1CBD2374">
      <w:pPr>
        <w:pStyle w:val="13"/>
        <w:tabs>
          <w:tab w:val="right" w:leader="dot" w:pos="9638"/>
        </w:tabs>
        <w:ind w:left="900" w:hanging="480"/>
        <w:rPr>
          <w:sz w:val="24"/>
        </w:rPr>
      </w:pPr>
    </w:p>
    <w:p w14:paraId="36FCDE29">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rPr>
        <w:fldChar w:fldCharType="begin"/>
      </w:r>
      <w:r>
        <w:rPr>
          <w:rFonts w:hint="eastAsia" w:ascii="楷体_GB2312" w:hAnsi="楷体_GB2312" w:eastAsia="楷体_GB2312" w:cs="楷体_GB2312"/>
          <w:sz w:val="24"/>
          <w:szCs w:val="24"/>
        </w:rPr>
        <w:instrText xml:space="preserve">TOC \h \c "表"</w:instrText>
      </w:r>
      <w:r>
        <w:rPr>
          <w:rFonts w:hint="eastAsia" w:ascii="楷体_GB2312" w:hAnsi="楷体_GB2312" w:eastAsia="楷体_GB2312" w:cs="楷体_GB2312"/>
          <w:sz w:val="24"/>
          <w:szCs w:val="24"/>
        </w:rPr>
        <w:fldChar w:fldCharType="separate"/>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_Toc17101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1-1  近2年学历教育招生人数及学历教育在校生人数对照表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_Toc17101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AFDDF76">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_Toc7824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1-2  2025秋季学期招生计划数、实际招生数、招生完成比例</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_Toc7824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7DC857F">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_Toc29355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1-3  在校生结构</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_Toc29355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C3483E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_Toc7276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1-4  淄博理工学校专业设置目录</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_Toc7276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19</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E22B3DE">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_Toc31710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1-5  淄博理工学校专业设置目录</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_Toc31710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30</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0A2F226A">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_Toc27746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2-1  服务行业企业培训统计表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_Toc27746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31</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447DB40C">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_Toc5865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2-2  服务地方社区培训统计表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_Toc5865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34</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658C0FD1">
      <w:pPr>
        <w:pStyle w:val="13"/>
        <w:tabs>
          <w:tab w:val="right" w:leader="dot" w:pos="9638"/>
        </w:tabs>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_Toc4902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6-1  2024年教学经费支出情况一览表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_Toc4902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62</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22C39D70">
      <w:pPr>
        <w:pStyle w:val="13"/>
        <w:tabs>
          <w:tab w:val="right" w:leader="dot" w:pos="9638"/>
        </w:tabs>
      </w:pP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HYPERLINK \l _Toc14132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表 6-2  2024年项目投入情况一览表</w:t>
      </w:r>
      <w:r>
        <w:rPr>
          <w:rFonts w:hint="eastAsia" w:ascii="楷体_GB2312" w:hAnsi="楷体_GB2312" w:eastAsia="楷体_GB2312" w:cs="楷体_GB2312"/>
          <w:sz w:val="24"/>
          <w:szCs w:val="24"/>
          <w:lang w:val="en-US" w:eastAsia="zh-CN"/>
        </w:rPr>
        <w:tab/>
      </w:r>
      <w:r>
        <w:rPr>
          <w:rFonts w:hint="eastAsia" w:ascii="楷体_GB2312" w:hAnsi="楷体_GB2312" w:eastAsia="楷体_GB2312" w:cs="楷体_GB2312"/>
          <w:sz w:val="24"/>
          <w:szCs w:val="24"/>
          <w:lang w:val="en-US" w:eastAsia="zh-CN"/>
        </w:rPr>
        <w:fldChar w:fldCharType="begin"/>
      </w:r>
      <w:r>
        <w:rPr>
          <w:rFonts w:hint="eastAsia" w:ascii="楷体_GB2312" w:hAnsi="楷体_GB2312" w:eastAsia="楷体_GB2312" w:cs="楷体_GB2312"/>
          <w:sz w:val="24"/>
          <w:szCs w:val="24"/>
          <w:lang w:val="en-US" w:eastAsia="zh-CN"/>
        </w:rPr>
        <w:instrText xml:space="preserve"> PAGEREF _Toc14132 \h </w:instrText>
      </w:r>
      <w:r>
        <w:rPr>
          <w:rFonts w:hint="eastAsia" w:ascii="楷体_GB2312" w:hAnsi="楷体_GB2312" w:eastAsia="楷体_GB2312" w:cs="楷体_GB2312"/>
          <w:sz w:val="24"/>
          <w:szCs w:val="24"/>
          <w:lang w:val="en-US" w:eastAsia="zh-CN"/>
        </w:rPr>
        <w:fldChar w:fldCharType="separate"/>
      </w:r>
      <w:r>
        <w:rPr>
          <w:rFonts w:hint="eastAsia" w:ascii="楷体_GB2312" w:hAnsi="楷体_GB2312" w:eastAsia="楷体_GB2312" w:cs="楷体_GB2312"/>
          <w:sz w:val="24"/>
          <w:szCs w:val="24"/>
          <w:lang w:val="en-US" w:eastAsia="zh-CN"/>
        </w:rPr>
        <w:t>63</w:t>
      </w:r>
      <w:r>
        <w:rPr>
          <w:rFonts w:hint="eastAsia" w:ascii="楷体_GB2312" w:hAnsi="楷体_GB2312" w:eastAsia="楷体_GB2312" w:cs="楷体_GB2312"/>
          <w:sz w:val="24"/>
          <w:szCs w:val="24"/>
          <w:lang w:val="en-US" w:eastAsia="zh-CN"/>
        </w:rPr>
        <w:fldChar w:fldCharType="end"/>
      </w:r>
      <w:r>
        <w:rPr>
          <w:rFonts w:hint="eastAsia" w:ascii="楷体_GB2312" w:hAnsi="楷体_GB2312" w:eastAsia="楷体_GB2312" w:cs="楷体_GB2312"/>
          <w:sz w:val="24"/>
          <w:szCs w:val="24"/>
          <w:lang w:val="en-US" w:eastAsia="zh-CN"/>
        </w:rPr>
        <w:fldChar w:fldCharType="end"/>
      </w:r>
    </w:p>
    <w:p w14:paraId="1F25957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楷体_GB2312" w:hAnsi="楷体_GB2312" w:eastAsia="楷体_GB2312" w:cs="楷体_GB2312"/>
          <w:sz w:val="24"/>
          <w:szCs w:val="24"/>
        </w:rPr>
      </w:pPr>
      <w:r>
        <w:rPr>
          <w:rFonts w:hint="eastAsia" w:ascii="楷体_GB2312" w:hAnsi="楷体_GB2312" w:eastAsia="楷体_GB2312" w:cs="楷体_GB2312"/>
          <w:szCs w:val="24"/>
        </w:rPr>
        <w:fldChar w:fldCharType="end"/>
      </w:r>
    </w:p>
    <w:p w14:paraId="6D77FB4F">
      <w:pPr>
        <w:rPr>
          <w:sz w:val="24"/>
        </w:rPr>
      </w:pPr>
    </w:p>
    <w:p w14:paraId="2A437ED2">
      <w:pPr>
        <w:pStyle w:val="4"/>
      </w:pPr>
    </w:p>
    <w:p w14:paraId="2D289E83"/>
    <w:p w14:paraId="12F45D4E">
      <w:pPr>
        <w:pStyle w:val="4"/>
      </w:pPr>
    </w:p>
    <w:p w14:paraId="59A84D31"/>
    <w:p w14:paraId="33EC08A7">
      <w:pPr>
        <w:pStyle w:val="4"/>
      </w:pPr>
    </w:p>
    <w:p w14:paraId="63F572B9"/>
    <w:p w14:paraId="262D5636">
      <w:pPr>
        <w:pStyle w:val="4"/>
      </w:pPr>
    </w:p>
    <w:p w14:paraId="735B6915"/>
    <w:p w14:paraId="0C66AC5A">
      <w:pPr>
        <w:pStyle w:val="4"/>
      </w:pPr>
    </w:p>
    <w:p w14:paraId="3C5E93EE"/>
    <w:p w14:paraId="560A7633"/>
    <w:p w14:paraId="7D3BA6FC">
      <w:pPr>
        <w:pStyle w:val="4"/>
      </w:pPr>
    </w:p>
    <w:sdt>
      <w:sdtPr>
        <w:rPr>
          <w:rFonts w:ascii="宋体" w:hAnsi="宋体"/>
          <w:b/>
          <w:bCs/>
          <w:sz w:val="32"/>
          <w:szCs w:val="32"/>
        </w:rPr>
        <w:id w:val="147456049"/>
        <w15:color w:val="DBDBDB"/>
        <w:docPartObj>
          <w:docPartGallery w:val="Table of Contents"/>
          <w:docPartUnique/>
        </w:docPartObj>
      </w:sdtPr>
      <w:sdtEndPr>
        <w:rPr>
          <w:rFonts w:hint="eastAsia" w:ascii="楷体_GB2312" w:hAnsi="楷体_GB2312" w:eastAsia="楷体_GB2312" w:cs="楷体_GB2312"/>
          <w:b/>
          <w:bCs/>
          <w:sz w:val="32"/>
          <w:szCs w:val="32"/>
        </w:rPr>
      </w:sdtEndPr>
      <w:sdtContent>
        <w:p w14:paraId="5D9DA982">
          <w:pPr>
            <w:jc w:val="center"/>
            <w:rPr>
              <w:rFonts w:ascii="宋体" w:hAnsi="宋体"/>
              <w:b/>
              <w:bCs/>
              <w:sz w:val="32"/>
              <w:szCs w:val="32"/>
            </w:rPr>
          </w:pPr>
        </w:p>
        <w:p w14:paraId="5DE55EDE">
          <w:pPr>
            <w:jc w:val="center"/>
            <w:rPr>
              <w:rFonts w:ascii="黑体" w:hAnsi="黑体" w:eastAsia="黑体" w:cs="黑体"/>
              <w:b/>
              <w:bCs/>
              <w:kern w:val="0"/>
              <w:sz w:val="44"/>
              <w:szCs w:val="44"/>
            </w:rPr>
          </w:pPr>
        </w:p>
        <w:p w14:paraId="41A8B8AF">
          <w:pPr>
            <w:jc w:val="center"/>
            <w:rPr>
              <w:rFonts w:hint="eastAsia" w:ascii="黑体" w:hAnsi="黑体" w:eastAsia="黑体" w:cs="黑体"/>
              <w:b/>
              <w:bCs/>
              <w:kern w:val="0"/>
              <w:sz w:val="44"/>
              <w:szCs w:val="44"/>
            </w:rPr>
          </w:pPr>
        </w:p>
        <w:p w14:paraId="2CBCF9DB">
          <w:pPr>
            <w:jc w:val="center"/>
            <w:rPr>
              <w:rFonts w:hint="eastAsia" w:ascii="黑体" w:hAnsi="黑体" w:eastAsia="黑体" w:cs="黑体"/>
              <w:b/>
              <w:bCs/>
              <w:kern w:val="0"/>
              <w:sz w:val="44"/>
              <w:szCs w:val="44"/>
            </w:rPr>
          </w:pPr>
        </w:p>
        <w:p w14:paraId="5E437A62">
          <w:pPr>
            <w:jc w:val="center"/>
            <w:rPr>
              <w:rFonts w:hint="eastAsia" w:ascii="黑体" w:hAnsi="黑体" w:eastAsia="黑体" w:cs="黑体"/>
              <w:b/>
              <w:bCs/>
              <w:kern w:val="0"/>
              <w:sz w:val="44"/>
              <w:szCs w:val="44"/>
            </w:rPr>
          </w:pPr>
        </w:p>
        <w:p w14:paraId="222B0F48">
          <w:pPr>
            <w:jc w:val="center"/>
            <w:rPr>
              <w:rFonts w:hint="eastAsia" w:ascii="黑体" w:hAnsi="黑体" w:eastAsia="黑体" w:cs="黑体"/>
              <w:b/>
              <w:bCs/>
              <w:kern w:val="0"/>
              <w:sz w:val="44"/>
              <w:szCs w:val="44"/>
            </w:rPr>
          </w:pPr>
        </w:p>
        <w:p w14:paraId="6492363C">
          <w:pPr>
            <w:jc w:val="center"/>
            <w:rPr>
              <w:rFonts w:ascii="黑体" w:hAnsi="黑体" w:eastAsia="黑体" w:cs="黑体"/>
              <w:b/>
              <w:bCs/>
              <w:kern w:val="0"/>
              <w:sz w:val="44"/>
              <w:szCs w:val="44"/>
            </w:rPr>
          </w:pPr>
          <w:r>
            <w:rPr>
              <w:rFonts w:hint="eastAsia" w:ascii="黑体" w:hAnsi="黑体" w:eastAsia="黑体" w:cs="黑体"/>
              <w:b/>
              <w:bCs/>
              <w:kern w:val="0"/>
              <w:sz w:val="44"/>
              <w:szCs w:val="44"/>
            </w:rPr>
            <w:t>案例目录</w:t>
          </w:r>
        </w:p>
        <w:p w14:paraId="2F58110E">
          <w:pPr>
            <w:pStyle w:val="30"/>
            <w:tabs>
              <w:tab w:val="right" w:leader="dot" w:pos="8306"/>
            </w:tabs>
            <w:spacing w:line="400" w:lineRule="exact"/>
            <w:jc w:val="both"/>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rPr>
            <w:fldChar w:fldCharType="begin"/>
          </w:r>
          <w:r>
            <w:rPr>
              <w:rFonts w:hint="eastAsia" w:ascii="楷体_GB2312" w:hAnsi="楷体_GB2312" w:eastAsia="楷体_GB2312" w:cs="楷体_GB2312"/>
              <w:kern w:val="2"/>
              <w:sz w:val="24"/>
              <w:szCs w:val="24"/>
            </w:rPr>
            <w:instrText xml:space="preserve">TOC \o "1-1" \h \u </w:instrText>
          </w:r>
          <w:r>
            <w:rPr>
              <w:rFonts w:hint="eastAsia" w:ascii="楷体_GB2312" w:hAnsi="楷体_GB2312" w:eastAsia="楷体_GB2312" w:cs="楷体_GB2312"/>
              <w:kern w:val="2"/>
              <w:sz w:val="24"/>
              <w:szCs w:val="24"/>
            </w:rPr>
            <w:fldChar w:fldCharType="separate"/>
          </w:r>
        </w:p>
        <w:p w14:paraId="13E53CDB">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案例1-1：绳舞青春的育人样本</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2</w:t>
          </w:r>
        </w:p>
        <w:p w14:paraId="270DDE8A">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案例1-2：德润其身 励志践行</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5</w:t>
          </w:r>
        </w:p>
        <w:p w14:paraId="4E058084">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案例1-3：心向阳光 逐光成长</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7</w:t>
          </w:r>
        </w:p>
        <w:p w14:paraId="495BAC79">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案例1-4：“千里始足下 行知贵日新”励志教育促成长</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9</w:t>
          </w:r>
        </w:p>
        <w:p w14:paraId="54561DAC">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案例1-5：构建资助育人体系 赋能学子成长成才</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11</w:t>
          </w:r>
        </w:p>
        <w:p w14:paraId="227FBCCF">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案例1-6：倾心学子，学习就业全流程跟踪服务</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13</w:t>
          </w:r>
        </w:p>
        <w:p w14:paraId="6923D413">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案例1-7：以文塑魂，以创致远——“古法蓝染”非遗项目赋能中职生综合素养</w:t>
          </w:r>
        </w:p>
        <w:p w14:paraId="69BF2A22">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培育</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15</w:t>
          </w:r>
        </w:p>
        <w:p w14:paraId="70B454BF">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案例1-8：“三维赋能”技能大赛育人模式创新实践</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17</w:t>
          </w:r>
        </w:p>
        <w:p w14:paraId="25D1A5C5">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zh-CN" w:eastAsia="zh-CN"/>
            </w:rPr>
            <w:fldChar w:fldCharType="begin"/>
          </w:r>
          <w:r>
            <w:rPr>
              <w:rFonts w:hint="eastAsia" w:ascii="楷体_GB2312" w:hAnsi="楷体_GB2312" w:eastAsia="楷体_GB2312" w:cs="楷体_GB2312"/>
              <w:kern w:val="2"/>
              <w:sz w:val="24"/>
              <w:szCs w:val="24"/>
              <w:lang w:val="zh-CN" w:eastAsia="zh-CN"/>
            </w:rPr>
            <w:instrText xml:space="preserve"> HYPERLINK \l _Toc20435 </w:instrText>
          </w:r>
          <w:r>
            <w:rPr>
              <w:rFonts w:hint="eastAsia" w:ascii="楷体_GB2312" w:hAnsi="楷体_GB2312" w:eastAsia="楷体_GB2312" w:cs="楷体_GB2312"/>
              <w:kern w:val="2"/>
              <w:sz w:val="24"/>
              <w:szCs w:val="24"/>
              <w:lang w:val="zh-CN" w:eastAsia="zh-CN"/>
            </w:rPr>
            <w:fldChar w:fldCharType="separate"/>
          </w:r>
          <w:r>
            <w:rPr>
              <w:rFonts w:hint="eastAsia" w:ascii="楷体_GB2312" w:hAnsi="楷体_GB2312" w:eastAsia="楷体_GB2312" w:cs="楷体_GB2312"/>
              <w:kern w:val="2"/>
              <w:sz w:val="24"/>
              <w:szCs w:val="24"/>
              <w:lang w:val="en-US" w:eastAsia="zh-CN"/>
            </w:rPr>
            <w:t>案例1-9：五年制高职贯通培养初见成效</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fldChar w:fldCharType="begin"/>
          </w:r>
          <w:r>
            <w:rPr>
              <w:rFonts w:hint="eastAsia" w:ascii="楷体_GB2312" w:hAnsi="楷体_GB2312" w:eastAsia="楷体_GB2312" w:cs="楷体_GB2312"/>
              <w:kern w:val="2"/>
              <w:sz w:val="24"/>
              <w:szCs w:val="24"/>
              <w:lang w:val="en-US" w:eastAsia="zh-CN"/>
            </w:rPr>
            <w:instrText xml:space="preserve"> PAGEREF _Toc20435 \h </w:instrText>
          </w:r>
          <w:r>
            <w:rPr>
              <w:rFonts w:hint="eastAsia" w:ascii="楷体_GB2312" w:hAnsi="楷体_GB2312" w:eastAsia="楷体_GB2312" w:cs="楷体_GB2312"/>
              <w:kern w:val="2"/>
              <w:sz w:val="24"/>
              <w:szCs w:val="24"/>
              <w:lang w:val="en-US" w:eastAsia="zh-CN"/>
            </w:rPr>
            <w:fldChar w:fldCharType="separate"/>
          </w:r>
          <w:r>
            <w:rPr>
              <w:rFonts w:hint="eastAsia" w:ascii="楷体_GB2312" w:hAnsi="楷体_GB2312" w:eastAsia="楷体_GB2312" w:cs="楷体_GB2312"/>
              <w:kern w:val="2"/>
              <w:sz w:val="24"/>
              <w:szCs w:val="24"/>
              <w:lang w:val="en-US" w:eastAsia="zh-CN"/>
            </w:rPr>
            <w:t>20</w:t>
          </w:r>
          <w:r>
            <w:rPr>
              <w:rFonts w:hint="eastAsia" w:ascii="楷体_GB2312" w:hAnsi="楷体_GB2312" w:eastAsia="楷体_GB2312" w:cs="楷体_GB2312"/>
              <w:kern w:val="2"/>
              <w:sz w:val="24"/>
              <w:szCs w:val="24"/>
              <w:lang w:val="en-US" w:eastAsia="zh-CN"/>
            </w:rPr>
            <w:fldChar w:fldCharType="end"/>
          </w:r>
          <w:r>
            <w:rPr>
              <w:rFonts w:hint="eastAsia" w:ascii="楷体_GB2312" w:hAnsi="楷体_GB2312" w:eastAsia="楷体_GB2312" w:cs="楷体_GB2312"/>
              <w:kern w:val="2"/>
              <w:sz w:val="24"/>
              <w:szCs w:val="24"/>
              <w:lang w:val="zh-CN" w:eastAsia="zh-CN"/>
            </w:rPr>
            <w:fldChar w:fldCharType="end"/>
          </w:r>
        </w:p>
        <w:p w14:paraId="3272B15E">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案例1-10：“三线并进，共融共创”的精品课程建设</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23</w:t>
          </w:r>
        </w:p>
        <w:p w14:paraId="60DA3BA9">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lang w:val="en-US" w:eastAsia="zh-CN"/>
            </w:rPr>
            <w:t>案例1-11：AI赋能精准教学，助力专业技能和职教高考双提升</w:t>
          </w:r>
          <w:r>
            <w:rPr>
              <w:rFonts w:hint="eastAsia" w:ascii="楷体_GB2312" w:hAnsi="楷体_GB2312" w:eastAsia="楷体_GB2312" w:cs="楷体_GB2312"/>
              <w:kern w:val="2"/>
              <w:sz w:val="24"/>
              <w:szCs w:val="24"/>
              <w:lang w:val="en-US" w:eastAsia="zh-CN"/>
            </w:rPr>
            <w:tab/>
          </w:r>
          <w:r>
            <w:rPr>
              <w:rFonts w:hint="eastAsia" w:ascii="楷体_GB2312" w:hAnsi="楷体_GB2312" w:eastAsia="楷体_GB2312" w:cs="楷体_GB2312"/>
              <w:kern w:val="2"/>
              <w:sz w:val="24"/>
              <w:szCs w:val="24"/>
              <w:lang w:val="en-US" w:eastAsia="zh-CN"/>
            </w:rPr>
            <w:t>26</w:t>
          </w:r>
        </w:p>
        <w:p w14:paraId="574B66AB">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default" w:ascii="楷体_GB2312" w:hAnsi="楷体_GB2312" w:eastAsia="楷体_GB2312" w:cs="楷体_GB2312"/>
              <w:kern w:val="2"/>
              <w:sz w:val="24"/>
              <w:szCs w:val="24"/>
              <w:lang w:val="en-US"/>
            </w:rPr>
            <w:t>案例</w:t>
          </w:r>
          <w:r>
            <w:rPr>
              <w:rFonts w:hint="eastAsia" w:ascii="楷体_GB2312" w:hAnsi="楷体_GB2312" w:eastAsia="楷体_GB2312" w:cs="楷体_GB2312"/>
              <w:kern w:val="2"/>
              <w:sz w:val="24"/>
              <w:szCs w:val="24"/>
              <w:lang w:val="en-US" w:eastAsia="zh-CN"/>
            </w:rPr>
            <w:t>1-</w:t>
          </w:r>
          <w:r>
            <w:rPr>
              <w:rFonts w:hint="default" w:ascii="楷体_GB2312" w:hAnsi="楷体_GB2312" w:eastAsia="楷体_GB2312" w:cs="楷体_GB2312"/>
              <w:kern w:val="2"/>
              <w:sz w:val="24"/>
              <w:szCs w:val="24"/>
              <w:lang w:val="en-US"/>
            </w:rPr>
            <w:t>12：构建“三级联动”机制，打造校企双元教材建设新范式</w:t>
          </w:r>
          <w:r>
            <w:rPr>
              <w:rFonts w:hint="default" w:ascii="楷体_GB2312" w:hAnsi="楷体_GB2312" w:eastAsia="楷体_GB2312" w:cs="楷体_GB2312"/>
              <w:kern w:val="2"/>
              <w:sz w:val="24"/>
              <w:szCs w:val="24"/>
              <w:lang w:val="en-US"/>
            </w:rPr>
            <w:tab/>
          </w:r>
          <w:r>
            <w:rPr>
              <w:rFonts w:hint="default" w:ascii="楷体_GB2312" w:hAnsi="楷体_GB2312" w:eastAsia="楷体_GB2312" w:cs="楷体_GB2312"/>
              <w:kern w:val="2"/>
              <w:sz w:val="24"/>
              <w:szCs w:val="24"/>
              <w:lang w:val="en-US"/>
            </w:rPr>
            <w:t>2</w:t>
          </w:r>
          <w:r>
            <w:rPr>
              <w:rFonts w:hint="eastAsia" w:ascii="楷体_GB2312" w:hAnsi="楷体_GB2312" w:eastAsia="楷体_GB2312" w:cs="楷体_GB2312"/>
              <w:kern w:val="2"/>
              <w:sz w:val="24"/>
              <w:szCs w:val="24"/>
              <w:lang w:val="en-US" w:eastAsia="zh-CN"/>
            </w:rPr>
            <w:t>8</w:t>
          </w:r>
        </w:p>
        <w:p w14:paraId="34D601AC">
          <w:pPr>
            <w:pStyle w:val="30"/>
            <w:tabs>
              <w:tab w:val="right" w:leader="dot" w:pos="8306"/>
            </w:tabs>
            <w:spacing w:line="400" w:lineRule="exact"/>
            <w:jc w:val="center"/>
            <w:rPr>
              <w:rFonts w:hint="default" w:ascii="楷体_GB2312" w:hAnsi="楷体_GB2312" w:eastAsia="楷体_GB2312" w:cs="楷体_GB2312"/>
              <w:kern w:val="2"/>
              <w:sz w:val="24"/>
              <w:szCs w:val="24"/>
              <w:lang w:val="en-US"/>
            </w:rPr>
          </w:pPr>
          <w:r>
            <w:rPr>
              <w:rFonts w:hint="default" w:ascii="楷体_GB2312" w:hAnsi="楷体_GB2312" w:eastAsia="楷体_GB2312" w:cs="楷体_GB2312"/>
              <w:kern w:val="2"/>
              <w:sz w:val="24"/>
              <w:szCs w:val="24"/>
              <w:lang w:val="en-US"/>
            </w:rPr>
            <w:t>案例</w:t>
          </w:r>
          <w:r>
            <w:rPr>
              <w:rFonts w:hint="eastAsia" w:ascii="楷体_GB2312" w:hAnsi="楷体_GB2312" w:eastAsia="楷体_GB2312" w:cs="楷体_GB2312"/>
              <w:kern w:val="2"/>
              <w:sz w:val="24"/>
              <w:szCs w:val="24"/>
              <w:lang w:val="en-US" w:eastAsia="zh-CN"/>
            </w:rPr>
            <w:t>1-</w:t>
          </w:r>
          <w:r>
            <w:rPr>
              <w:rFonts w:hint="default" w:ascii="楷体_GB2312" w:hAnsi="楷体_GB2312" w:eastAsia="楷体_GB2312" w:cs="楷体_GB2312"/>
              <w:kern w:val="2"/>
              <w:sz w:val="24"/>
              <w:szCs w:val="24"/>
              <w:lang w:val="en-US"/>
            </w:rPr>
            <w:t>13：职教高考，让中职生“跑”进大学校园</w:t>
          </w:r>
          <w:r>
            <w:rPr>
              <w:rFonts w:hint="default" w:ascii="楷体_GB2312" w:hAnsi="楷体_GB2312" w:eastAsia="楷体_GB2312" w:cs="楷体_GB2312"/>
              <w:kern w:val="2"/>
              <w:sz w:val="24"/>
              <w:szCs w:val="24"/>
              <w:lang w:val="en-US"/>
            </w:rPr>
            <w:tab/>
          </w:r>
          <w:r>
            <w:rPr>
              <w:rFonts w:hint="eastAsia" w:ascii="楷体_GB2312" w:hAnsi="楷体_GB2312" w:eastAsia="楷体_GB2312" w:cs="楷体_GB2312"/>
              <w:kern w:val="2"/>
              <w:sz w:val="24"/>
              <w:szCs w:val="24"/>
              <w:lang w:val="en-US" w:eastAsia="zh-CN"/>
            </w:rPr>
            <w:t>29</w:t>
          </w:r>
        </w:p>
        <w:p w14:paraId="15D5141B">
          <w:pPr>
            <w:pStyle w:val="30"/>
            <w:tabs>
              <w:tab w:val="right" w:leader="dot" w:pos="8306"/>
            </w:tabs>
            <w:spacing w:line="400" w:lineRule="exact"/>
            <w:jc w:val="center"/>
            <w:rPr>
              <w:rFonts w:hint="eastAsia" w:ascii="楷体_GB2312" w:hAnsi="楷体_GB2312" w:eastAsia="楷体_GB2312" w:cs="楷体_GB2312"/>
              <w:kern w:val="2"/>
              <w:sz w:val="24"/>
              <w:szCs w:val="24"/>
              <w:lang w:val="en-US" w:eastAsia="zh-CN"/>
            </w:rPr>
          </w:pPr>
          <w:r>
            <w:rPr>
              <w:rFonts w:hint="default" w:ascii="楷体_GB2312" w:hAnsi="楷体_GB2312" w:eastAsia="楷体_GB2312" w:cs="楷体_GB2312"/>
              <w:kern w:val="2"/>
              <w:sz w:val="24"/>
              <w:szCs w:val="24"/>
              <w:lang w:val="en-US"/>
            </w:rPr>
            <w:t>案例</w:t>
          </w:r>
          <w:r>
            <w:rPr>
              <w:rFonts w:hint="eastAsia" w:ascii="楷体_GB2312" w:hAnsi="楷体_GB2312" w:eastAsia="楷体_GB2312" w:cs="楷体_GB2312"/>
              <w:kern w:val="2"/>
              <w:sz w:val="24"/>
              <w:szCs w:val="24"/>
              <w:lang w:val="en-US" w:eastAsia="zh-CN"/>
            </w:rPr>
            <w:t>2-1</w:t>
          </w:r>
          <w:r>
            <w:rPr>
              <w:rFonts w:hint="default" w:ascii="楷体_GB2312" w:hAnsi="楷体_GB2312" w:eastAsia="楷体_GB2312" w:cs="楷体_GB2312"/>
              <w:kern w:val="2"/>
              <w:sz w:val="24"/>
              <w:szCs w:val="24"/>
              <w:lang w:val="en-US"/>
            </w:rPr>
            <w:t>：精准服务银发群体，创新开启终身学习新篇章</w:t>
          </w:r>
          <w:r>
            <w:rPr>
              <w:rFonts w:hint="default" w:ascii="楷体_GB2312" w:hAnsi="楷体_GB2312" w:eastAsia="楷体_GB2312" w:cs="楷体_GB2312"/>
              <w:kern w:val="2"/>
              <w:sz w:val="24"/>
              <w:szCs w:val="24"/>
              <w:lang w:val="en-US"/>
            </w:rPr>
            <w:tab/>
          </w:r>
          <w:r>
            <w:rPr>
              <w:rFonts w:hint="default" w:ascii="楷体_GB2312" w:hAnsi="楷体_GB2312" w:eastAsia="楷体_GB2312" w:cs="楷体_GB2312"/>
              <w:kern w:val="2"/>
              <w:sz w:val="24"/>
              <w:szCs w:val="24"/>
              <w:lang w:val="en-US"/>
            </w:rPr>
            <w:t>3</w:t>
          </w:r>
          <w:r>
            <w:rPr>
              <w:rFonts w:hint="eastAsia" w:ascii="楷体_GB2312" w:hAnsi="楷体_GB2312" w:eastAsia="楷体_GB2312" w:cs="楷体_GB2312"/>
              <w:kern w:val="2"/>
              <w:sz w:val="24"/>
              <w:szCs w:val="24"/>
              <w:lang w:val="en-US" w:eastAsia="zh-CN"/>
            </w:rPr>
            <w:t>5</w:t>
          </w:r>
        </w:p>
        <w:p w14:paraId="713EA542">
          <w:pPr>
            <w:pStyle w:val="30"/>
            <w:tabs>
              <w:tab w:val="right" w:leader="dot" w:pos="8306"/>
            </w:tabs>
            <w:spacing w:line="400" w:lineRule="exact"/>
            <w:jc w:val="center"/>
            <w:rPr>
              <w:rFonts w:hint="default" w:ascii="楷体_GB2312" w:hAnsi="楷体_GB2312" w:eastAsia="楷体_GB2312" w:cs="楷体_GB2312"/>
              <w:kern w:val="2"/>
              <w:sz w:val="24"/>
              <w:szCs w:val="24"/>
              <w:lang w:val="en-US"/>
            </w:rPr>
          </w:pPr>
          <w:r>
            <w:rPr>
              <w:rFonts w:hint="default" w:ascii="楷体_GB2312" w:hAnsi="楷体_GB2312" w:eastAsia="楷体_GB2312" w:cs="楷体_GB2312"/>
              <w:kern w:val="2"/>
              <w:sz w:val="24"/>
              <w:szCs w:val="24"/>
              <w:lang w:val="en-US"/>
            </w:rPr>
            <w:t>案例</w:t>
          </w:r>
          <w:r>
            <w:rPr>
              <w:rFonts w:hint="eastAsia" w:ascii="楷体_GB2312" w:hAnsi="楷体_GB2312" w:eastAsia="楷体_GB2312" w:cs="楷体_GB2312"/>
              <w:kern w:val="2"/>
              <w:sz w:val="24"/>
              <w:szCs w:val="24"/>
              <w:lang w:val="en-US" w:eastAsia="zh-CN"/>
            </w:rPr>
            <w:t>2-2</w:t>
          </w:r>
          <w:r>
            <w:rPr>
              <w:rFonts w:hint="default" w:ascii="楷体_GB2312" w:hAnsi="楷体_GB2312" w:eastAsia="楷体_GB2312" w:cs="楷体_GB2312"/>
              <w:kern w:val="2"/>
              <w:sz w:val="24"/>
              <w:szCs w:val="24"/>
              <w:lang w:val="en-US"/>
            </w:rPr>
            <w:t>：精准服务，筑牢家长心理健康“防护网”</w:t>
          </w:r>
          <w:r>
            <w:rPr>
              <w:rFonts w:hint="default" w:ascii="楷体_GB2312" w:hAnsi="楷体_GB2312" w:eastAsia="楷体_GB2312" w:cs="楷体_GB2312"/>
              <w:kern w:val="2"/>
              <w:sz w:val="24"/>
              <w:szCs w:val="24"/>
              <w:lang w:val="en-US"/>
            </w:rPr>
            <w:tab/>
          </w:r>
          <w:r>
            <w:rPr>
              <w:rFonts w:hint="default" w:ascii="楷体_GB2312" w:hAnsi="楷体_GB2312" w:eastAsia="楷体_GB2312" w:cs="楷体_GB2312"/>
              <w:kern w:val="2"/>
              <w:sz w:val="24"/>
              <w:szCs w:val="24"/>
              <w:lang w:val="en-US"/>
            </w:rPr>
            <w:t>37</w:t>
          </w:r>
        </w:p>
        <w:p w14:paraId="4C1445C1">
          <w:pPr>
            <w:pStyle w:val="30"/>
            <w:tabs>
              <w:tab w:val="right" w:leader="dot" w:pos="8306"/>
            </w:tabs>
            <w:spacing w:line="400" w:lineRule="exact"/>
            <w:jc w:val="center"/>
            <w:rPr>
              <w:rFonts w:hint="default"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2-3</w:t>
          </w:r>
          <w:r>
            <w:rPr>
              <w:rFonts w:hint="eastAsia" w:ascii="楷体_GB2312" w:hAnsi="楷体_GB2312" w:eastAsia="楷体_GB2312" w:cs="楷体_GB2312"/>
              <w:kern w:val="2"/>
              <w:sz w:val="24"/>
              <w:szCs w:val="24"/>
            </w:rPr>
            <w:t>：精准服务，筑牢家长心理健康“防护网”</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lang w:val="en-US" w:eastAsia="zh-CN"/>
            </w:rPr>
            <w:t>38</w:t>
          </w:r>
        </w:p>
        <w:p w14:paraId="1C279DD5">
          <w:pPr>
            <w:pStyle w:val="30"/>
            <w:tabs>
              <w:tab w:val="right" w:leader="dot" w:pos="8306"/>
            </w:tabs>
            <w:spacing w:line="400" w:lineRule="exact"/>
            <w:jc w:val="center"/>
            <w:rPr>
              <w:rFonts w:hint="default"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2-4</w:t>
          </w:r>
          <w:r>
            <w:rPr>
              <w:rFonts w:hint="eastAsia" w:ascii="楷体_GB2312" w:hAnsi="楷体_GB2312" w:eastAsia="楷体_GB2312" w:cs="楷体_GB2312"/>
              <w:kern w:val="2"/>
              <w:sz w:val="24"/>
              <w:szCs w:val="24"/>
            </w:rPr>
            <w:t>：家校智育启航，引领家庭教育新风尚</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lang w:val="en-US" w:eastAsia="zh-CN"/>
            </w:rPr>
            <w:t>39</w:t>
          </w:r>
        </w:p>
        <w:p w14:paraId="396B99C8">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3-1</w:t>
          </w:r>
          <w:r>
            <w:rPr>
              <w:rFonts w:hint="eastAsia" w:ascii="楷体_GB2312" w:hAnsi="楷体_GB2312" w:eastAsia="楷体_GB2312" w:cs="楷体_GB2312"/>
              <w:kern w:val="2"/>
              <w:sz w:val="24"/>
              <w:szCs w:val="24"/>
            </w:rPr>
            <w:t>：以赛育匠、以技砺心</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4</w:t>
          </w:r>
          <w:r>
            <w:rPr>
              <w:rFonts w:hint="eastAsia" w:ascii="楷体_GB2312" w:hAnsi="楷体_GB2312" w:eastAsia="楷体_GB2312" w:cs="楷体_GB2312"/>
              <w:kern w:val="2"/>
              <w:sz w:val="24"/>
              <w:szCs w:val="24"/>
              <w:lang w:val="en-US" w:eastAsia="zh-CN"/>
            </w:rPr>
            <w:t>1</w:t>
          </w:r>
        </w:p>
        <w:p w14:paraId="0421CA12">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3-2</w:t>
          </w:r>
          <w:r>
            <w:rPr>
              <w:rFonts w:hint="eastAsia" w:ascii="楷体_GB2312" w:hAnsi="楷体_GB2312" w:eastAsia="楷体_GB2312" w:cs="楷体_GB2312"/>
              <w:kern w:val="2"/>
              <w:sz w:val="24"/>
              <w:szCs w:val="24"/>
            </w:rPr>
            <w:t>：国画传承，笔墨里的文化赋能</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4</w:t>
          </w:r>
          <w:r>
            <w:rPr>
              <w:rFonts w:hint="eastAsia" w:ascii="楷体_GB2312" w:hAnsi="楷体_GB2312" w:eastAsia="楷体_GB2312" w:cs="楷体_GB2312"/>
              <w:kern w:val="2"/>
              <w:sz w:val="24"/>
              <w:szCs w:val="24"/>
              <w:lang w:val="en-US" w:eastAsia="zh-CN"/>
            </w:rPr>
            <w:t>4</w:t>
          </w:r>
        </w:p>
        <w:p w14:paraId="53D8ACD4">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3-3</w:t>
          </w:r>
          <w:r>
            <w:rPr>
              <w:rFonts w:hint="eastAsia" w:ascii="楷体_GB2312" w:hAnsi="楷体_GB2312" w:eastAsia="楷体_GB2312" w:cs="楷体_GB2312"/>
              <w:kern w:val="2"/>
              <w:sz w:val="24"/>
              <w:szCs w:val="24"/>
            </w:rPr>
            <w:t>：弘扬职业精神，打造有职业特色的校园文化</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4</w:t>
          </w:r>
          <w:r>
            <w:rPr>
              <w:rFonts w:hint="eastAsia" w:ascii="楷体_GB2312" w:hAnsi="楷体_GB2312" w:eastAsia="楷体_GB2312" w:cs="楷体_GB2312"/>
              <w:kern w:val="2"/>
              <w:sz w:val="24"/>
              <w:szCs w:val="24"/>
              <w:lang w:val="en-US" w:eastAsia="zh-CN"/>
            </w:rPr>
            <w:t>6</w:t>
          </w:r>
        </w:p>
        <w:p w14:paraId="44DCA4DB">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3-4</w:t>
          </w:r>
          <w:r>
            <w:rPr>
              <w:rFonts w:hint="eastAsia" w:ascii="楷体_GB2312" w:hAnsi="楷体_GB2312" w:eastAsia="楷体_GB2312" w:cs="楷体_GB2312"/>
              <w:kern w:val="2"/>
              <w:sz w:val="24"/>
              <w:szCs w:val="24"/>
            </w:rPr>
            <w:t>：弘扬劳模工匠精神，构建沉浸式育人生态</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4</w:t>
          </w:r>
          <w:r>
            <w:rPr>
              <w:rFonts w:hint="eastAsia" w:ascii="楷体_GB2312" w:hAnsi="楷体_GB2312" w:eastAsia="楷体_GB2312" w:cs="楷体_GB2312"/>
              <w:kern w:val="2"/>
              <w:sz w:val="24"/>
              <w:szCs w:val="24"/>
              <w:lang w:val="en-US" w:eastAsia="zh-CN"/>
            </w:rPr>
            <w:t>7</w:t>
          </w:r>
        </w:p>
        <w:p w14:paraId="4FC496AB">
          <w:pPr>
            <w:pStyle w:val="30"/>
            <w:tabs>
              <w:tab w:val="right" w:leader="dot" w:pos="8306"/>
            </w:tabs>
            <w:spacing w:line="400" w:lineRule="exact"/>
            <w:jc w:val="center"/>
            <w:rPr>
              <w:rFonts w:hint="eastAsia" w:ascii="楷体_GB2312" w:hAnsi="楷体_GB2312" w:eastAsia="楷体_GB2312" w:cs="楷体_GB2312"/>
              <w:kern w:val="2"/>
              <w:sz w:val="24"/>
              <w:szCs w:val="24"/>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3-5</w:t>
          </w:r>
          <w:r>
            <w:rPr>
              <w:rFonts w:hint="eastAsia" w:ascii="楷体_GB2312" w:hAnsi="楷体_GB2312" w:eastAsia="楷体_GB2312" w:cs="楷体_GB2312"/>
              <w:kern w:val="2"/>
              <w:sz w:val="24"/>
              <w:szCs w:val="24"/>
            </w:rPr>
            <w:t>：搭建“人人皆可出彩”的实践舞台</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lang w:val="en-US" w:eastAsia="zh-CN"/>
            </w:rPr>
            <w:t>48</w:t>
          </w:r>
        </w:p>
        <w:p w14:paraId="4096CEDE">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4-1</w:t>
          </w:r>
          <w:r>
            <w:rPr>
              <w:rFonts w:hint="eastAsia" w:ascii="楷体_GB2312" w:hAnsi="楷体_GB2312" w:eastAsia="楷体_GB2312" w:cs="楷体_GB2312"/>
              <w:kern w:val="2"/>
              <w:sz w:val="24"/>
              <w:szCs w:val="24"/>
            </w:rPr>
            <w:t>：深化对外交流合作，构筑国际教育桥梁</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5</w:t>
          </w:r>
          <w:r>
            <w:rPr>
              <w:rFonts w:hint="eastAsia" w:ascii="楷体_GB2312" w:hAnsi="楷体_GB2312" w:eastAsia="楷体_GB2312" w:cs="楷体_GB2312"/>
              <w:kern w:val="2"/>
              <w:sz w:val="24"/>
              <w:szCs w:val="24"/>
              <w:lang w:val="en-US" w:eastAsia="zh-CN"/>
            </w:rPr>
            <w:t>0</w:t>
          </w:r>
        </w:p>
        <w:p w14:paraId="6FB2749B">
          <w:pPr>
            <w:pStyle w:val="30"/>
            <w:tabs>
              <w:tab w:val="right" w:leader="dot" w:pos="8306"/>
            </w:tabs>
            <w:spacing w:line="400" w:lineRule="exact"/>
            <w:jc w:val="center"/>
            <w:rPr>
              <w:rFonts w:hint="default" w:ascii="楷体_GB2312" w:hAnsi="楷体_GB2312" w:eastAsia="楷体_GB2312" w:cs="楷体_GB2312"/>
              <w:kern w:val="2"/>
              <w:sz w:val="24"/>
              <w:szCs w:val="24"/>
              <w:lang w:val="en-US"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5-1</w:t>
          </w:r>
          <w:r>
            <w:rPr>
              <w:rFonts w:hint="eastAsia" w:ascii="楷体_GB2312" w:hAnsi="楷体_GB2312" w:eastAsia="楷体_GB2312" w:cs="楷体_GB2312"/>
              <w:kern w:val="2"/>
              <w:sz w:val="24"/>
              <w:szCs w:val="24"/>
            </w:rPr>
            <w:t>：普来瑞汽车产业学院构建产教融合新生态</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lang w:val="en-US" w:eastAsia="zh-CN"/>
            </w:rPr>
            <w:t>59</w:t>
          </w:r>
        </w:p>
        <w:p w14:paraId="7ECD8053">
          <w:pPr>
            <w:pStyle w:val="30"/>
            <w:tabs>
              <w:tab w:val="right" w:leader="dot" w:pos="8306"/>
            </w:tabs>
            <w:spacing w:line="400" w:lineRule="exact"/>
            <w:jc w:val="center"/>
            <w:rPr>
              <w:rFonts w:hint="eastAsia" w:ascii="楷体_GB2312" w:hAnsi="楷体_GB2312" w:eastAsia="楷体_GB2312" w:cs="楷体_GB2312"/>
              <w:kern w:val="2"/>
              <w:sz w:val="24"/>
              <w:szCs w:val="24"/>
              <w:lang w:eastAsia="zh-CN"/>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6-1</w:t>
          </w:r>
          <w:r>
            <w:rPr>
              <w:rFonts w:hint="eastAsia" w:ascii="楷体_GB2312" w:hAnsi="楷体_GB2312" w:eastAsia="楷体_GB2312" w:cs="楷体_GB2312"/>
              <w:kern w:val="2"/>
              <w:sz w:val="24"/>
              <w:szCs w:val="24"/>
            </w:rPr>
            <w:t>：创建特色品牌项目  推动党建走深走实</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rPr>
            <w:t>6</w:t>
          </w:r>
          <w:r>
            <w:rPr>
              <w:rFonts w:hint="eastAsia" w:ascii="楷体_GB2312" w:hAnsi="楷体_GB2312" w:eastAsia="楷体_GB2312" w:cs="楷体_GB2312"/>
              <w:kern w:val="2"/>
              <w:sz w:val="24"/>
              <w:szCs w:val="24"/>
              <w:lang w:val="en-US" w:eastAsia="zh-CN"/>
            </w:rPr>
            <w:t>1</w:t>
          </w:r>
        </w:p>
        <w:p w14:paraId="171CE988">
          <w:pPr>
            <w:pStyle w:val="30"/>
            <w:tabs>
              <w:tab w:val="right" w:leader="dot" w:pos="8306"/>
            </w:tabs>
            <w:spacing w:line="400" w:lineRule="exact"/>
            <w:jc w:val="center"/>
            <w:rPr>
              <w:rFonts w:hint="eastAsia" w:ascii="楷体_GB2312" w:hAnsi="楷体_GB2312" w:eastAsia="楷体_GB2312" w:cs="楷体_GB2312"/>
              <w:kern w:val="2"/>
              <w:sz w:val="24"/>
              <w:szCs w:val="24"/>
            </w:rPr>
          </w:pPr>
          <w:r>
            <w:rPr>
              <w:rFonts w:hint="eastAsia" w:ascii="楷体_GB2312" w:hAnsi="楷体_GB2312" w:eastAsia="楷体_GB2312" w:cs="楷体_GB2312"/>
              <w:kern w:val="2"/>
              <w:sz w:val="24"/>
              <w:szCs w:val="24"/>
            </w:rPr>
            <w:t>案例</w:t>
          </w:r>
          <w:r>
            <w:rPr>
              <w:rFonts w:hint="eastAsia" w:ascii="楷体_GB2312" w:hAnsi="楷体_GB2312" w:eastAsia="楷体_GB2312" w:cs="楷体_GB2312"/>
              <w:kern w:val="2"/>
              <w:sz w:val="24"/>
              <w:szCs w:val="24"/>
              <w:lang w:val="en-US" w:eastAsia="zh-CN"/>
            </w:rPr>
            <w:t>6-2</w:t>
          </w:r>
          <w:r>
            <w:rPr>
              <w:rFonts w:hint="eastAsia" w:ascii="楷体_GB2312" w:hAnsi="楷体_GB2312" w:eastAsia="楷体_GB2312" w:cs="楷体_GB2312"/>
              <w:kern w:val="2"/>
              <w:sz w:val="24"/>
              <w:szCs w:val="24"/>
            </w:rPr>
            <w:t>：体系赋能，雏鹰振翅——淄博理工学校青年教师培养实践</w:t>
          </w:r>
          <w:r>
            <w:rPr>
              <w:rFonts w:hint="eastAsia" w:ascii="楷体_GB2312" w:hAnsi="楷体_GB2312" w:eastAsia="楷体_GB2312" w:cs="楷体_GB2312"/>
              <w:kern w:val="2"/>
              <w:sz w:val="24"/>
              <w:szCs w:val="24"/>
            </w:rPr>
            <w:tab/>
          </w:r>
          <w:r>
            <w:rPr>
              <w:rFonts w:hint="eastAsia" w:ascii="楷体_GB2312" w:hAnsi="楷体_GB2312" w:eastAsia="楷体_GB2312" w:cs="楷体_GB2312"/>
              <w:kern w:val="2"/>
              <w:sz w:val="24"/>
              <w:szCs w:val="24"/>
              <w:lang w:val="en-US" w:eastAsia="zh-CN"/>
            </w:rPr>
            <w:t>68</w:t>
          </w:r>
        </w:p>
        <w:p w14:paraId="76EA833A">
          <w:pPr>
            <w:pStyle w:val="30"/>
            <w:tabs>
              <w:tab w:val="right" w:leader="dot" w:pos="8306"/>
            </w:tabs>
            <w:spacing w:line="400" w:lineRule="exact"/>
            <w:jc w:val="center"/>
            <w:rPr>
              <w:rFonts w:hint="eastAsia" w:ascii="楷体_GB2312" w:hAnsi="楷体_GB2312" w:eastAsia="楷体_GB2312" w:cs="楷体_GB2312"/>
              <w:kern w:val="2"/>
              <w:sz w:val="24"/>
              <w:szCs w:val="24"/>
            </w:rPr>
          </w:pPr>
        </w:p>
        <w:p w14:paraId="489E12D7">
          <w:pPr>
            <w:pStyle w:val="4"/>
            <w:spacing w:line="400" w:lineRule="exact"/>
            <w:jc w:val="center"/>
            <w:sectPr>
              <w:footerReference r:id="rId4" w:type="default"/>
              <w:pgSz w:w="11906" w:h="16838"/>
              <w:pgMar w:top="1134" w:right="1134" w:bottom="1134" w:left="1134" w:header="851" w:footer="992" w:gutter="0"/>
              <w:pgNumType w:start="1"/>
              <w:cols w:space="425" w:num="1"/>
              <w:docGrid w:type="lines" w:linePitch="312" w:charSpace="0"/>
            </w:sectPr>
          </w:pPr>
          <w:r>
            <w:rPr>
              <w:rFonts w:hint="eastAsia" w:ascii="楷体_GB2312" w:hAnsi="楷体_GB2312" w:eastAsia="楷体_GB2312" w:cs="楷体_GB2312"/>
              <w:sz w:val="24"/>
              <w:szCs w:val="24"/>
            </w:rPr>
            <w:fldChar w:fldCharType="end"/>
          </w:r>
        </w:p>
      </w:sdtContent>
    </w:sdt>
    <w:bookmarkEnd w:id="1"/>
    <w:p w14:paraId="0CF02787">
      <w:pPr>
        <w:pStyle w:val="2"/>
        <w:pageBreakBefore w:val="0"/>
        <w:widowControl w:val="0"/>
        <w:numPr>
          <w:ilvl w:val="0"/>
          <w:numId w:val="0"/>
        </w:numPr>
        <w:kinsoku/>
        <w:wordWrap/>
        <w:overflowPunct/>
        <w:topLinePunct w:val="0"/>
        <w:autoSpaceDE/>
        <w:autoSpaceDN/>
        <w:bidi w:val="0"/>
        <w:spacing w:before="0" w:after="0" w:line="560" w:lineRule="exact"/>
        <w:ind w:firstLine="643" w:firstLineChars="200"/>
        <w:textAlignment w:val="auto"/>
        <w:rPr>
          <w:rFonts w:ascii="黑体" w:hAnsi="黑体" w:eastAsia="黑体"/>
          <w:bCs w:val="0"/>
          <w:sz w:val="32"/>
          <w:szCs w:val="32"/>
        </w:rPr>
      </w:pPr>
      <w:bookmarkStart w:id="2" w:name="_Toc30861"/>
      <w:r>
        <w:rPr>
          <w:rFonts w:hint="eastAsia" w:ascii="黑体" w:hAnsi="黑体" w:eastAsia="黑体" w:cs="Times New Roman"/>
          <w:b/>
          <w:bCs w:val="0"/>
          <w:kern w:val="44"/>
          <w:sz w:val="32"/>
          <w:szCs w:val="32"/>
          <w:lang w:val="en-US" w:eastAsia="zh-CN" w:bidi="ar-SA"/>
        </w:rPr>
        <w:t>一、</w:t>
      </w:r>
      <w:r>
        <w:rPr>
          <w:rFonts w:hint="eastAsia" w:ascii="黑体" w:hAnsi="黑体" w:eastAsia="黑体"/>
          <w:bCs w:val="0"/>
          <w:sz w:val="32"/>
          <w:szCs w:val="32"/>
          <w:lang w:val="en-US" w:eastAsia="zh-CN"/>
        </w:rPr>
        <w:t>人才培养</w:t>
      </w:r>
      <w:bookmarkEnd w:id="2"/>
    </w:p>
    <w:p w14:paraId="2877B876">
      <w:pPr>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仿宋_GB2312" w:hAnsi="黑体" w:eastAsia="仿宋_GB2312"/>
          <w:sz w:val="28"/>
          <w:szCs w:val="28"/>
        </w:rPr>
      </w:pPr>
      <w:bookmarkStart w:id="3" w:name="_Toc466962371"/>
      <w:r>
        <w:rPr>
          <w:rFonts w:hint="eastAsia" w:ascii="仿宋_GB2312" w:hAnsi="黑体" w:eastAsia="仿宋_GB2312"/>
          <w:sz w:val="28"/>
          <w:szCs w:val="28"/>
        </w:rPr>
        <w:t>学校充分发挥思想政治教育主渠道作用，</w:t>
      </w:r>
      <w:r>
        <w:rPr>
          <w:rFonts w:hint="eastAsia" w:ascii="仿宋_GB2312" w:hAnsi="黑体" w:eastAsia="仿宋_GB2312"/>
          <w:sz w:val="28"/>
          <w:szCs w:val="28"/>
          <w:lang w:val="en-US" w:eastAsia="zh-CN"/>
        </w:rPr>
        <w:t>发挥</w:t>
      </w:r>
      <w:r>
        <w:rPr>
          <w:rFonts w:hint="eastAsia" w:ascii="仿宋_GB2312" w:hAnsi="黑体" w:eastAsia="仿宋_GB2312"/>
          <w:sz w:val="28"/>
          <w:szCs w:val="28"/>
        </w:rPr>
        <w:t>“课程思政”的</w:t>
      </w:r>
      <w:r>
        <w:rPr>
          <w:rFonts w:hint="eastAsia" w:ascii="仿宋_GB2312" w:hAnsi="黑体" w:eastAsia="仿宋_GB2312"/>
          <w:sz w:val="28"/>
          <w:szCs w:val="28"/>
          <w:lang w:val="en-US" w:eastAsia="zh-CN"/>
        </w:rPr>
        <w:t>重要作用</w:t>
      </w:r>
      <w:r>
        <w:rPr>
          <w:rFonts w:hint="eastAsia" w:ascii="仿宋_GB2312" w:hAnsi="黑体" w:eastAsia="仿宋_GB2312"/>
          <w:sz w:val="28"/>
          <w:szCs w:val="28"/>
        </w:rPr>
        <w:t>，创新构建了五育并举的新时代育人模式，</w:t>
      </w:r>
      <w:r>
        <w:rPr>
          <w:rFonts w:hint="eastAsia" w:ascii="仿宋_GB2312" w:hAnsi="黑体" w:eastAsia="仿宋_GB2312"/>
          <w:sz w:val="28"/>
          <w:szCs w:val="28"/>
          <w:lang w:val="en-US" w:eastAsia="zh-CN"/>
        </w:rPr>
        <w:t>深化专业建设，</w:t>
      </w:r>
      <w:r>
        <w:rPr>
          <w:rFonts w:hint="eastAsia" w:ascii="仿宋_GB2312" w:hAnsi="黑体" w:eastAsia="仿宋_GB2312"/>
          <w:sz w:val="28"/>
          <w:szCs w:val="28"/>
        </w:rPr>
        <w:t>注重培养学生创业精神、创新意识和创新能力</w:t>
      </w:r>
      <w:r>
        <w:rPr>
          <w:rFonts w:hint="eastAsia" w:ascii="仿宋_GB2312" w:hAnsi="黑体" w:eastAsia="仿宋_GB2312"/>
          <w:sz w:val="28"/>
          <w:szCs w:val="28"/>
          <w:lang w:eastAsia="zh-CN"/>
        </w:rPr>
        <w:t>，</w:t>
      </w:r>
      <w:r>
        <w:rPr>
          <w:rFonts w:hint="eastAsia" w:ascii="仿宋_GB2312" w:hAnsi="黑体" w:eastAsia="仿宋_GB2312"/>
          <w:sz w:val="28"/>
          <w:szCs w:val="28"/>
        </w:rPr>
        <w:t>引领中职学生扣好人生第一粒扣子。</w:t>
      </w:r>
    </w:p>
    <w:p w14:paraId="5A065EB7">
      <w:pPr>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default" w:ascii="宋体" w:hAnsi="宋体" w:eastAsia="仿宋_GB2312" w:cs="宋体"/>
          <w:kern w:val="0"/>
          <w:sz w:val="24"/>
          <w:lang w:val="en-US" w:eastAsia="zh-CN" w:bidi="ar"/>
        </w:rPr>
      </w:pPr>
      <w:r>
        <w:rPr>
          <w:rFonts w:hint="eastAsia" w:ascii="仿宋_GB2312" w:hAnsi="黑体" w:eastAsia="仿宋_GB2312"/>
          <w:sz w:val="28"/>
          <w:szCs w:val="28"/>
        </w:rPr>
        <w:t>学校现有在校生3431人，其中服纺系282人,计财系1205人,学前教育系776人,汽修系490人,机电分校425人,陶艺分校253人。</w:t>
      </w:r>
      <w:r>
        <w:rPr>
          <w:rFonts w:hint="eastAsia" w:ascii="仿宋_GB2312" w:hAnsi="黑体" w:eastAsia="仿宋_GB2312"/>
          <w:sz w:val="28"/>
          <w:szCs w:val="28"/>
          <w:lang w:val="en-US" w:eastAsia="zh-CN"/>
        </w:rPr>
        <w:t>如图1-1所示：</w:t>
      </w:r>
    </w:p>
    <w:p w14:paraId="410A97B7">
      <w:pPr>
        <w:widowControl/>
        <w:jc w:val="center"/>
      </w:pPr>
      <w:r>
        <w:drawing>
          <wp:inline distT="0" distB="0" distL="114300" distR="114300">
            <wp:extent cx="5274310" cy="2127885"/>
            <wp:effectExtent l="0" t="0" r="13970" b="571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11"/>
                    <a:stretch>
                      <a:fillRect/>
                    </a:stretch>
                  </pic:blipFill>
                  <pic:spPr>
                    <a:xfrm>
                      <a:off x="0" y="0"/>
                      <a:ext cx="5274310" cy="2127885"/>
                    </a:xfrm>
                    <a:prstGeom prst="rect">
                      <a:avLst/>
                    </a:prstGeom>
                    <a:noFill/>
                    <a:ln>
                      <a:noFill/>
                    </a:ln>
                  </pic:spPr>
                </pic:pic>
              </a:graphicData>
            </a:graphic>
          </wp:inline>
        </w:drawing>
      </w:r>
    </w:p>
    <w:p w14:paraId="2F57065C">
      <w:pPr>
        <w:pStyle w:val="6"/>
        <w:adjustRightInd w:val="0"/>
        <w:snapToGrid w:val="0"/>
        <w:ind w:firstLine="480" w:firstLineChars="200"/>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4" w:name="_Toc9583"/>
      <w:bookmarkStart w:id="5" w:name="_Toc32203"/>
      <w:bookmarkStart w:id="6" w:name="_Toc17781"/>
      <w:bookmarkStart w:id="7" w:name="_Toc549"/>
      <w:bookmarkStart w:id="8" w:name="_Toc28344"/>
      <w:r>
        <w:rPr>
          <w:rFonts w:hint="eastAsia" w:ascii="楷体_GB2312" w:hAnsi="楷体_GB2312" w:eastAsia="楷体_GB2312" w:cs="楷体_GB2312"/>
          <w:sz w:val="24"/>
          <w:lang w:val="en-US" w:eastAsia="zh-CN"/>
        </w:rPr>
        <w:t>1-1</w:t>
      </w:r>
      <w:r>
        <w:rPr>
          <w:rFonts w:hint="eastAsia" w:ascii="楷体_GB2312" w:hAnsi="楷体_GB2312" w:eastAsia="楷体_GB2312" w:cs="楷体_GB2312"/>
          <w:sz w:val="24"/>
        </w:rPr>
        <w:t xml:space="preserve"> 全日制在校生分布图</w:t>
      </w:r>
      <w:bookmarkEnd w:id="4"/>
      <w:bookmarkEnd w:id="5"/>
      <w:bookmarkEnd w:id="6"/>
      <w:bookmarkEnd w:id="7"/>
      <w:bookmarkEnd w:id="8"/>
    </w:p>
    <w:p w14:paraId="00FE78BE">
      <w:pPr>
        <w:pStyle w:val="6"/>
        <w:adjustRightInd w:val="0"/>
        <w:snapToGrid w:val="0"/>
        <w:ind w:firstLine="480" w:firstLineChars="200"/>
        <w:jc w:val="left"/>
        <w:rPr>
          <w:rFonts w:ascii="仿宋_GB2312" w:hAnsi="黑体" w:eastAsia="仿宋_GB2312"/>
          <w:sz w:val="28"/>
          <w:szCs w:val="28"/>
        </w:rPr>
      </w:pPr>
      <w:r>
        <w:rPr>
          <w:rFonts w:hint="eastAsia" w:ascii="楷体_GB2312" w:hAnsi="楷体_GB2312" w:eastAsia="楷体_GB2312" w:cs="楷体_GB2312"/>
          <w:sz w:val="24"/>
          <w:lang w:val="en-US" w:eastAsia="zh-CN"/>
        </w:rPr>
        <w:t>（数据来源：中职学校学籍管理系统）</w:t>
      </w:r>
      <w:r>
        <w:rPr>
          <w:rFonts w:ascii="仿宋_GB2312" w:hAnsi="黑体" w:eastAsia="仿宋_GB2312"/>
          <w:sz w:val="28"/>
          <w:szCs w:val="28"/>
        </w:rPr>
        <w:t xml:space="preserve">              </w:t>
      </w:r>
    </w:p>
    <w:p w14:paraId="0779AB9E">
      <w:pPr>
        <w:spacing w:line="400" w:lineRule="exact"/>
        <w:ind w:firstLine="560" w:firstLineChars="200"/>
        <w:rPr>
          <w:rFonts w:hint="eastAsia" w:ascii="仿宋_GB2312" w:eastAsia="仿宋_GB2312"/>
          <w:sz w:val="28"/>
          <w:szCs w:val="28"/>
        </w:rPr>
      </w:pPr>
      <w:r>
        <w:rPr>
          <w:rFonts w:hint="eastAsia" w:ascii="仿宋_GB2312" w:eastAsia="仿宋_GB2312"/>
          <w:sz w:val="28"/>
          <w:szCs w:val="28"/>
        </w:rPr>
        <w:t>另外，学校纳入来自淄川中学、般阳中学、淄博十中的职普融通学生，在校生385人。</w:t>
      </w:r>
    </w:p>
    <w:p w14:paraId="75E5BFDF">
      <w:pPr>
        <w:spacing w:line="400" w:lineRule="exact"/>
        <w:ind w:firstLine="560" w:firstLineChars="200"/>
        <w:rPr>
          <w:rFonts w:hint="default" w:ascii="仿宋_GB2312" w:eastAsia="仿宋_GB2312"/>
          <w:sz w:val="28"/>
          <w:szCs w:val="28"/>
          <w:lang w:val="en-US" w:eastAsia="zh-CN"/>
        </w:rPr>
      </w:pPr>
      <w:r>
        <w:rPr>
          <w:rFonts w:hint="eastAsia" w:ascii="仿宋_GB2312" w:eastAsia="仿宋_GB2312"/>
          <w:sz w:val="28"/>
          <w:szCs w:val="28"/>
        </w:rPr>
        <w:t>2025年，学校共招收全日制新生1122人。</w:t>
      </w:r>
      <w:r>
        <w:rPr>
          <w:rFonts w:hint="eastAsia" w:ascii="仿宋_GB2312" w:eastAsia="仿宋_GB2312"/>
          <w:sz w:val="28"/>
          <w:szCs w:val="28"/>
          <w:lang w:val="en-US" w:eastAsia="zh-CN"/>
        </w:rPr>
        <w:t>如表1-1、表1-2、表1-3所示：</w:t>
      </w:r>
    </w:p>
    <w:p w14:paraId="01F4520F">
      <w:pPr>
        <w:pStyle w:val="6"/>
        <w:spacing w:line="400" w:lineRule="exact"/>
        <w:jc w:val="center"/>
        <w:rPr>
          <w:rFonts w:ascii="仿宋_GB2312" w:eastAsia="仿宋_GB2312"/>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表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rPr>
        <w:fldChar w:fldCharType="end"/>
      </w:r>
      <w:bookmarkStart w:id="9" w:name="_Toc30230"/>
      <w:bookmarkStart w:id="10" w:name="_Toc28785"/>
      <w:bookmarkStart w:id="11" w:name="_Toc26181"/>
      <w:bookmarkStart w:id="12" w:name="_Toc17101"/>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t xml:space="preserve"> 近2年学历教育招生人数及学历教育在校生人数对照表</w:t>
      </w:r>
      <w:bookmarkEnd w:id="9"/>
      <w:bookmarkEnd w:id="10"/>
      <w:bookmarkEnd w:id="11"/>
      <w:bookmarkEnd w:id="12"/>
    </w:p>
    <w:bookmarkEnd w:id="3"/>
    <w:tbl>
      <w:tblPr>
        <w:tblStyle w:val="17"/>
        <w:tblW w:w="80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6"/>
        <w:gridCol w:w="1985"/>
        <w:gridCol w:w="2126"/>
        <w:gridCol w:w="1806"/>
      </w:tblGrid>
      <w:tr w14:paraId="07F73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131" w:type="dxa"/>
            <w:gridSpan w:val="2"/>
          </w:tcPr>
          <w:p w14:paraId="43F48BF0">
            <w:pPr>
              <w:widowControl/>
              <w:spacing w:line="360" w:lineRule="atLeast"/>
              <w:jc w:val="center"/>
              <w:rPr>
                <w:rFonts w:ascii="仿宋_GB2312" w:eastAsia="仿宋_GB2312" w:cs="宋体"/>
                <w:kern w:val="0"/>
                <w:szCs w:val="21"/>
              </w:rPr>
            </w:pPr>
            <w:r>
              <w:rPr>
                <w:rFonts w:ascii="仿宋_GB2312" w:eastAsia="仿宋_GB2312" w:cs="宋体"/>
                <w:kern w:val="0"/>
                <w:szCs w:val="21"/>
              </w:rPr>
              <w:t>20</w:t>
            </w:r>
            <w:r>
              <w:rPr>
                <w:rFonts w:hint="eastAsia" w:ascii="仿宋_GB2312" w:eastAsia="仿宋_GB2312" w:cs="宋体"/>
                <w:kern w:val="0"/>
                <w:szCs w:val="21"/>
              </w:rPr>
              <w:t>2</w:t>
            </w:r>
            <w:r>
              <w:rPr>
                <w:rFonts w:ascii="仿宋_GB2312" w:eastAsia="仿宋_GB2312" w:cs="宋体"/>
                <w:kern w:val="0"/>
                <w:szCs w:val="21"/>
              </w:rPr>
              <w:t>4</w:t>
            </w:r>
            <w:r>
              <w:rPr>
                <w:rFonts w:hint="eastAsia" w:ascii="仿宋_GB2312" w:eastAsia="仿宋_GB2312" w:cs="宋体"/>
                <w:kern w:val="0"/>
                <w:szCs w:val="21"/>
              </w:rPr>
              <w:t>年</w:t>
            </w:r>
          </w:p>
        </w:tc>
        <w:tc>
          <w:tcPr>
            <w:tcW w:w="3932" w:type="dxa"/>
            <w:gridSpan w:val="2"/>
          </w:tcPr>
          <w:p w14:paraId="078B5C81">
            <w:pPr>
              <w:widowControl/>
              <w:spacing w:line="360" w:lineRule="atLeast"/>
              <w:jc w:val="center"/>
              <w:rPr>
                <w:rFonts w:ascii="仿宋_GB2312" w:eastAsia="仿宋_GB2312" w:cs="宋体"/>
                <w:kern w:val="0"/>
                <w:szCs w:val="21"/>
              </w:rPr>
            </w:pPr>
            <w:r>
              <w:rPr>
                <w:rFonts w:ascii="仿宋_GB2312" w:eastAsia="仿宋_GB2312" w:cs="宋体"/>
                <w:kern w:val="0"/>
                <w:szCs w:val="21"/>
              </w:rPr>
              <w:t>20</w:t>
            </w:r>
            <w:r>
              <w:rPr>
                <w:rFonts w:hint="eastAsia" w:ascii="仿宋_GB2312" w:eastAsia="仿宋_GB2312" w:cs="宋体"/>
                <w:kern w:val="0"/>
                <w:szCs w:val="21"/>
              </w:rPr>
              <w:t>2</w:t>
            </w:r>
            <w:r>
              <w:rPr>
                <w:rFonts w:ascii="仿宋_GB2312" w:eastAsia="仿宋_GB2312" w:cs="宋体"/>
                <w:kern w:val="0"/>
                <w:szCs w:val="21"/>
              </w:rPr>
              <w:t>5</w:t>
            </w:r>
            <w:r>
              <w:rPr>
                <w:rFonts w:hint="eastAsia" w:ascii="仿宋_GB2312" w:eastAsia="仿宋_GB2312" w:cs="宋体"/>
                <w:kern w:val="0"/>
                <w:szCs w:val="21"/>
              </w:rPr>
              <w:t>年</w:t>
            </w:r>
          </w:p>
        </w:tc>
      </w:tr>
      <w:tr w14:paraId="112BF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146" w:type="dxa"/>
          </w:tcPr>
          <w:p w14:paraId="67BB487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招生人数</w:t>
            </w:r>
          </w:p>
        </w:tc>
        <w:tc>
          <w:tcPr>
            <w:tcW w:w="1985" w:type="dxa"/>
          </w:tcPr>
          <w:p w14:paraId="024BE949">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在校生人数</w:t>
            </w:r>
          </w:p>
        </w:tc>
        <w:tc>
          <w:tcPr>
            <w:tcW w:w="2126" w:type="dxa"/>
          </w:tcPr>
          <w:p w14:paraId="286C9CA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招生人数</w:t>
            </w:r>
          </w:p>
        </w:tc>
        <w:tc>
          <w:tcPr>
            <w:tcW w:w="1806" w:type="dxa"/>
          </w:tcPr>
          <w:p w14:paraId="6E11480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在校生人数</w:t>
            </w:r>
          </w:p>
        </w:tc>
      </w:tr>
      <w:tr w14:paraId="619EB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146" w:type="dxa"/>
          </w:tcPr>
          <w:p w14:paraId="312D2CD1">
            <w:pPr>
              <w:widowControl/>
              <w:spacing w:line="360" w:lineRule="atLeast"/>
              <w:jc w:val="center"/>
              <w:rPr>
                <w:rFonts w:ascii="仿宋_GB2312" w:eastAsia="仿宋_GB2312" w:cs="宋体"/>
                <w:kern w:val="0"/>
                <w:szCs w:val="21"/>
              </w:rPr>
            </w:pPr>
            <w:r>
              <w:rPr>
                <w:rFonts w:ascii="仿宋_GB2312" w:eastAsia="仿宋_GB2312" w:cs="宋体"/>
                <w:kern w:val="0"/>
                <w:szCs w:val="21"/>
              </w:rPr>
              <w:t>957</w:t>
            </w:r>
          </w:p>
        </w:tc>
        <w:tc>
          <w:tcPr>
            <w:tcW w:w="1985" w:type="dxa"/>
          </w:tcPr>
          <w:p w14:paraId="2635A992">
            <w:pPr>
              <w:widowControl/>
              <w:spacing w:line="360" w:lineRule="atLeast"/>
              <w:jc w:val="center"/>
              <w:rPr>
                <w:rFonts w:ascii="仿宋_GB2312" w:eastAsia="仿宋_GB2312" w:cs="宋体"/>
                <w:kern w:val="0"/>
                <w:szCs w:val="21"/>
              </w:rPr>
            </w:pPr>
            <w:r>
              <w:rPr>
                <w:rFonts w:ascii="仿宋_GB2312" w:eastAsia="仿宋_GB2312" w:cs="宋体"/>
                <w:kern w:val="0"/>
                <w:szCs w:val="21"/>
              </w:rPr>
              <w:t>3560</w:t>
            </w:r>
          </w:p>
        </w:tc>
        <w:tc>
          <w:tcPr>
            <w:tcW w:w="2126" w:type="dxa"/>
          </w:tcPr>
          <w:p w14:paraId="5398F29A">
            <w:pPr>
              <w:widowControl/>
              <w:spacing w:line="360" w:lineRule="atLeast"/>
              <w:jc w:val="center"/>
              <w:rPr>
                <w:rFonts w:ascii="仿宋_GB2312" w:eastAsia="仿宋_GB2312" w:cs="宋体"/>
                <w:kern w:val="0"/>
                <w:szCs w:val="21"/>
              </w:rPr>
            </w:pPr>
            <w:r>
              <w:rPr>
                <w:rFonts w:ascii="仿宋_GB2312" w:eastAsia="仿宋_GB2312" w:cs="宋体"/>
                <w:kern w:val="0"/>
                <w:szCs w:val="21"/>
              </w:rPr>
              <w:t>1122</w:t>
            </w:r>
          </w:p>
        </w:tc>
        <w:tc>
          <w:tcPr>
            <w:tcW w:w="1806" w:type="dxa"/>
          </w:tcPr>
          <w:p w14:paraId="3884420F">
            <w:pPr>
              <w:widowControl/>
              <w:spacing w:line="360" w:lineRule="atLeast"/>
              <w:jc w:val="center"/>
              <w:rPr>
                <w:rFonts w:ascii="仿宋_GB2312" w:eastAsia="仿宋_GB2312" w:cs="宋体"/>
                <w:kern w:val="0"/>
                <w:szCs w:val="21"/>
              </w:rPr>
            </w:pPr>
            <w:r>
              <w:rPr>
                <w:rFonts w:ascii="仿宋_GB2312" w:eastAsia="仿宋_GB2312" w:cs="宋体"/>
                <w:kern w:val="0"/>
                <w:szCs w:val="21"/>
              </w:rPr>
              <w:t>3431</w:t>
            </w:r>
          </w:p>
        </w:tc>
      </w:tr>
    </w:tbl>
    <w:p w14:paraId="385F57D8">
      <w:pPr>
        <w:pStyle w:val="6"/>
        <w:jc w:val="both"/>
        <w:rPr>
          <w:rFonts w:ascii="楷体_GB2312" w:hAnsi="楷体_GB2312" w:eastAsia="楷体_GB2312" w:cs="楷体_GB2312"/>
        </w:rPr>
      </w:pPr>
    </w:p>
    <w:p w14:paraId="2210E529">
      <w:pPr>
        <w:pStyle w:val="6"/>
        <w:jc w:val="center"/>
        <w:rPr>
          <w:rFonts w:ascii="楷体_GB2312" w:eastAsia="楷体_GB2312"/>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表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rPr>
        <w:fldChar w:fldCharType="end"/>
      </w:r>
      <w:bookmarkStart w:id="13" w:name="_Toc21210"/>
      <w:bookmarkStart w:id="14" w:name="_Toc19531"/>
      <w:bookmarkStart w:id="15" w:name="_Toc13390"/>
      <w:bookmarkStart w:id="16" w:name="_Toc7824"/>
      <w:r>
        <w:rPr>
          <w:rFonts w:hint="eastAsia" w:ascii="楷体_GB2312" w:hAnsi="楷体_GB2312" w:eastAsia="楷体_GB2312" w:cs="楷体_GB2312"/>
          <w:sz w:val="24"/>
        </w:rPr>
        <w:t xml:space="preserve"> </w:t>
      </w:r>
      <w:bookmarkEnd w:id="13"/>
      <w:bookmarkEnd w:id="14"/>
      <w:bookmarkEnd w:id="15"/>
      <w:r>
        <w:rPr>
          <w:rFonts w:hint="eastAsia" w:ascii="楷体_GB2312" w:hAnsi="楷体_GB2312" w:eastAsia="楷体_GB2312" w:cs="楷体_GB2312"/>
          <w:sz w:val="24"/>
        </w:rPr>
        <w:t>2025秋季学期招生计划数、实际招生数、招生完成比例</w:t>
      </w:r>
      <w:bookmarkEnd w:id="16"/>
    </w:p>
    <w:tbl>
      <w:tblPr>
        <w:tblStyle w:val="17"/>
        <w:tblW w:w="83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6"/>
        <w:gridCol w:w="1266"/>
        <w:gridCol w:w="1266"/>
        <w:gridCol w:w="1266"/>
        <w:gridCol w:w="1266"/>
        <w:gridCol w:w="846"/>
      </w:tblGrid>
      <w:tr w14:paraId="3BE44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396" w:type="dxa"/>
          </w:tcPr>
          <w:p w14:paraId="19F5A956">
            <w:pPr>
              <w:widowControl/>
              <w:spacing w:line="360" w:lineRule="atLeast"/>
              <w:ind w:firstLine="735" w:firstLineChars="350"/>
              <w:jc w:val="left"/>
              <w:rPr>
                <w:rFonts w:ascii="仿宋_GB2312" w:eastAsia="仿宋_GB2312" w:cs="宋体"/>
                <w:kern w:val="0"/>
                <w:szCs w:val="21"/>
              </w:rPr>
            </w:pPr>
            <w:r>
              <w:rPr>
                <w:rFonts w:hint="eastAsia" w:ascii="仿宋_GB2312" w:eastAsia="仿宋_GB2312" w:cs="宋体"/>
                <w:kern w:val="0"/>
                <w:szCs w:val="21"/>
              </w:rPr>
              <w:t>专业</w:t>
            </w:r>
          </w:p>
        </w:tc>
        <w:tc>
          <w:tcPr>
            <w:tcW w:w="1266" w:type="dxa"/>
          </w:tcPr>
          <w:p w14:paraId="727C1F6D">
            <w:pPr>
              <w:widowControl/>
              <w:spacing w:line="360" w:lineRule="atLeast"/>
              <w:jc w:val="left"/>
              <w:rPr>
                <w:rFonts w:ascii="仿宋_GB2312" w:eastAsia="仿宋_GB2312" w:cs="宋体"/>
                <w:kern w:val="0"/>
                <w:szCs w:val="21"/>
              </w:rPr>
            </w:pPr>
            <w:r>
              <w:rPr>
                <w:rFonts w:hint="eastAsia" w:ascii="仿宋_GB2312" w:eastAsia="仿宋_GB2312" w:cs="宋体"/>
                <w:kern w:val="0"/>
                <w:szCs w:val="21"/>
              </w:rPr>
              <w:t>招生计划数</w:t>
            </w:r>
          </w:p>
        </w:tc>
        <w:tc>
          <w:tcPr>
            <w:tcW w:w="1266" w:type="dxa"/>
          </w:tcPr>
          <w:p w14:paraId="6B601552">
            <w:pPr>
              <w:widowControl/>
              <w:spacing w:line="360" w:lineRule="atLeast"/>
              <w:jc w:val="left"/>
              <w:rPr>
                <w:rFonts w:ascii="仿宋_GB2312" w:eastAsia="仿宋_GB2312" w:cs="宋体"/>
                <w:kern w:val="0"/>
                <w:szCs w:val="21"/>
              </w:rPr>
            </w:pPr>
            <w:r>
              <w:rPr>
                <w:rFonts w:hint="eastAsia" w:ascii="仿宋_GB2312" w:eastAsia="仿宋_GB2312" w:cs="宋体"/>
                <w:kern w:val="0"/>
                <w:szCs w:val="21"/>
              </w:rPr>
              <w:t>实际招生数</w:t>
            </w:r>
          </w:p>
        </w:tc>
        <w:tc>
          <w:tcPr>
            <w:tcW w:w="1266" w:type="dxa"/>
          </w:tcPr>
          <w:p w14:paraId="11592360">
            <w:pPr>
              <w:widowControl/>
              <w:spacing w:line="360" w:lineRule="atLeast"/>
              <w:jc w:val="left"/>
              <w:rPr>
                <w:rFonts w:ascii="仿宋_GB2312" w:eastAsia="仿宋_GB2312" w:cs="宋体"/>
                <w:kern w:val="0"/>
                <w:szCs w:val="21"/>
              </w:rPr>
            </w:pPr>
            <w:r>
              <w:rPr>
                <w:rFonts w:hint="eastAsia" w:ascii="仿宋_GB2312" w:eastAsia="仿宋_GB2312" w:cs="宋体"/>
                <w:kern w:val="0"/>
                <w:szCs w:val="21"/>
              </w:rPr>
              <w:t>招生完成率</w:t>
            </w:r>
          </w:p>
        </w:tc>
        <w:tc>
          <w:tcPr>
            <w:tcW w:w="1266" w:type="dxa"/>
          </w:tcPr>
          <w:p w14:paraId="48F427A3">
            <w:pPr>
              <w:widowControl/>
              <w:spacing w:line="360" w:lineRule="atLeast"/>
              <w:jc w:val="left"/>
              <w:rPr>
                <w:rFonts w:ascii="仿宋_GB2312" w:eastAsia="仿宋_GB2312" w:cs="宋体"/>
                <w:kern w:val="0"/>
                <w:szCs w:val="21"/>
              </w:rPr>
            </w:pPr>
            <w:r>
              <w:rPr>
                <w:rFonts w:hint="eastAsia" w:ascii="仿宋_GB2312" w:eastAsia="仿宋_GB2312" w:cs="宋体"/>
                <w:kern w:val="0"/>
                <w:szCs w:val="21"/>
              </w:rPr>
              <w:t>实际在校生</w:t>
            </w:r>
          </w:p>
        </w:tc>
        <w:tc>
          <w:tcPr>
            <w:tcW w:w="846" w:type="dxa"/>
          </w:tcPr>
          <w:p w14:paraId="6C0DE3AA">
            <w:pPr>
              <w:widowControl/>
              <w:spacing w:line="360" w:lineRule="atLeast"/>
              <w:jc w:val="left"/>
              <w:rPr>
                <w:rFonts w:ascii="仿宋_GB2312" w:eastAsia="仿宋_GB2312" w:cs="宋体"/>
                <w:kern w:val="0"/>
                <w:szCs w:val="21"/>
              </w:rPr>
            </w:pPr>
            <w:r>
              <w:rPr>
                <w:rFonts w:hint="eastAsia" w:ascii="仿宋_GB2312" w:eastAsia="仿宋_GB2312" w:cs="宋体"/>
                <w:kern w:val="0"/>
                <w:szCs w:val="21"/>
              </w:rPr>
              <w:t>巩固率</w:t>
            </w:r>
          </w:p>
        </w:tc>
      </w:tr>
      <w:tr w14:paraId="099B4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2396" w:type="dxa"/>
          </w:tcPr>
          <w:p w14:paraId="5F420912">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数控技术应用</w:t>
            </w:r>
          </w:p>
        </w:tc>
        <w:tc>
          <w:tcPr>
            <w:tcW w:w="1266" w:type="dxa"/>
          </w:tcPr>
          <w:p w14:paraId="1EED312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50</w:t>
            </w:r>
          </w:p>
        </w:tc>
        <w:tc>
          <w:tcPr>
            <w:tcW w:w="1266" w:type="dxa"/>
          </w:tcPr>
          <w:p w14:paraId="3EBC7AB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27</w:t>
            </w:r>
          </w:p>
        </w:tc>
        <w:tc>
          <w:tcPr>
            <w:tcW w:w="1266" w:type="dxa"/>
          </w:tcPr>
          <w:p w14:paraId="117D1054">
            <w:pPr>
              <w:widowControl/>
              <w:spacing w:line="360" w:lineRule="atLeast"/>
              <w:jc w:val="center"/>
              <w:rPr>
                <w:rFonts w:ascii="仿宋_GB2312" w:eastAsia="仿宋_GB2312" w:cs="宋体"/>
                <w:kern w:val="0"/>
                <w:szCs w:val="21"/>
              </w:rPr>
            </w:pPr>
            <w:r>
              <w:rPr>
                <w:rFonts w:ascii="仿宋_GB2312" w:eastAsia="仿宋_GB2312" w:cs="宋体"/>
                <w:kern w:val="0"/>
                <w:szCs w:val="21"/>
              </w:rPr>
              <w:t>84.7%</w:t>
            </w:r>
          </w:p>
        </w:tc>
        <w:tc>
          <w:tcPr>
            <w:tcW w:w="1266" w:type="dxa"/>
          </w:tcPr>
          <w:p w14:paraId="2AB95F9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25</w:t>
            </w:r>
          </w:p>
        </w:tc>
        <w:tc>
          <w:tcPr>
            <w:tcW w:w="846" w:type="dxa"/>
          </w:tcPr>
          <w:p w14:paraId="39E53D3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9</w:t>
            </w:r>
            <w:r>
              <w:rPr>
                <w:rFonts w:ascii="仿宋_GB2312" w:eastAsia="仿宋_GB2312" w:cs="宋体"/>
                <w:kern w:val="0"/>
                <w:szCs w:val="21"/>
              </w:rPr>
              <w:t>8.4%</w:t>
            </w:r>
          </w:p>
        </w:tc>
      </w:tr>
      <w:tr w14:paraId="2E39A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396" w:type="dxa"/>
          </w:tcPr>
          <w:p w14:paraId="3320BEA2">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智能设备运行与维护</w:t>
            </w:r>
          </w:p>
        </w:tc>
        <w:tc>
          <w:tcPr>
            <w:tcW w:w="1266" w:type="dxa"/>
          </w:tcPr>
          <w:p w14:paraId="725BAE08">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7E5334AB">
            <w:pPr>
              <w:widowControl/>
              <w:spacing w:line="360" w:lineRule="atLeast"/>
              <w:jc w:val="center"/>
              <w:rPr>
                <w:rFonts w:ascii="仿宋_GB2312" w:eastAsia="仿宋_GB2312" w:cs="宋体"/>
                <w:kern w:val="0"/>
                <w:szCs w:val="21"/>
              </w:rPr>
            </w:pPr>
            <w:r>
              <w:rPr>
                <w:rFonts w:ascii="仿宋_GB2312" w:eastAsia="仿宋_GB2312" w:cs="宋体"/>
                <w:kern w:val="0"/>
                <w:szCs w:val="21"/>
              </w:rPr>
              <w:t>75</w:t>
            </w:r>
          </w:p>
        </w:tc>
        <w:tc>
          <w:tcPr>
            <w:tcW w:w="1266" w:type="dxa"/>
          </w:tcPr>
          <w:p w14:paraId="084D421E">
            <w:pPr>
              <w:widowControl/>
              <w:spacing w:line="360" w:lineRule="atLeast"/>
              <w:jc w:val="center"/>
              <w:rPr>
                <w:rFonts w:ascii="仿宋_GB2312" w:eastAsia="仿宋_GB2312" w:cs="宋体"/>
                <w:kern w:val="0"/>
                <w:szCs w:val="21"/>
              </w:rPr>
            </w:pPr>
            <w:r>
              <w:rPr>
                <w:rFonts w:ascii="仿宋_GB2312" w:eastAsia="仿宋_GB2312" w:cs="宋体"/>
                <w:kern w:val="0"/>
                <w:szCs w:val="21"/>
              </w:rPr>
              <w:t>75.0%</w:t>
            </w:r>
          </w:p>
        </w:tc>
        <w:tc>
          <w:tcPr>
            <w:tcW w:w="1266" w:type="dxa"/>
          </w:tcPr>
          <w:p w14:paraId="5243721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7</w:t>
            </w:r>
            <w:r>
              <w:rPr>
                <w:rFonts w:ascii="仿宋_GB2312" w:eastAsia="仿宋_GB2312" w:cs="宋体"/>
                <w:kern w:val="0"/>
                <w:szCs w:val="21"/>
              </w:rPr>
              <w:t>2</w:t>
            </w:r>
          </w:p>
        </w:tc>
        <w:tc>
          <w:tcPr>
            <w:tcW w:w="846" w:type="dxa"/>
          </w:tcPr>
          <w:p w14:paraId="2813E981">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9</w:t>
            </w:r>
            <w:r>
              <w:rPr>
                <w:rFonts w:ascii="仿宋_GB2312" w:eastAsia="仿宋_GB2312" w:cs="宋体"/>
                <w:kern w:val="0"/>
                <w:szCs w:val="21"/>
              </w:rPr>
              <w:t>6.0%</w:t>
            </w:r>
          </w:p>
        </w:tc>
      </w:tr>
      <w:tr w14:paraId="1D249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396" w:type="dxa"/>
          </w:tcPr>
          <w:p w14:paraId="42CFA8B9">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纺织技术与服务</w:t>
            </w:r>
          </w:p>
        </w:tc>
        <w:tc>
          <w:tcPr>
            <w:tcW w:w="1266" w:type="dxa"/>
          </w:tcPr>
          <w:p w14:paraId="6426A746">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50AA27EC">
            <w:pPr>
              <w:widowControl/>
              <w:spacing w:line="360" w:lineRule="atLeast"/>
              <w:jc w:val="center"/>
              <w:rPr>
                <w:rFonts w:ascii="仿宋_GB2312" w:eastAsia="仿宋_GB2312" w:cs="宋体"/>
                <w:kern w:val="0"/>
                <w:szCs w:val="21"/>
              </w:rPr>
            </w:pPr>
            <w:r>
              <w:rPr>
                <w:rFonts w:ascii="仿宋_GB2312" w:eastAsia="仿宋_GB2312" w:cs="宋体"/>
                <w:kern w:val="0"/>
                <w:szCs w:val="21"/>
              </w:rPr>
              <w:t>22</w:t>
            </w:r>
          </w:p>
        </w:tc>
        <w:tc>
          <w:tcPr>
            <w:tcW w:w="1266" w:type="dxa"/>
          </w:tcPr>
          <w:p w14:paraId="7119A85E">
            <w:pPr>
              <w:widowControl/>
              <w:spacing w:line="360" w:lineRule="atLeast"/>
              <w:jc w:val="center"/>
              <w:rPr>
                <w:rFonts w:ascii="仿宋_GB2312" w:eastAsia="仿宋_GB2312" w:cs="宋体"/>
                <w:kern w:val="0"/>
                <w:szCs w:val="21"/>
              </w:rPr>
            </w:pPr>
            <w:r>
              <w:rPr>
                <w:rFonts w:ascii="仿宋_GB2312" w:eastAsia="仿宋_GB2312" w:cs="宋体"/>
                <w:kern w:val="0"/>
                <w:szCs w:val="21"/>
              </w:rPr>
              <w:t>22.0%</w:t>
            </w:r>
          </w:p>
        </w:tc>
        <w:tc>
          <w:tcPr>
            <w:tcW w:w="1266" w:type="dxa"/>
          </w:tcPr>
          <w:p w14:paraId="418B779B">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9</w:t>
            </w:r>
          </w:p>
        </w:tc>
        <w:tc>
          <w:tcPr>
            <w:tcW w:w="846" w:type="dxa"/>
          </w:tcPr>
          <w:p w14:paraId="1EF4D649">
            <w:pPr>
              <w:widowControl/>
              <w:spacing w:line="360" w:lineRule="atLeast"/>
              <w:jc w:val="center"/>
              <w:rPr>
                <w:rFonts w:ascii="仿宋_GB2312" w:eastAsia="仿宋_GB2312" w:cs="宋体"/>
                <w:kern w:val="0"/>
                <w:szCs w:val="21"/>
              </w:rPr>
            </w:pPr>
            <w:r>
              <w:rPr>
                <w:rFonts w:ascii="仿宋_GB2312" w:eastAsia="仿宋_GB2312" w:cs="宋体"/>
                <w:kern w:val="0"/>
                <w:szCs w:val="21"/>
              </w:rPr>
              <w:t>86.4%</w:t>
            </w:r>
          </w:p>
        </w:tc>
      </w:tr>
      <w:tr w14:paraId="656F0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396" w:type="dxa"/>
          </w:tcPr>
          <w:p w14:paraId="2FA59A47">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汽车运用与维修</w:t>
            </w:r>
          </w:p>
        </w:tc>
        <w:tc>
          <w:tcPr>
            <w:tcW w:w="1266" w:type="dxa"/>
          </w:tcPr>
          <w:p w14:paraId="49ECDEE9">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77120BB0">
            <w:pPr>
              <w:widowControl/>
              <w:spacing w:line="360" w:lineRule="atLeast"/>
              <w:jc w:val="center"/>
              <w:rPr>
                <w:rFonts w:ascii="仿宋_GB2312" w:eastAsia="仿宋_GB2312" w:cs="宋体"/>
                <w:kern w:val="0"/>
                <w:szCs w:val="21"/>
              </w:rPr>
            </w:pPr>
            <w:r>
              <w:rPr>
                <w:rFonts w:ascii="仿宋_GB2312" w:eastAsia="仿宋_GB2312" w:cs="宋体"/>
                <w:kern w:val="0"/>
                <w:szCs w:val="21"/>
              </w:rPr>
              <w:t>50</w:t>
            </w:r>
          </w:p>
        </w:tc>
        <w:tc>
          <w:tcPr>
            <w:tcW w:w="1266" w:type="dxa"/>
          </w:tcPr>
          <w:p w14:paraId="1127D05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5.0%</w:t>
            </w:r>
          </w:p>
        </w:tc>
        <w:tc>
          <w:tcPr>
            <w:tcW w:w="1266" w:type="dxa"/>
          </w:tcPr>
          <w:p w14:paraId="49C1E04B">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0</w:t>
            </w:r>
          </w:p>
        </w:tc>
        <w:tc>
          <w:tcPr>
            <w:tcW w:w="846" w:type="dxa"/>
          </w:tcPr>
          <w:p w14:paraId="7E410793">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r>
      <w:tr w14:paraId="6FD69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396" w:type="dxa"/>
          </w:tcPr>
          <w:p w14:paraId="114BE7A2">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新能源汽车运用与维修</w:t>
            </w:r>
          </w:p>
        </w:tc>
        <w:tc>
          <w:tcPr>
            <w:tcW w:w="1266" w:type="dxa"/>
          </w:tcPr>
          <w:p w14:paraId="10546003">
            <w:pPr>
              <w:widowControl/>
              <w:spacing w:line="360" w:lineRule="atLeast"/>
              <w:jc w:val="center"/>
              <w:rPr>
                <w:rFonts w:ascii="仿宋_GB2312" w:eastAsia="仿宋_GB2312" w:cs="宋体"/>
                <w:kern w:val="0"/>
                <w:szCs w:val="21"/>
              </w:rPr>
            </w:pPr>
            <w:r>
              <w:rPr>
                <w:rFonts w:ascii="仿宋_GB2312" w:eastAsia="仿宋_GB2312" w:cs="宋体"/>
                <w:kern w:val="0"/>
                <w:szCs w:val="21"/>
              </w:rPr>
              <w:t>150</w:t>
            </w:r>
          </w:p>
        </w:tc>
        <w:tc>
          <w:tcPr>
            <w:tcW w:w="1266" w:type="dxa"/>
          </w:tcPr>
          <w:p w14:paraId="0408BCDA">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72</w:t>
            </w:r>
          </w:p>
        </w:tc>
        <w:tc>
          <w:tcPr>
            <w:tcW w:w="1266" w:type="dxa"/>
          </w:tcPr>
          <w:p w14:paraId="0E38ED69">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14.7%</w:t>
            </w:r>
          </w:p>
        </w:tc>
        <w:tc>
          <w:tcPr>
            <w:tcW w:w="1266" w:type="dxa"/>
          </w:tcPr>
          <w:p w14:paraId="42C1544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72</w:t>
            </w:r>
          </w:p>
        </w:tc>
        <w:tc>
          <w:tcPr>
            <w:tcW w:w="846" w:type="dxa"/>
          </w:tcPr>
          <w:p w14:paraId="4E83446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4366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396" w:type="dxa"/>
          </w:tcPr>
          <w:p w14:paraId="51999D9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计算机应用</w:t>
            </w:r>
          </w:p>
        </w:tc>
        <w:tc>
          <w:tcPr>
            <w:tcW w:w="1266" w:type="dxa"/>
          </w:tcPr>
          <w:p w14:paraId="59DD2221">
            <w:pPr>
              <w:widowControl/>
              <w:spacing w:line="360" w:lineRule="atLeast"/>
              <w:jc w:val="center"/>
              <w:rPr>
                <w:rFonts w:ascii="仿宋_GB2312" w:eastAsia="仿宋_GB2312" w:cs="宋体"/>
                <w:kern w:val="0"/>
                <w:szCs w:val="21"/>
              </w:rPr>
            </w:pPr>
            <w:r>
              <w:rPr>
                <w:rFonts w:ascii="仿宋_GB2312" w:eastAsia="仿宋_GB2312" w:cs="宋体"/>
                <w:kern w:val="0"/>
                <w:szCs w:val="21"/>
              </w:rPr>
              <w:t>55</w:t>
            </w:r>
          </w:p>
        </w:tc>
        <w:tc>
          <w:tcPr>
            <w:tcW w:w="1266" w:type="dxa"/>
          </w:tcPr>
          <w:p w14:paraId="3BBDC07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9</w:t>
            </w:r>
          </w:p>
        </w:tc>
        <w:tc>
          <w:tcPr>
            <w:tcW w:w="1266" w:type="dxa"/>
          </w:tcPr>
          <w:p w14:paraId="699032C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8</w:t>
            </w:r>
            <w:r>
              <w:rPr>
                <w:rFonts w:ascii="仿宋_GB2312" w:eastAsia="仿宋_GB2312" w:cs="宋体"/>
                <w:kern w:val="0"/>
                <w:szCs w:val="21"/>
              </w:rPr>
              <w:t>9.1%</w:t>
            </w:r>
          </w:p>
        </w:tc>
        <w:tc>
          <w:tcPr>
            <w:tcW w:w="1266" w:type="dxa"/>
          </w:tcPr>
          <w:p w14:paraId="001C0677">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9</w:t>
            </w:r>
          </w:p>
        </w:tc>
        <w:tc>
          <w:tcPr>
            <w:tcW w:w="846" w:type="dxa"/>
          </w:tcPr>
          <w:p w14:paraId="76337E9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1C48B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96" w:type="dxa"/>
          </w:tcPr>
          <w:p w14:paraId="6A9FED4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会计事务</w:t>
            </w:r>
          </w:p>
        </w:tc>
        <w:tc>
          <w:tcPr>
            <w:tcW w:w="1266" w:type="dxa"/>
          </w:tcPr>
          <w:p w14:paraId="502065C7">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4875FD1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8</w:t>
            </w:r>
            <w:r>
              <w:rPr>
                <w:rFonts w:ascii="仿宋_GB2312" w:eastAsia="仿宋_GB2312" w:cs="宋体"/>
                <w:kern w:val="0"/>
                <w:szCs w:val="21"/>
              </w:rPr>
              <w:t>7</w:t>
            </w:r>
          </w:p>
        </w:tc>
        <w:tc>
          <w:tcPr>
            <w:tcW w:w="1266" w:type="dxa"/>
          </w:tcPr>
          <w:p w14:paraId="054B9B6F">
            <w:pPr>
              <w:widowControl/>
              <w:spacing w:line="360" w:lineRule="atLeast"/>
              <w:jc w:val="center"/>
              <w:rPr>
                <w:rFonts w:ascii="仿宋_GB2312" w:eastAsia="仿宋_GB2312" w:cs="宋体"/>
                <w:kern w:val="0"/>
                <w:szCs w:val="21"/>
              </w:rPr>
            </w:pPr>
            <w:r>
              <w:rPr>
                <w:rFonts w:ascii="仿宋_GB2312" w:eastAsia="仿宋_GB2312" w:cs="宋体"/>
                <w:kern w:val="0"/>
                <w:szCs w:val="21"/>
              </w:rPr>
              <w:t>87.0%</w:t>
            </w:r>
          </w:p>
        </w:tc>
        <w:tc>
          <w:tcPr>
            <w:tcW w:w="1266" w:type="dxa"/>
          </w:tcPr>
          <w:p w14:paraId="67D2634E">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8</w:t>
            </w:r>
            <w:r>
              <w:rPr>
                <w:rFonts w:ascii="仿宋_GB2312" w:eastAsia="仿宋_GB2312" w:cs="宋体"/>
                <w:kern w:val="0"/>
                <w:szCs w:val="21"/>
              </w:rPr>
              <w:t>7</w:t>
            </w:r>
          </w:p>
        </w:tc>
        <w:tc>
          <w:tcPr>
            <w:tcW w:w="846" w:type="dxa"/>
          </w:tcPr>
          <w:p w14:paraId="5C33373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71FB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396" w:type="dxa"/>
          </w:tcPr>
          <w:p w14:paraId="39F99E49">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幼儿保育</w:t>
            </w:r>
          </w:p>
        </w:tc>
        <w:tc>
          <w:tcPr>
            <w:tcW w:w="1266" w:type="dxa"/>
          </w:tcPr>
          <w:p w14:paraId="1792434A">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11EBDA81">
            <w:pPr>
              <w:widowControl/>
              <w:spacing w:line="360" w:lineRule="atLeast"/>
              <w:jc w:val="center"/>
              <w:rPr>
                <w:rFonts w:ascii="仿宋_GB2312" w:eastAsia="仿宋_GB2312" w:cs="宋体"/>
                <w:kern w:val="0"/>
                <w:szCs w:val="21"/>
              </w:rPr>
            </w:pPr>
            <w:r>
              <w:rPr>
                <w:rFonts w:ascii="仿宋_GB2312" w:eastAsia="仿宋_GB2312" w:cs="宋体"/>
                <w:kern w:val="0"/>
                <w:szCs w:val="21"/>
              </w:rPr>
              <w:t>35</w:t>
            </w:r>
          </w:p>
        </w:tc>
        <w:tc>
          <w:tcPr>
            <w:tcW w:w="1266" w:type="dxa"/>
          </w:tcPr>
          <w:p w14:paraId="58619C4B">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5.0%</w:t>
            </w:r>
          </w:p>
        </w:tc>
        <w:tc>
          <w:tcPr>
            <w:tcW w:w="1266" w:type="dxa"/>
          </w:tcPr>
          <w:p w14:paraId="2ADD4E4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3</w:t>
            </w:r>
          </w:p>
        </w:tc>
        <w:tc>
          <w:tcPr>
            <w:tcW w:w="846" w:type="dxa"/>
          </w:tcPr>
          <w:p w14:paraId="732B2EC7">
            <w:pPr>
              <w:widowControl/>
              <w:spacing w:line="360" w:lineRule="atLeast"/>
              <w:jc w:val="center"/>
              <w:rPr>
                <w:rFonts w:ascii="仿宋_GB2312" w:eastAsia="仿宋_GB2312" w:cs="宋体"/>
                <w:kern w:val="0"/>
                <w:szCs w:val="21"/>
              </w:rPr>
            </w:pPr>
            <w:r>
              <w:rPr>
                <w:rFonts w:ascii="仿宋_GB2312" w:eastAsia="仿宋_GB2312" w:cs="宋体"/>
                <w:kern w:val="0"/>
                <w:szCs w:val="21"/>
              </w:rPr>
              <w:t>94.3%</w:t>
            </w:r>
          </w:p>
        </w:tc>
      </w:tr>
      <w:tr w14:paraId="492B3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396" w:type="dxa"/>
          </w:tcPr>
          <w:p w14:paraId="11D1F3BC">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数字媒体技术应用</w:t>
            </w:r>
          </w:p>
        </w:tc>
        <w:tc>
          <w:tcPr>
            <w:tcW w:w="1266" w:type="dxa"/>
          </w:tcPr>
          <w:p w14:paraId="57305879">
            <w:pPr>
              <w:widowControl/>
              <w:spacing w:line="360" w:lineRule="atLeast"/>
              <w:jc w:val="center"/>
              <w:rPr>
                <w:rFonts w:ascii="仿宋_GB2312" w:eastAsia="仿宋_GB2312" w:cs="宋体"/>
                <w:kern w:val="0"/>
                <w:szCs w:val="21"/>
              </w:rPr>
            </w:pPr>
            <w:r>
              <w:rPr>
                <w:rFonts w:ascii="仿宋_GB2312" w:eastAsia="仿宋_GB2312" w:cs="宋体"/>
                <w:kern w:val="0"/>
                <w:szCs w:val="21"/>
              </w:rPr>
              <w:t>100</w:t>
            </w:r>
          </w:p>
        </w:tc>
        <w:tc>
          <w:tcPr>
            <w:tcW w:w="1266" w:type="dxa"/>
          </w:tcPr>
          <w:p w14:paraId="47E7A08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52</w:t>
            </w:r>
          </w:p>
        </w:tc>
        <w:tc>
          <w:tcPr>
            <w:tcW w:w="1266" w:type="dxa"/>
          </w:tcPr>
          <w:p w14:paraId="405DE9E6">
            <w:pPr>
              <w:widowControl/>
              <w:spacing w:line="360" w:lineRule="atLeast"/>
              <w:jc w:val="center"/>
              <w:rPr>
                <w:rFonts w:ascii="仿宋_GB2312" w:eastAsia="仿宋_GB2312" w:cs="宋体"/>
                <w:kern w:val="0"/>
                <w:szCs w:val="21"/>
              </w:rPr>
            </w:pPr>
            <w:r>
              <w:rPr>
                <w:rFonts w:ascii="仿宋_GB2312" w:eastAsia="仿宋_GB2312" w:cs="宋体"/>
                <w:kern w:val="0"/>
                <w:szCs w:val="21"/>
              </w:rPr>
              <w:t>152.0%</w:t>
            </w:r>
          </w:p>
        </w:tc>
        <w:tc>
          <w:tcPr>
            <w:tcW w:w="1266" w:type="dxa"/>
          </w:tcPr>
          <w:p w14:paraId="1432F01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52</w:t>
            </w:r>
          </w:p>
        </w:tc>
        <w:tc>
          <w:tcPr>
            <w:tcW w:w="846" w:type="dxa"/>
          </w:tcPr>
          <w:p w14:paraId="4F58A66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3A0E9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396" w:type="dxa"/>
          </w:tcPr>
          <w:p w14:paraId="2DC6DF8A">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建筑工程施工</w:t>
            </w:r>
          </w:p>
        </w:tc>
        <w:tc>
          <w:tcPr>
            <w:tcW w:w="1266" w:type="dxa"/>
          </w:tcPr>
          <w:p w14:paraId="5064CC07">
            <w:pPr>
              <w:widowControl/>
              <w:spacing w:line="360" w:lineRule="atLeast"/>
              <w:jc w:val="center"/>
              <w:rPr>
                <w:rFonts w:ascii="仿宋_GB2312" w:eastAsia="仿宋_GB2312" w:cs="宋体"/>
                <w:kern w:val="0"/>
                <w:szCs w:val="21"/>
              </w:rPr>
            </w:pPr>
            <w:r>
              <w:rPr>
                <w:rFonts w:ascii="仿宋_GB2312" w:eastAsia="仿宋_GB2312" w:cs="宋体"/>
                <w:kern w:val="0"/>
                <w:szCs w:val="21"/>
              </w:rPr>
              <w:t>50</w:t>
            </w:r>
          </w:p>
        </w:tc>
        <w:tc>
          <w:tcPr>
            <w:tcW w:w="1266" w:type="dxa"/>
          </w:tcPr>
          <w:p w14:paraId="43AC2ADE">
            <w:pPr>
              <w:widowControl/>
              <w:spacing w:line="360" w:lineRule="atLeast"/>
              <w:jc w:val="center"/>
              <w:rPr>
                <w:rFonts w:ascii="仿宋_GB2312" w:eastAsia="仿宋_GB2312" w:cs="宋体"/>
                <w:kern w:val="0"/>
                <w:szCs w:val="21"/>
              </w:rPr>
            </w:pPr>
            <w:r>
              <w:rPr>
                <w:rFonts w:ascii="仿宋_GB2312" w:eastAsia="仿宋_GB2312" w:cs="宋体"/>
                <w:kern w:val="0"/>
                <w:szCs w:val="21"/>
              </w:rPr>
              <w:t>32</w:t>
            </w:r>
          </w:p>
        </w:tc>
        <w:tc>
          <w:tcPr>
            <w:tcW w:w="1266" w:type="dxa"/>
          </w:tcPr>
          <w:p w14:paraId="0D844BC9">
            <w:pPr>
              <w:widowControl/>
              <w:spacing w:line="360" w:lineRule="atLeast"/>
              <w:jc w:val="center"/>
              <w:rPr>
                <w:rFonts w:ascii="仿宋_GB2312" w:eastAsia="仿宋_GB2312" w:cs="宋体"/>
                <w:kern w:val="0"/>
                <w:szCs w:val="21"/>
              </w:rPr>
            </w:pPr>
            <w:r>
              <w:rPr>
                <w:rFonts w:ascii="仿宋_GB2312" w:eastAsia="仿宋_GB2312" w:cs="宋体"/>
                <w:kern w:val="0"/>
                <w:szCs w:val="21"/>
              </w:rPr>
              <w:t>64.0%</w:t>
            </w:r>
          </w:p>
        </w:tc>
        <w:tc>
          <w:tcPr>
            <w:tcW w:w="1266" w:type="dxa"/>
          </w:tcPr>
          <w:p w14:paraId="66B3129B">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0</w:t>
            </w:r>
          </w:p>
        </w:tc>
        <w:tc>
          <w:tcPr>
            <w:tcW w:w="846" w:type="dxa"/>
          </w:tcPr>
          <w:p w14:paraId="2FD14E7E">
            <w:pPr>
              <w:widowControl/>
              <w:spacing w:line="360" w:lineRule="atLeast"/>
              <w:jc w:val="center"/>
              <w:rPr>
                <w:rFonts w:ascii="仿宋_GB2312" w:eastAsia="仿宋_GB2312" w:cs="宋体"/>
                <w:kern w:val="0"/>
                <w:szCs w:val="21"/>
              </w:rPr>
            </w:pPr>
            <w:r>
              <w:rPr>
                <w:rFonts w:ascii="仿宋_GB2312" w:eastAsia="仿宋_GB2312" w:cs="宋体"/>
                <w:kern w:val="0"/>
                <w:szCs w:val="21"/>
              </w:rPr>
              <w:t>93.8%</w:t>
            </w:r>
          </w:p>
        </w:tc>
      </w:tr>
      <w:tr w14:paraId="1F51F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396" w:type="dxa"/>
          </w:tcPr>
          <w:p w14:paraId="1683DED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工艺美术</w:t>
            </w:r>
          </w:p>
        </w:tc>
        <w:tc>
          <w:tcPr>
            <w:tcW w:w="1266" w:type="dxa"/>
          </w:tcPr>
          <w:p w14:paraId="4C559CA1">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c>
          <w:tcPr>
            <w:tcW w:w="1266" w:type="dxa"/>
          </w:tcPr>
          <w:p w14:paraId="288A1724">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7</w:t>
            </w:r>
          </w:p>
        </w:tc>
        <w:tc>
          <w:tcPr>
            <w:tcW w:w="1266" w:type="dxa"/>
          </w:tcPr>
          <w:p w14:paraId="4D64E985">
            <w:pPr>
              <w:widowControl/>
              <w:spacing w:line="360" w:lineRule="atLeast"/>
              <w:jc w:val="center"/>
              <w:rPr>
                <w:rFonts w:ascii="仿宋_GB2312" w:eastAsia="仿宋_GB2312" w:cs="宋体"/>
                <w:kern w:val="0"/>
                <w:szCs w:val="21"/>
              </w:rPr>
            </w:pPr>
            <w:r>
              <w:rPr>
                <w:rFonts w:ascii="仿宋_GB2312" w:eastAsia="仿宋_GB2312" w:cs="宋体"/>
                <w:kern w:val="0"/>
                <w:szCs w:val="21"/>
              </w:rPr>
              <w:t>57.0%</w:t>
            </w:r>
          </w:p>
        </w:tc>
        <w:tc>
          <w:tcPr>
            <w:tcW w:w="1266" w:type="dxa"/>
          </w:tcPr>
          <w:p w14:paraId="2746A027">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7</w:t>
            </w:r>
          </w:p>
        </w:tc>
        <w:tc>
          <w:tcPr>
            <w:tcW w:w="846" w:type="dxa"/>
          </w:tcPr>
          <w:p w14:paraId="0A89FB5B">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19B0E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2396" w:type="dxa"/>
          </w:tcPr>
          <w:p w14:paraId="027AF15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服装设计与工艺</w:t>
            </w:r>
          </w:p>
        </w:tc>
        <w:tc>
          <w:tcPr>
            <w:tcW w:w="1266" w:type="dxa"/>
          </w:tcPr>
          <w:p w14:paraId="364536DD">
            <w:pPr>
              <w:widowControl/>
              <w:spacing w:line="360" w:lineRule="atLeast"/>
              <w:jc w:val="center"/>
              <w:rPr>
                <w:rFonts w:ascii="仿宋_GB2312" w:eastAsia="仿宋_GB2312" w:cs="宋体"/>
                <w:kern w:val="0"/>
                <w:szCs w:val="21"/>
              </w:rPr>
            </w:pPr>
            <w:r>
              <w:rPr>
                <w:rFonts w:ascii="仿宋_GB2312" w:eastAsia="仿宋_GB2312" w:cs="宋体"/>
                <w:kern w:val="0"/>
                <w:szCs w:val="21"/>
              </w:rPr>
              <w:t>150</w:t>
            </w:r>
          </w:p>
        </w:tc>
        <w:tc>
          <w:tcPr>
            <w:tcW w:w="1266" w:type="dxa"/>
          </w:tcPr>
          <w:p w14:paraId="536983C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c>
          <w:tcPr>
            <w:tcW w:w="1266" w:type="dxa"/>
          </w:tcPr>
          <w:p w14:paraId="03ED76DF">
            <w:pPr>
              <w:widowControl/>
              <w:spacing w:line="360" w:lineRule="atLeast"/>
              <w:jc w:val="center"/>
              <w:rPr>
                <w:rFonts w:ascii="仿宋_GB2312" w:eastAsia="仿宋_GB2312" w:cs="宋体"/>
                <w:kern w:val="0"/>
                <w:szCs w:val="21"/>
              </w:rPr>
            </w:pPr>
            <w:r>
              <w:rPr>
                <w:rFonts w:ascii="仿宋_GB2312" w:eastAsia="仿宋_GB2312" w:cs="宋体"/>
                <w:kern w:val="0"/>
                <w:szCs w:val="21"/>
              </w:rPr>
              <w:t>66.7%</w:t>
            </w:r>
          </w:p>
        </w:tc>
        <w:tc>
          <w:tcPr>
            <w:tcW w:w="1266" w:type="dxa"/>
          </w:tcPr>
          <w:p w14:paraId="3BFD2EA4">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c>
          <w:tcPr>
            <w:tcW w:w="846" w:type="dxa"/>
          </w:tcPr>
          <w:p w14:paraId="11E0C36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7EC72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2396" w:type="dxa"/>
          </w:tcPr>
          <w:p w14:paraId="7B9533D1">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旅游服务与管理</w:t>
            </w:r>
          </w:p>
        </w:tc>
        <w:tc>
          <w:tcPr>
            <w:tcW w:w="1266" w:type="dxa"/>
          </w:tcPr>
          <w:p w14:paraId="63BB06F5">
            <w:pPr>
              <w:widowControl/>
              <w:spacing w:line="360" w:lineRule="atLeast"/>
              <w:jc w:val="center"/>
              <w:rPr>
                <w:rFonts w:ascii="仿宋_GB2312" w:eastAsia="仿宋_GB2312" w:cs="宋体"/>
                <w:kern w:val="0"/>
                <w:szCs w:val="21"/>
              </w:rPr>
            </w:pPr>
            <w:r>
              <w:rPr>
                <w:rFonts w:ascii="仿宋_GB2312" w:eastAsia="仿宋_GB2312" w:cs="宋体"/>
                <w:kern w:val="0"/>
                <w:szCs w:val="21"/>
              </w:rPr>
              <w:t>50</w:t>
            </w:r>
          </w:p>
        </w:tc>
        <w:tc>
          <w:tcPr>
            <w:tcW w:w="1266" w:type="dxa"/>
          </w:tcPr>
          <w:p w14:paraId="0476C2C7">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5</w:t>
            </w:r>
          </w:p>
        </w:tc>
        <w:tc>
          <w:tcPr>
            <w:tcW w:w="1266" w:type="dxa"/>
          </w:tcPr>
          <w:p w14:paraId="045FFB2B">
            <w:pPr>
              <w:widowControl/>
              <w:spacing w:line="360" w:lineRule="atLeast"/>
              <w:jc w:val="center"/>
              <w:rPr>
                <w:rFonts w:ascii="仿宋_GB2312" w:eastAsia="仿宋_GB2312" w:cs="宋体"/>
                <w:kern w:val="0"/>
                <w:szCs w:val="21"/>
              </w:rPr>
            </w:pPr>
            <w:r>
              <w:rPr>
                <w:rFonts w:ascii="仿宋_GB2312" w:eastAsia="仿宋_GB2312" w:cs="宋体"/>
                <w:kern w:val="0"/>
                <w:szCs w:val="21"/>
              </w:rPr>
              <w:t>90.0%</w:t>
            </w:r>
          </w:p>
        </w:tc>
        <w:tc>
          <w:tcPr>
            <w:tcW w:w="1266" w:type="dxa"/>
          </w:tcPr>
          <w:p w14:paraId="291D74A4">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5</w:t>
            </w:r>
          </w:p>
        </w:tc>
        <w:tc>
          <w:tcPr>
            <w:tcW w:w="846" w:type="dxa"/>
          </w:tcPr>
          <w:p w14:paraId="6672758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5DFB5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2396" w:type="dxa"/>
          </w:tcPr>
          <w:p w14:paraId="4725E303">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大数据技术应用</w:t>
            </w:r>
          </w:p>
        </w:tc>
        <w:tc>
          <w:tcPr>
            <w:tcW w:w="1266" w:type="dxa"/>
          </w:tcPr>
          <w:p w14:paraId="247BCD27">
            <w:pPr>
              <w:widowControl/>
              <w:spacing w:line="360" w:lineRule="atLeast"/>
              <w:jc w:val="center"/>
              <w:rPr>
                <w:rFonts w:ascii="仿宋_GB2312" w:eastAsia="仿宋_GB2312" w:cs="宋体"/>
                <w:kern w:val="0"/>
                <w:szCs w:val="21"/>
              </w:rPr>
            </w:pPr>
            <w:r>
              <w:rPr>
                <w:rFonts w:ascii="仿宋_GB2312" w:eastAsia="仿宋_GB2312" w:cs="宋体"/>
                <w:kern w:val="0"/>
                <w:szCs w:val="21"/>
              </w:rPr>
              <w:t>55</w:t>
            </w:r>
          </w:p>
        </w:tc>
        <w:tc>
          <w:tcPr>
            <w:tcW w:w="1266" w:type="dxa"/>
          </w:tcPr>
          <w:p w14:paraId="4D9B344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2</w:t>
            </w:r>
          </w:p>
        </w:tc>
        <w:tc>
          <w:tcPr>
            <w:tcW w:w="1266" w:type="dxa"/>
          </w:tcPr>
          <w:p w14:paraId="024E2CD2">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9</w:t>
            </w:r>
            <w:r>
              <w:rPr>
                <w:rFonts w:ascii="仿宋_GB2312" w:eastAsia="仿宋_GB2312" w:cs="宋体"/>
                <w:kern w:val="0"/>
                <w:szCs w:val="21"/>
              </w:rPr>
              <w:t>4.6%</w:t>
            </w:r>
          </w:p>
        </w:tc>
        <w:tc>
          <w:tcPr>
            <w:tcW w:w="1266" w:type="dxa"/>
          </w:tcPr>
          <w:p w14:paraId="5085F52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2</w:t>
            </w:r>
          </w:p>
        </w:tc>
        <w:tc>
          <w:tcPr>
            <w:tcW w:w="846" w:type="dxa"/>
          </w:tcPr>
          <w:p w14:paraId="415E0DA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0831A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2396" w:type="dxa"/>
          </w:tcPr>
          <w:p w14:paraId="413DC6E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高星级饭店运营与管理</w:t>
            </w:r>
          </w:p>
        </w:tc>
        <w:tc>
          <w:tcPr>
            <w:tcW w:w="1266" w:type="dxa"/>
          </w:tcPr>
          <w:p w14:paraId="7AA9E7FA">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0</w:t>
            </w:r>
          </w:p>
        </w:tc>
        <w:tc>
          <w:tcPr>
            <w:tcW w:w="1266" w:type="dxa"/>
          </w:tcPr>
          <w:p w14:paraId="2C183D5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2</w:t>
            </w:r>
          </w:p>
        </w:tc>
        <w:tc>
          <w:tcPr>
            <w:tcW w:w="1266" w:type="dxa"/>
          </w:tcPr>
          <w:p w14:paraId="01D7C150">
            <w:pPr>
              <w:widowControl/>
              <w:spacing w:line="360" w:lineRule="atLeast"/>
              <w:jc w:val="center"/>
              <w:rPr>
                <w:rFonts w:ascii="仿宋_GB2312" w:eastAsia="仿宋_GB2312" w:cs="宋体"/>
                <w:kern w:val="0"/>
                <w:szCs w:val="21"/>
              </w:rPr>
            </w:pPr>
            <w:r>
              <w:rPr>
                <w:rFonts w:ascii="仿宋_GB2312" w:eastAsia="仿宋_GB2312" w:cs="宋体"/>
                <w:kern w:val="0"/>
                <w:szCs w:val="21"/>
              </w:rPr>
              <w:t>64.0%</w:t>
            </w:r>
          </w:p>
        </w:tc>
        <w:tc>
          <w:tcPr>
            <w:tcW w:w="1266" w:type="dxa"/>
          </w:tcPr>
          <w:p w14:paraId="4648F804">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3</w:t>
            </w:r>
            <w:r>
              <w:rPr>
                <w:rFonts w:ascii="仿宋_GB2312" w:eastAsia="仿宋_GB2312" w:cs="宋体"/>
                <w:kern w:val="0"/>
                <w:szCs w:val="21"/>
              </w:rPr>
              <w:t>2</w:t>
            </w:r>
          </w:p>
        </w:tc>
        <w:tc>
          <w:tcPr>
            <w:tcW w:w="846" w:type="dxa"/>
          </w:tcPr>
          <w:p w14:paraId="6B346B1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4547A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2396" w:type="dxa"/>
          </w:tcPr>
          <w:p w14:paraId="3FCE2F8C">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虚拟现实技术与应用</w:t>
            </w:r>
          </w:p>
        </w:tc>
        <w:tc>
          <w:tcPr>
            <w:tcW w:w="1266" w:type="dxa"/>
          </w:tcPr>
          <w:p w14:paraId="50CA147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5</w:t>
            </w:r>
            <w:r>
              <w:rPr>
                <w:rFonts w:ascii="仿宋_GB2312" w:eastAsia="仿宋_GB2312" w:cs="宋体"/>
                <w:kern w:val="0"/>
                <w:szCs w:val="21"/>
              </w:rPr>
              <w:t>0</w:t>
            </w:r>
          </w:p>
        </w:tc>
        <w:tc>
          <w:tcPr>
            <w:tcW w:w="1266" w:type="dxa"/>
          </w:tcPr>
          <w:p w14:paraId="26902A7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7</w:t>
            </w:r>
          </w:p>
        </w:tc>
        <w:tc>
          <w:tcPr>
            <w:tcW w:w="1266" w:type="dxa"/>
          </w:tcPr>
          <w:p w14:paraId="4A445E45">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9</w:t>
            </w:r>
            <w:r>
              <w:rPr>
                <w:rFonts w:ascii="仿宋_GB2312" w:eastAsia="仿宋_GB2312" w:cs="宋体"/>
                <w:kern w:val="0"/>
                <w:szCs w:val="21"/>
              </w:rPr>
              <w:t>4.0%</w:t>
            </w:r>
          </w:p>
        </w:tc>
        <w:tc>
          <w:tcPr>
            <w:tcW w:w="1266" w:type="dxa"/>
          </w:tcPr>
          <w:p w14:paraId="2E4C717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4</w:t>
            </w:r>
            <w:r>
              <w:rPr>
                <w:rFonts w:ascii="仿宋_GB2312" w:eastAsia="仿宋_GB2312" w:cs="宋体"/>
                <w:kern w:val="0"/>
                <w:szCs w:val="21"/>
              </w:rPr>
              <w:t>7</w:t>
            </w:r>
          </w:p>
        </w:tc>
        <w:tc>
          <w:tcPr>
            <w:tcW w:w="846" w:type="dxa"/>
          </w:tcPr>
          <w:p w14:paraId="66E842D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1</w:t>
            </w:r>
            <w:r>
              <w:rPr>
                <w:rFonts w:ascii="仿宋_GB2312" w:eastAsia="仿宋_GB2312" w:cs="宋体"/>
                <w:kern w:val="0"/>
                <w:szCs w:val="21"/>
              </w:rPr>
              <w:t>00%</w:t>
            </w:r>
          </w:p>
        </w:tc>
      </w:tr>
      <w:tr w14:paraId="328BE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2396" w:type="dxa"/>
          </w:tcPr>
          <w:p w14:paraId="319ECA9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总计</w:t>
            </w:r>
          </w:p>
        </w:tc>
        <w:tc>
          <w:tcPr>
            <w:tcW w:w="1266" w:type="dxa"/>
          </w:tcPr>
          <w:p w14:paraId="6D2DFC89">
            <w:pPr>
              <w:widowControl/>
              <w:spacing w:line="360" w:lineRule="atLeast"/>
              <w:jc w:val="center"/>
              <w:rPr>
                <w:rFonts w:ascii="仿宋_GB2312" w:eastAsia="仿宋_GB2312" w:cs="宋体"/>
                <w:kern w:val="0"/>
                <w:szCs w:val="21"/>
              </w:rPr>
            </w:pPr>
            <w:r>
              <w:rPr>
                <w:rFonts w:ascii="仿宋_GB2312" w:eastAsia="仿宋_GB2312" w:cs="宋体"/>
                <w:kern w:val="0"/>
                <w:szCs w:val="21"/>
              </w:rPr>
              <w:t>1460</w:t>
            </w:r>
          </w:p>
        </w:tc>
        <w:tc>
          <w:tcPr>
            <w:tcW w:w="1266" w:type="dxa"/>
          </w:tcPr>
          <w:p w14:paraId="50003F11">
            <w:pPr>
              <w:widowControl/>
              <w:spacing w:line="360" w:lineRule="atLeast"/>
              <w:jc w:val="center"/>
              <w:rPr>
                <w:rFonts w:ascii="仿宋_GB2312" w:eastAsia="仿宋_GB2312" w:cs="宋体"/>
                <w:kern w:val="0"/>
                <w:szCs w:val="21"/>
              </w:rPr>
            </w:pPr>
            <w:r>
              <w:rPr>
                <w:rFonts w:ascii="仿宋_GB2312" w:eastAsia="仿宋_GB2312" w:cs="宋体"/>
                <w:kern w:val="0"/>
                <w:szCs w:val="21"/>
              </w:rPr>
              <w:t>1134</w:t>
            </w:r>
          </w:p>
        </w:tc>
        <w:tc>
          <w:tcPr>
            <w:tcW w:w="1266" w:type="dxa"/>
          </w:tcPr>
          <w:p w14:paraId="0295340E">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7</w:t>
            </w:r>
            <w:r>
              <w:rPr>
                <w:rFonts w:ascii="仿宋_GB2312" w:eastAsia="仿宋_GB2312" w:cs="宋体"/>
                <w:kern w:val="0"/>
                <w:szCs w:val="21"/>
              </w:rPr>
              <w:t>7.7%</w:t>
            </w:r>
          </w:p>
        </w:tc>
        <w:tc>
          <w:tcPr>
            <w:tcW w:w="1266" w:type="dxa"/>
          </w:tcPr>
          <w:p w14:paraId="57041856">
            <w:pPr>
              <w:widowControl/>
              <w:spacing w:line="360" w:lineRule="atLeast"/>
              <w:jc w:val="center"/>
              <w:rPr>
                <w:rFonts w:ascii="仿宋_GB2312" w:eastAsia="仿宋_GB2312" w:cs="宋体"/>
                <w:kern w:val="0"/>
                <w:szCs w:val="21"/>
              </w:rPr>
            </w:pPr>
            <w:r>
              <w:rPr>
                <w:rFonts w:ascii="仿宋_GB2312" w:eastAsia="仿宋_GB2312" w:cs="宋体"/>
                <w:kern w:val="0"/>
                <w:szCs w:val="21"/>
              </w:rPr>
              <w:t>1122</w:t>
            </w:r>
          </w:p>
        </w:tc>
        <w:tc>
          <w:tcPr>
            <w:tcW w:w="846" w:type="dxa"/>
          </w:tcPr>
          <w:p w14:paraId="6085BE3D">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9</w:t>
            </w:r>
            <w:r>
              <w:rPr>
                <w:rFonts w:ascii="仿宋_GB2312" w:eastAsia="仿宋_GB2312" w:cs="宋体"/>
                <w:kern w:val="0"/>
                <w:szCs w:val="21"/>
              </w:rPr>
              <w:t>8.9%</w:t>
            </w:r>
          </w:p>
        </w:tc>
      </w:tr>
    </w:tbl>
    <w:p w14:paraId="1EF8F67E">
      <w:pPr>
        <w:pStyle w:val="6"/>
        <w:jc w:val="both"/>
        <w:rPr>
          <w:rFonts w:ascii="楷体_GB2312" w:hAnsi="楷体_GB2312" w:eastAsia="楷体_GB2312" w:cs="楷体_GB2312"/>
          <w:sz w:val="24"/>
        </w:rPr>
      </w:pPr>
    </w:p>
    <w:p w14:paraId="4AA3E0EB">
      <w:pPr>
        <w:pStyle w:val="6"/>
        <w:jc w:val="center"/>
        <w:rPr>
          <w:rFonts w:ascii="楷体_GB2312" w:hAnsi="楷体_GB2312" w:eastAsia="楷体_GB2312" w:cs="楷体_GB2312"/>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表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rPr>
        <w:fldChar w:fldCharType="end"/>
      </w:r>
      <w:bookmarkStart w:id="17" w:name="_Toc29355"/>
      <w:bookmarkStart w:id="18" w:name="_Toc21666"/>
      <w:bookmarkStart w:id="19" w:name="_Toc25801"/>
      <w:bookmarkStart w:id="20" w:name="_Toc1001"/>
      <w:r>
        <w:rPr>
          <w:rFonts w:hint="eastAsia" w:ascii="楷体_GB2312" w:hAnsi="楷体_GB2312" w:eastAsia="楷体_GB2312" w:cs="楷体_GB2312"/>
          <w:sz w:val="24"/>
        </w:rPr>
        <w:t xml:space="preserve"> 在校生结构</w:t>
      </w:r>
      <w:bookmarkEnd w:id="17"/>
      <w:bookmarkEnd w:id="18"/>
      <w:bookmarkEnd w:id="19"/>
      <w:bookmarkEnd w:id="20"/>
    </w:p>
    <w:tbl>
      <w:tblPr>
        <w:tblStyle w:val="17"/>
        <w:tblW w:w="8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7"/>
        <w:gridCol w:w="1275"/>
        <w:gridCol w:w="1276"/>
        <w:gridCol w:w="1276"/>
        <w:gridCol w:w="1276"/>
        <w:gridCol w:w="1648"/>
      </w:tblGrid>
      <w:tr w14:paraId="39113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367" w:type="dxa"/>
          </w:tcPr>
          <w:p w14:paraId="16B4A6C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类别</w:t>
            </w:r>
          </w:p>
        </w:tc>
        <w:tc>
          <w:tcPr>
            <w:tcW w:w="1275" w:type="dxa"/>
          </w:tcPr>
          <w:p w14:paraId="0B26C2B8">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总人数</w:t>
            </w:r>
          </w:p>
        </w:tc>
        <w:tc>
          <w:tcPr>
            <w:tcW w:w="1276" w:type="dxa"/>
          </w:tcPr>
          <w:p w14:paraId="719CDE6C">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男生数</w:t>
            </w:r>
          </w:p>
        </w:tc>
        <w:tc>
          <w:tcPr>
            <w:tcW w:w="1276" w:type="dxa"/>
          </w:tcPr>
          <w:p w14:paraId="2C87B099">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女生数</w:t>
            </w:r>
          </w:p>
        </w:tc>
        <w:tc>
          <w:tcPr>
            <w:tcW w:w="1276" w:type="dxa"/>
          </w:tcPr>
          <w:p w14:paraId="09E2E427">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省内人数</w:t>
            </w:r>
          </w:p>
        </w:tc>
        <w:tc>
          <w:tcPr>
            <w:tcW w:w="1648" w:type="dxa"/>
          </w:tcPr>
          <w:p w14:paraId="506C3270">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省外人数</w:t>
            </w:r>
          </w:p>
        </w:tc>
      </w:tr>
      <w:tr w14:paraId="271A5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1367" w:type="dxa"/>
          </w:tcPr>
          <w:p w14:paraId="29EE19E6">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职高</w:t>
            </w:r>
          </w:p>
        </w:tc>
        <w:tc>
          <w:tcPr>
            <w:tcW w:w="1275" w:type="dxa"/>
          </w:tcPr>
          <w:p w14:paraId="740039E9">
            <w:pPr>
              <w:widowControl/>
              <w:spacing w:line="360" w:lineRule="atLeast"/>
              <w:jc w:val="center"/>
              <w:rPr>
                <w:rFonts w:ascii="仿宋_GB2312" w:eastAsia="仿宋_GB2312" w:cs="宋体"/>
                <w:kern w:val="0"/>
                <w:szCs w:val="21"/>
              </w:rPr>
            </w:pPr>
            <w:r>
              <w:rPr>
                <w:rFonts w:ascii="仿宋_GB2312" w:eastAsia="仿宋_GB2312" w:cs="宋体"/>
                <w:kern w:val="0"/>
                <w:szCs w:val="21"/>
              </w:rPr>
              <w:t>3501</w:t>
            </w:r>
          </w:p>
        </w:tc>
        <w:tc>
          <w:tcPr>
            <w:tcW w:w="1276" w:type="dxa"/>
          </w:tcPr>
          <w:p w14:paraId="31CC0305">
            <w:pPr>
              <w:widowControl/>
              <w:spacing w:line="360" w:lineRule="atLeast"/>
              <w:jc w:val="center"/>
              <w:rPr>
                <w:rFonts w:ascii="仿宋_GB2312" w:eastAsia="仿宋_GB2312" w:cs="宋体"/>
                <w:kern w:val="0"/>
                <w:szCs w:val="21"/>
              </w:rPr>
            </w:pPr>
            <w:r>
              <w:rPr>
                <w:rFonts w:ascii="仿宋_GB2312" w:eastAsia="仿宋_GB2312" w:cs="宋体"/>
                <w:kern w:val="0"/>
                <w:szCs w:val="21"/>
              </w:rPr>
              <w:t>1946</w:t>
            </w:r>
          </w:p>
        </w:tc>
        <w:tc>
          <w:tcPr>
            <w:tcW w:w="1276" w:type="dxa"/>
          </w:tcPr>
          <w:p w14:paraId="32780259">
            <w:pPr>
              <w:widowControl/>
              <w:spacing w:line="360" w:lineRule="atLeast"/>
              <w:jc w:val="center"/>
              <w:rPr>
                <w:rFonts w:ascii="仿宋_GB2312" w:eastAsia="仿宋_GB2312" w:cs="宋体"/>
                <w:kern w:val="0"/>
                <w:szCs w:val="21"/>
              </w:rPr>
            </w:pPr>
            <w:r>
              <w:rPr>
                <w:rFonts w:ascii="仿宋_GB2312" w:eastAsia="仿宋_GB2312" w:cs="宋体"/>
                <w:kern w:val="0"/>
                <w:szCs w:val="21"/>
              </w:rPr>
              <w:t>1555</w:t>
            </w:r>
          </w:p>
        </w:tc>
        <w:tc>
          <w:tcPr>
            <w:tcW w:w="1276" w:type="dxa"/>
          </w:tcPr>
          <w:p w14:paraId="127474B5">
            <w:pPr>
              <w:widowControl/>
              <w:spacing w:line="360" w:lineRule="atLeast"/>
              <w:jc w:val="center"/>
              <w:rPr>
                <w:rFonts w:ascii="仿宋_GB2312" w:eastAsia="仿宋_GB2312" w:cs="宋体"/>
                <w:kern w:val="0"/>
                <w:szCs w:val="21"/>
              </w:rPr>
            </w:pPr>
            <w:r>
              <w:rPr>
                <w:rFonts w:ascii="仿宋_GB2312" w:eastAsia="仿宋_GB2312" w:cs="宋体"/>
                <w:kern w:val="0"/>
                <w:szCs w:val="21"/>
              </w:rPr>
              <w:t>3501</w:t>
            </w:r>
          </w:p>
        </w:tc>
        <w:tc>
          <w:tcPr>
            <w:tcW w:w="1648" w:type="dxa"/>
          </w:tcPr>
          <w:p w14:paraId="5353D6EF">
            <w:pPr>
              <w:widowControl/>
              <w:spacing w:line="360" w:lineRule="atLeast"/>
              <w:jc w:val="center"/>
              <w:rPr>
                <w:rFonts w:ascii="仿宋_GB2312" w:eastAsia="仿宋_GB2312" w:cs="宋体"/>
                <w:kern w:val="0"/>
                <w:szCs w:val="21"/>
              </w:rPr>
            </w:pPr>
            <w:r>
              <w:rPr>
                <w:rFonts w:hint="eastAsia" w:ascii="仿宋_GB2312" w:eastAsia="仿宋_GB2312" w:cs="宋体"/>
                <w:kern w:val="0"/>
                <w:szCs w:val="21"/>
              </w:rPr>
              <w:t>0</w:t>
            </w:r>
          </w:p>
        </w:tc>
      </w:tr>
    </w:tbl>
    <w:p w14:paraId="314505D2">
      <w:pPr>
        <w:bidi w:val="0"/>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（数据来源：中职学校学籍管理系统）</w:t>
      </w:r>
    </w:p>
    <w:p w14:paraId="52C4EA2F">
      <w:pPr>
        <w:pStyle w:val="3"/>
        <w:keepNext/>
        <w:keepLines/>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21" w:name="_Toc20126"/>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一</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rPr>
        <w:t>立德树人</w:t>
      </w:r>
      <w:bookmarkEnd w:id="21"/>
    </w:p>
    <w:p w14:paraId="5FA11B3F">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楷体_GB2312" w:hAnsi="楷体_GB2312" w:eastAsia="楷体_GB2312" w:cs="楷体_GB2312"/>
          <w:sz w:val="28"/>
          <w:szCs w:val="28"/>
          <w:lang w:val="en-US" w:eastAsia="zh-CN"/>
        </w:rPr>
      </w:pPr>
      <w:r>
        <w:rPr>
          <w:rFonts w:hint="eastAsia" w:ascii="楷体_GB2312" w:hAnsi="楷体_GB2312" w:eastAsia="楷体_GB2312" w:cs="楷体_GB2312"/>
          <w:sz w:val="28"/>
          <w:szCs w:val="28"/>
          <w:lang w:val="en-US" w:eastAsia="zh-CN"/>
        </w:rPr>
        <w:t>1.校园文化建设。</w:t>
      </w:r>
    </w:p>
    <w:p w14:paraId="05F8BD81">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仿宋_GB2312" w:eastAsia="仿宋_GB2312"/>
          <w:sz w:val="28"/>
          <w:szCs w:val="28"/>
          <w:lang w:val="en-US" w:eastAsia="zh-CN"/>
        </w:rPr>
      </w:pPr>
      <w:r>
        <w:rPr>
          <w:rFonts w:hint="eastAsia" w:ascii="仿宋_GB2312" w:eastAsia="仿宋_GB2312"/>
          <w:sz w:val="28"/>
          <w:szCs w:val="28"/>
          <w:lang w:val="en-US" w:eastAsia="zh-CN"/>
        </w:rPr>
        <w:t>淄博理工学校聚焦特色校园文化构建，全力推进精品校园建设。通过统筹开展校园文化节等系列活动，营造个性化校园文化氛围，培育优良校风、教风与学风。学校同步优化美化校园文化环境，依托多元向上、高雅健康的校园文化活动，扎实推动精品校园建设走深走实。</w:t>
      </w:r>
    </w:p>
    <w:p w14:paraId="0BCD85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仿宋_GB2312" w:hAnsi="仿宋" w:eastAsia="仿宋_GB2312" w:cs="仿宋"/>
          <w:color w:val="FF0000"/>
          <w:sz w:val="28"/>
          <w:szCs w:val="28"/>
          <w:lang w:eastAsia="zh-CN"/>
        </w:rPr>
      </w:pPr>
      <w:r>
        <w:rPr>
          <w:rFonts w:hint="eastAsia" w:ascii="仿宋_GB2312" w:hAnsi="仿宋" w:eastAsia="仿宋_GB2312" w:cs="仿宋"/>
          <w:color w:val="FF0000"/>
          <w:sz w:val="28"/>
          <w:szCs w:val="28"/>
          <w:lang w:eastAsia="zh-CN"/>
        </w:rPr>
        <w:drawing>
          <wp:inline distT="0" distB="0" distL="114300" distR="114300">
            <wp:extent cx="2881630" cy="2160270"/>
            <wp:effectExtent l="0" t="0" r="1270" b="11430"/>
            <wp:docPr id="44" name="图片 44" descr="84392963269b7e5caf3f4b099a84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84392963269b7e5caf3f4b099a84f40"/>
                    <pic:cNvPicPr>
                      <a:picLocks noChangeAspect="1"/>
                    </pic:cNvPicPr>
                  </pic:nvPicPr>
                  <pic:blipFill>
                    <a:blip r:embed="rId12"/>
                    <a:stretch>
                      <a:fillRect/>
                    </a:stretch>
                  </pic:blipFill>
                  <pic:spPr>
                    <a:xfrm>
                      <a:off x="0" y="0"/>
                      <a:ext cx="2881630" cy="2160270"/>
                    </a:xfrm>
                    <a:prstGeom prst="rect">
                      <a:avLst/>
                    </a:prstGeom>
                  </pic:spPr>
                </pic:pic>
              </a:graphicData>
            </a:graphic>
          </wp:inline>
        </w:drawing>
      </w:r>
    </w:p>
    <w:p w14:paraId="1302D224">
      <w:pPr>
        <w:pStyle w:val="6"/>
        <w:jc w:val="center"/>
        <w:rPr>
          <w:rFonts w:hint="eastAsia" w:ascii="楷体_GB2312" w:hAnsi="楷体_GB2312" w:eastAsia="楷体_GB2312" w:cs="楷体_GB2312"/>
        </w:rPr>
      </w:pPr>
      <w:r>
        <w:rPr>
          <w:rFonts w:hint="eastAsia" w:ascii="楷体_GB2312" w:hAnsi="楷体_GB2312" w:eastAsia="楷体_GB2312" w:cs="楷体_GB2312"/>
          <w:sz w:val="24"/>
        </w:rPr>
        <w:t xml:space="preserve">图 </w:t>
      </w:r>
      <w:bookmarkStart w:id="22" w:name="_Toc1849"/>
      <w:bookmarkStart w:id="23" w:name="_Toc597"/>
      <w:bookmarkStart w:id="24" w:name="_Toc2056"/>
      <w:bookmarkStart w:id="25" w:name="_Toc5154"/>
      <w:r>
        <w:rPr>
          <w:rFonts w:hint="eastAsia" w:ascii="楷体_GB2312" w:hAnsi="楷体_GB2312" w:eastAsia="楷体_GB2312" w:cs="楷体_GB2312"/>
          <w:sz w:val="24"/>
          <w:lang w:val="en-US" w:eastAsia="zh-CN"/>
        </w:rPr>
        <w:t>1-2</w:t>
      </w:r>
      <w:r>
        <w:rPr>
          <w:rFonts w:hint="eastAsia" w:ascii="楷体_GB2312" w:hAnsi="楷体_GB2312" w:eastAsia="楷体_GB2312" w:cs="楷体_GB2312"/>
          <w:sz w:val="24"/>
        </w:rPr>
        <w:t xml:space="preserve"> </w:t>
      </w:r>
      <w:bookmarkEnd w:id="22"/>
      <w:bookmarkEnd w:id="23"/>
      <w:bookmarkEnd w:id="24"/>
      <w:r>
        <w:rPr>
          <w:rFonts w:hint="eastAsia" w:ascii="楷体_GB2312" w:hAnsi="楷体_GB2312" w:eastAsia="楷体_GB2312" w:cs="楷体_GB2312"/>
          <w:sz w:val="24"/>
        </w:rPr>
        <w:t>淄博理工学校古法蓝染</w:t>
      </w:r>
      <w:r>
        <w:rPr>
          <w:rFonts w:hint="eastAsia" w:ascii="楷体_GB2312" w:hAnsi="楷体_GB2312" w:eastAsia="楷体_GB2312" w:cs="楷体_GB2312"/>
          <w:sz w:val="24"/>
          <w:lang w:val="en-US" w:eastAsia="zh-CN"/>
        </w:rPr>
        <w:t>非遗文化进校园活动</w:t>
      </w:r>
      <w:bookmarkEnd w:id="25"/>
      <w:bookmarkStart w:id="26" w:name="_Toc28671"/>
      <w:bookmarkStart w:id="27" w:name="_Toc5046"/>
      <w:bookmarkStart w:id="28" w:name="_Toc14907"/>
      <w:bookmarkStart w:id="29" w:name="_Toc2528"/>
      <w:bookmarkStart w:id="30" w:name="_Toc17517"/>
      <w:bookmarkStart w:id="31" w:name="_Toc7521"/>
      <w:bookmarkStart w:id="32" w:name="_Toc14658"/>
      <w:bookmarkStart w:id="33" w:name="_Toc20031"/>
      <w:bookmarkStart w:id="34" w:name="_Toc8074"/>
      <w:bookmarkStart w:id="35" w:name="_Toc23703"/>
      <w:bookmarkStart w:id="36" w:name="_Toc12962"/>
      <w:bookmarkStart w:id="37" w:name="_Toc32522"/>
      <w:bookmarkStart w:id="38" w:name="_Toc11888"/>
      <w:bookmarkStart w:id="39" w:name="_Toc17694"/>
      <w:bookmarkStart w:id="40" w:name="_Toc32149"/>
      <w:bookmarkStart w:id="41" w:name="_Toc31149"/>
    </w:p>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14:paraId="2CE2FCCA">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42" w:name="_Toc26734"/>
      <w:bookmarkStart w:id="43" w:name="_Toc12840"/>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1-1</w:t>
      </w:r>
      <w:r>
        <w:rPr>
          <w:rFonts w:hint="eastAsia" w:ascii="楷体_GB2312" w:hAnsi="楷体_GB2312" w:eastAsia="楷体_GB2312" w:cs="楷体_GB2312"/>
          <w:sz w:val="30"/>
          <w:szCs w:val="30"/>
        </w:rPr>
        <w:t>：绳舞青春的育人样本</w:t>
      </w:r>
      <w:bookmarkEnd w:id="42"/>
      <w:bookmarkEnd w:id="43"/>
    </w:p>
    <w:p w14:paraId="54BC028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sz w:val="28"/>
          <w:szCs w:val="28"/>
        </w:rPr>
      </w:pPr>
      <w:r>
        <w:rPr>
          <w:rFonts w:hint="eastAsia" w:ascii="仿宋_GB2312" w:hAnsi="仿宋" w:eastAsia="仿宋_GB2312" w:cs="Times New Roman"/>
          <w:sz w:val="28"/>
          <w:szCs w:val="28"/>
        </w:rPr>
        <w:t>淄博理工学校始终坚持“五育并举、五育融合”的育人方针，将“以体树人、以体育人”置于人才培养的核心。近年来，学校跳绳队在教练员的科学指导与倾心带领下，在各类赛事中奋勇争先，不仅以绝对优势蝉联淄川区高中组团体第一名”，更在2025年夺得全市跳绳比赛季军等多项荣誉。该项目已发展成为一项集训练、竞赛、育人于一体的特色品牌。他们的卓越表现，正是学校育人理念落地生根、开花结果的生动缩影。</w:t>
      </w:r>
    </w:p>
    <w:p w14:paraId="153B3B34">
      <w:pPr>
        <w:adjustRightInd w:val="0"/>
        <w:snapToGrid w:val="0"/>
        <w:spacing w:before="240"/>
        <w:jc w:val="center"/>
      </w:pPr>
      <w:r>
        <w:rPr>
          <w:rFonts w:ascii="宋体" w:hAnsi="宋体" w:eastAsia="宋体" w:cs="宋体"/>
          <w:sz w:val="24"/>
          <w:szCs w:val="24"/>
        </w:rPr>
        <w:drawing>
          <wp:inline distT="0" distB="0" distL="114300" distR="114300">
            <wp:extent cx="2879725" cy="2160270"/>
            <wp:effectExtent l="0" t="0" r="635" b="3810"/>
            <wp:docPr id="63" name="图片 2" descr="IMG_256"/>
            <wp:cNvGraphicFramePr/>
            <a:graphic xmlns:a="http://schemas.openxmlformats.org/drawingml/2006/main">
              <a:graphicData uri="http://schemas.openxmlformats.org/drawingml/2006/picture">
                <pic:pic xmlns:pic="http://schemas.openxmlformats.org/drawingml/2006/picture">
                  <pic:nvPicPr>
                    <pic:cNvPr id="63" name="图片 2" descr="IMG_256"/>
                    <pic:cNvPicPr/>
                  </pic:nvPicPr>
                  <pic:blipFill>
                    <a:blip r:embed="rId13"/>
                    <a:stretch>
                      <a:fillRect/>
                    </a:stretch>
                  </pic:blipFill>
                  <pic:spPr>
                    <a:xfrm>
                      <a:off x="0" y="0"/>
                      <a:ext cx="2879725" cy="2160270"/>
                    </a:xfrm>
                    <a:prstGeom prst="rect">
                      <a:avLst/>
                    </a:prstGeom>
                    <a:noFill/>
                    <a:ln w="9525">
                      <a:noFill/>
                    </a:ln>
                  </pic:spPr>
                </pic:pic>
              </a:graphicData>
            </a:graphic>
          </wp:inline>
        </w:drawing>
      </w:r>
    </w:p>
    <w:p w14:paraId="74502575">
      <w:pPr>
        <w:pStyle w:val="6"/>
        <w:adjustRightInd w:val="0"/>
        <w:snapToGrid w:val="0"/>
        <w:spacing w:line="400" w:lineRule="exact"/>
        <w:jc w:val="center"/>
        <w:rPr>
          <w:rFonts w:hint="eastAsia" w:ascii="楷体_GB2312" w:hAnsi="楷体_GB2312" w:eastAsia="楷体_GB2312" w:cs="楷体_GB2312"/>
          <w:sz w:val="24"/>
          <w:lang w:val="en-US" w:eastAsia="zh-CN"/>
        </w:rPr>
      </w:pPr>
      <w:r>
        <w:rPr>
          <w:rFonts w:hint="eastAsia" w:ascii="楷体_GB2312" w:hAnsi="楷体_GB2312" w:eastAsia="楷体_GB2312" w:cs="楷体_GB2312"/>
          <w:sz w:val="24"/>
        </w:rPr>
        <w:t xml:space="preserve">图 </w:t>
      </w:r>
      <w:bookmarkStart w:id="44" w:name="_Toc24728"/>
      <w:r>
        <w:rPr>
          <w:rFonts w:hint="eastAsia" w:ascii="楷体_GB2312" w:hAnsi="楷体_GB2312" w:eastAsia="楷体_GB2312" w:cs="楷体_GB2312"/>
          <w:sz w:val="24"/>
          <w:lang w:val="en-US" w:eastAsia="zh-CN"/>
        </w:rPr>
        <w:t>1-3</w:t>
      </w:r>
      <w:r>
        <w:rPr>
          <w:rFonts w:hint="eastAsia" w:ascii="楷体_GB2312" w:hAnsi="楷体_GB2312" w:eastAsia="楷体_GB2312" w:cs="楷体_GB2312"/>
          <w:sz w:val="24"/>
        </w:rPr>
        <w:t xml:space="preserve"> 淄博市跳绳联赛获佳绩</w:t>
      </w:r>
      <w:bookmarkEnd w:id="44"/>
    </w:p>
    <w:p w14:paraId="51D68CA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sz w:val="28"/>
          <w:szCs w:val="28"/>
          <w:lang w:eastAsia="zh-CN"/>
        </w:rPr>
      </w:pPr>
      <w:r>
        <w:rPr>
          <w:rFonts w:hint="eastAsia" w:ascii="仿宋_GB2312" w:hAnsi="仿宋" w:eastAsia="仿宋_GB2312" w:cs="Times New Roman"/>
          <w:sz w:val="28"/>
          <w:szCs w:val="28"/>
        </w:rPr>
        <w:t>项目的特色与创新之处显著。构建了“科学训练+全员普及”的双轨模式。跳绳队作为尖兵，接受系统化、专业化的训练，其成功经验反哺于全校体育课堂与课外活动，使跳绳成为广受学生喜爱的锻炼方式，真正实现了竞技引领与普惠健康的结合。创新训练与育人深度融合机制。训练不仅锤炼技艺，更注重意志品质与团队精神的锻造。队员们日复一日</w:t>
      </w:r>
      <w:r>
        <w:rPr>
          <w:rFonts w:hint="eastAsia" w:ascii="仿宋_GB2312" w:hAnsi="仿宋" w:eastAsia="仿宋_GB2312" w:cs="Times New Roman"/>
          <w:sz w:val="28"/>
          <w:szCs w:val="28"/>
          <w:lang w:val="en-US" w:eastAsia="zh-CN"/>
        </w:rPr>
        <w:t>地</w:t>
      </w:r>
      <w:r>
        <w:rPr>
          <w:rFonts w:hint="eastAsia" w:ascii="仿宋_GB2312" w:hAnsi="仿宋" w:eastAsia="仿宋_GB2312" w:cs="Times New Roman"/>
          <w:sz w:val="28"/>
          <w:szCs w:val="28"/>
        </w:rPr>
        <w:t>刻苦训练，在翻飞的绳索中磨砺出坚持的力量与默契的配合。教练团队将德育、心育融入日常，使跳绳场成为特殊的育人课堂。探索“体教融合”新路径。项目将体育精神与学业追求相结合，激励学生在挑战自我、追求卓越的体育实践中，同步提升专注力、坚韧性等核心素养，生动诠释了“五育融合”的深刻内涵</w:t>
      </w:r>
      <w:r>
        <w:rPr>
          <w:rFonts w:hint="eastAsia" w:ascii="仿宋_GB2312" w:hAnsi="仿宋" w:eastAsia="仿宋_GB2312" w:cs="Times New Roman"/>
          <w:sz w:val="28"/>
          <w:szCs w:val="28"/>
          <w:lang w:eastAsia="zh-CN"/>
        </w:rPr>
        <w:t>。</w:t>
      </w:r>
    </w:p>
    <w:p w14:paraId="741C142B">
      <w:pPr>
        <w:adjustRightInd w:val="0"/>
        <w:snapToGrid w:val="0"/>
        <w:jc w:val="both"/>
        <w:rPr>
          <w:rFonts w:hint="eastAsia" w:ascii="楷体_GB2312" w:hAnsi="楷体_GB2312" w:eastAsia="楷体_GB2312" w:cs="楷体_GB2312"/>
          <w:sz w:val="24"/>
          <w:lang w:val="en-US" w:eastAsia="zh-CN"/>
        </w:rPr>
      </w:pPr>
    </w:p>
    <w:p w14:paraId="680966C6">
      <w:pPr>
        <w:adjustRightInd w:val="0"/>
        <w:snapToGrid w:val="0"/>
        <w:jc w:val="center"/>
        <w:rPr>
          <w:rFonts w:hint="eastAsia" w:ascii="楷体_GB2312" w:hAnsi="楷体_GB2312" w:eastAsia="楷体_GB2312" w:cs="楷体_GB2312"/>
          <w:sz w:val="24"/>
        </w:rPr>
      </w:pPr>
      <w:r>
        <w:rPr>
          <w:rFonts w:hint="eastAsia" w:ascii="仿宋_GB2312" w:eastAsia="仿宋_GB2312"/>
          <w:sz w:val="28"/>
          <w:szCs w:val="28"/>
          <w:lang w:eastAsia="zh-CN"/>
        </w:rPr>
        <w:drawing>
          <wp:inline distT="0" distB="0" distL="114300" distR="114300">
            <wp:extent cx="2879090" cy="2160270"/>
            <wp:effectExtent l="0" t="0" r="1270" b="3810"/>
            <wp:docPr id="64" name="图片 64" descr="17e1e2d13ec85b0ae6db3782b616a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7e1e2d13ec85b0ae6db3782b616ad8"/>
                    <pic:cNvPicPr>
                      <a:picLocks noChangeAspect="1"/>
                    </pic:cNvPicPr>
                  </pic:nvPicPr>
                  <pic:blipFill>
                    <a:blip r:embed="rId14"/>
                    <a:stretch>
                      <a:fillRect/>
                    </a:stretch>
                  </pic:blipFill>
                  <pic:spPr>
                    <a:xfrm>
                      <a:off x="0" y="0"/>
                      <a:ext cx="2879090" cy="2160270"/>
                    </a:xfrm>
                    <a:prstGeom prst="rect">
                      <a:avLst/>
                    </a:prstGeom>
                  </pic:spPr>
                </pic:pic>
              </a:graphicData>
            </a:graphic>
          </wp:inline>
        </w:drawing>
      </w:r>
    </w:p>
    <w:p w14:paraId="76A1B925">
      <w:pPr>
        <w:pStyle w:val="6"/>
        <w:jc w:val="center"/>
        <w:rPr>
          <w:rFonts w:hint="eastAsia"/>
          <w:lang w:val="en-US" w:eastAsia="zh-CN"/>
        </w:rPr>
      </w:pPr>
      <w:r>
        <w:rPr>
          <w:rFonts w:hint="eastAsia" w:ascii="楷体_GB2312" w:hAnsi="楷体_GB2312" w:eastAsia="楷体_GB2312" w:cs="楷体_GB2312"/>
          <w:sz w:val="24"/>
        </w:rPr>
        <w:t xml:space="preserve">图 </w:t>
      </w:r>
      <w:bookmarkStart w:id="45" w:name="_Toc6097"/>
      <w:r>
        <w:rPr>
          <w:rFonts w:hint="eastAsia" w:ascii="楷体_GB2312" w:hAnsi="楷体_GB2312" w:eastAsia="楷体_GB2312" w:cs="楷体_GB2312"/>
          <w:sz w:val="24"/>
          <w:lang w:val="en-US" w:eastAsia="zh-CN"/>
        </w:rPr>
        <w:t>1-4</w:t>
      </w:r>
      <w:r>
        <w:rPr>
          <w:rFonts w:hint="eastAsia" w:ascii="楷体_GB2312" w:hAnsi="楷体_GB2312" w:eastAsia="楷体_GB2312" w:cs="楷体_GB2312"/>
          <w:sz w:val="24"/>
          <w:lang w:eastAsia="zh-CN"/>
        </w:rPr>
        <w:t xml:space="preserve"> </w:t>
      </w:r>
      <w:r>
        <w:rPr>
          <w:rFonts w:hint="eastAsia" w:ascii="楷体_GB2312" w:hAnsi="楷体_GB2312" w:eastAsia="楷体_GB2312" w:cs="楷体_GB2312"/>
          <w:sz w:val="24"/>
          <w:lang w:val="en-US" w:eastAsia="zh-CN"/>
        </w:rPr>
        <w:t>跳绳联赛</w:t>
      </w:r>
      <w:bookmarkEnd w:id="45"/>
    </w:p>
    <w:p w14:paraId="0484E76B">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仿宋_GB2312" w:eastAsia="仿宋_GB2312"/>
          <w:sz w:val="28"/>
          <w:szCs w:val="28"/>
          <w:lang w:val="en-US" w:eastAsia="zh-CN"/>
        </w:rPr>
      </w:pPr>
      <w:r>
        <w:rPr>
          <w:rFonts w:hint="eastAsia" w:ascii="仿宋_GB2312" w:eastAsia="仿宋_GB2312"/>
          <w:sz w:val="28"/>
          <w:szCs w:val="28"/>
          <w:lang w:val="en-US" w:eastAsia="zh-CN"/>
        </w:rPr>
        <w:t>正是基于这套特色体系，学校跳绳队才能持续创造辉煌。跳绳队队员每一次绳舞飞扬，都跃动着理工学子青春的活力与昂扬的斗志，凭借扎实功底与拼搏精神，持续擦亮着学校体育特色教育的闪亮名片。</w:t>
      </w:r>
    </w:p>
    <w:p w14:paraId="7A6ABA02">
      <w:pPr>
        <w:adjustRightInd w:val="0"/>
        <w:snapToGrid w:val="0"/>
        <w:jc w:val="center"/>
        <w:rPr>
          <w:rFonts w:asciiTheme="minorEastAsia" w:hAnsiTheme="minorEastAsia" w:eastAsiaTheme="minorEastAsia"/>
          <w:sz w:val="28"/>
          <w:szCs w:val="28"/>
        </w:rPr>
      </w:pPr>
      <w:r>
        <w:rPr>
          <w:rFonts w:hint="default" w:ascii="楷体_GB2312" w:hAnsi="楷体_GB2312" w:eastAsia="楷体_GB2312" w:cs="楷体_GB2312"/>
          <w:sz w:val="24"/>
          <w:lang w:val="en-US" w:eastAsia="zh-CN"/>
        </w:rPr>
        <w:drawing>
          <wp:inline distT="0" distB="0" distL="114300" distR="114300">
            <wp:extent cx="2879725" cy="2160270"/>
            <wp:effectExtent l="0" t="0" r="635" b="3810"/>
            <wp:docPr id="59" name="图片 59" descr="c0c9ad1ccabe34b18b96bf298490e3e"/>
            <wp:cNvGraphicFramePr/>
            <a:graphic xmlns:a="http://schemas.openxmlformats.org/drawingml/2006/main">
              <a:graphicData uri="http://schemas.openxmlformats.org/drawingml/2006/picture">
                <pic:pic xmlns:pic="http://schemas.openxmlformats.org/drawingml/2006/picture">
                  <pic:nvPicPr>
                    <pic:cNvPr id="59" name="图片 59" descr="c0c9ad1ccabe34b18b96bf298490e3e"/>
                    <pic:cNvPicPr/>
                  </pic:nvPicPr>
                  <pic:blipFill>
                    <a:blip r:embed="rId15">
                      <a:lum bright="6000" contrast="18000"/>
                    </a:blip>
                    <a:srcRect r="-325" b="10363"/>
                    <a:stretch>
                      <a:fillRect/>
                    </a:stretch>
                  </pic:blipFill>
                  <pic:spPr>
                    <a:xfrm>
                      <a:off x="0" y="0"/>
                      <a:ext cx="2879725" cy="2160270"/>
                    </a:xfrm>
                    <a:prstGeom prst="rect">
                      <a:avLst/>
                    </a:prstGeom>
                  </pic:spPr>
                </pic:pic>
              </a:graphicData>
            </a:graphic>
          </wp:inline>
        </w:drawing>
      </w:r>
    </w:p>
    <w:p w14:paraId="1B482EF6">
      <w:pPr>
        <w:pStyle w:val="6"/>
        <w:jc w:val="center"/>
        <w:rPr>
          <w:rFonts w:hint="eastAsia" w:ascii="仿宋_GB2312" w:eastAsia="仿宋_GB2312"/>
          <w:sz w:val="28"/>
          <w:szCs w:val="28"/>
          <w:lang w:val="en-US" w:eastAsia="zh-CN"/>
        </w:rPr>
      </w:pPr>
      <w:r>
        <w:rPr>
          <w:rFonts w:hint="eastAsia" w:ascii="楷体_GB2312" w:hAnsi="楷体_GB2312" w:eastAsia="楷体_GB2312" w:cs="楷体_GB2312"/>
          <w:sz w:val="24"/>
        </w:rPr>
        <w:t xml:space="preserve">图 </w:t>
      </w:r>
      <w:bookmarkStart w:id="46" w:name="_Toc29913"/>
      <w:r>
        <w:rPr>
          <w:rFonts w:hint="eastAsia" w:ascii="楷体_GB2312" w:hAnsi="楷体_GB2312" w:eastAsia="楷体_GB2312" w:cs="楷体_GB2312"/>
          <w:sz w:val="24"/>
          <w:lang w:val="en-US" w:eastAsia="zh-CN"/>
        </w:rPr>
        <w:t>1-5</w:t>
      </w:r>
      <w:r>
        <w:rPr>
          <w:rFonts w:hint="eastAsia" w:ascii="楷体_GB2312" w:hAnsi="楷体_GB2312" w:eastAsia="楷体_GB2312" w:cs="楷体_GB2312"/>
          <w:sz w:val="24"/>
        </w:rPr>
        <w:t xml:space="preserve"> 10人集体长绳项目</w:t>
      </w:r>
      <w:bookmarkEnd w:id="46"/>
    </w:p>
    <w:p w14:paraId="11B48C3A">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楷体_GB2312" w:hAnsi="楷体_GB2312" w:eastAsia="楷体_GB2312" w:cs="楷体_GB2312"/>
          <w:sz w:val="28"/>
          <w:szCs w:val="28"/>
          <w:lang w:val="en-US" w:eastAsia="zh-CN"/>
        </w:rPr>
      </w:pPr>
      <w:r>
        <w:rPr>
          <w:rFonts w:hint="eastAsia" w:ascii="楷体_GB2312" w:hAnsi="楷体_GB2312" w:eastAsia="楷体_GB2312" w:cs="楷体_GB2312"/>
          <w:sz w:val="28"/>
          <w:szCs w:val="28"/>
          <w:lang w:val="en-US" w:eastAsia="zh-CN"/>
        </w:rPr>
        <w:t>2.德育课实施与多样化德育活动。</w:t>
      </w:r>
    </w:p>
    <w:p w14:paraId="75B3FC65">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仿宋_GB2312" w:eastAsia="仿宋_GB2312"/>
          <w:sz w:val="28"/>
          <w:szCs w:val="28"/>
          <w:lang w:val="en-US" w:eastAsia="zh-CN"/>
        </w:rPr>
      </w:pPr>
      <w:r>
        <w:rPr>
          <w:rFonts w:hint="eastAsia" w:ascii="仿宋_GB2312" w:eastAsia="仿宋_GB2312"/>
          <w:sz w:val="28"/>
          <w:szCs w:val="28"/>
          <w:lang w:val="en-US" w:eastAsia="zh-CN"/>
        </w:rPr>
        <w:t xml:space="preserve">淄博理工学校以《教育部关于中等职业学校德育课课程设置与教学安排的意见》《中等职业学校德育大纲》为指导，扎实推进德育课教学深化实施。学校保障德育课程全面开设并落地，优化德育评价量化系统、完善德育量化百分制管理制度，依托德育课程体系推进德育制度建设，以制度规范引导学生养成良好行为习惯。学校定期组织班主任及教师开展德育教育培训，拓宽德育教师专业知识视野。 </w:t>
      </w:r>
    </w:p>
    <w:p w14:paraId="246220F9">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仿宋_GB2312" w:eastAsia="仿宋_GB2312"/>
          <w:sz w:val="28"/>
          <w:szCs w:val="28"/>
          <w:lang w:val="en-US" w:eastAsia="zh-CN"/>
        </w:rPr>
      </w:pPr>
      <w:r>
        <w:rPr>
          <w:rFonts w:hint="eastAsia" w:ascii="仿宋_GB2312" w:eastAsia="仿宋_GB2312"/>
          <w:sz w:val="28"/>
          <w:szCs w:val="28"/>
          <w:lang w:val="en-US" w:eastAsia="zh-CN"/>
        </w:rPr>
        <w:t>淄博理工学校紧扣立德树人根本任务，全面落实全员育人导师制励志教育，逐步构建起以“生涯路”“励志情”“报国行”为主线的阶梯式成长德育教育体系。打造特色育人模式，开展“新起点 赢未来”生涯规划教育，通过“我们有话对你说”励志成长册书写、励志信诵读、励志歌曲传唱、励志微故事演讲等载体落实励志教育，同时以“荣耀时刻共见证”毕业成人典礼等活动强化育人实效，实现全员、全过程、全方位育人目标，成功创建 “德润其身 励志践行”全员育人导师制励志教育德育品牌。</w:t>
      </w:r>
    </w:p>
    <w:p w14:paraId="75743E97">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仿宋_GB2312" w:eastAsia="仿宋_GB2312"/>
          <w:sz w:val="28"/>
          <w:szCs w:val="28"/>
          <w:lang w:val="en-US" w:eastAsia="zh-CN"/>
        </w:rPr>
      </w:pPr>
      <w:r>
        <w:rPr>
          <w:rFonts w:hint="eastAsia" w:ascii="仿宋_GB2312" w:eastAsia="仿宋_GB2312"/>
          <w:sz w:val="28"/>
          <w:szCs w:val="28"/>
          <w:lang w:val="en-US" w:eastAsia="zh-CN"/>
        </w:rPr>
        <w:t>此外，学校在校内开展“十一向国旗敬礼”等活动，强化红色文化传承教育；举办中华经典诵读比赛、戏曲及非遗文化进校园、“我们的节日”主题教育等活动，厚植学生传统文化认同感与自豪感；打造“阳光运动 快乐健身”特色体育品牌，完善心理健康中心运行机制，保障心理工作有序开展；依托多样文体活动，为学生搭建展示自我、追逐梦想的广阔平台。</w:t>
      </w:r>
    </w:p>
    <w:p w14:paraId="7A9E29BF">
      <w:pPr>
        <w:pStyle w:val="3"/>
        <w:pageBreakBefore w:val="0"/>
        <w:widowControl w:val="0"/>
        <w:kinsoku/>
        <w:wordWrap/>
        <w:overflowPunct/>
        <w:topLinePunct w:val="0"/>
        <w:autoSpaceDE/>
        <w:autoSpaceDN/>
        <w:bidi w:val="0"/>
        <w:spacing w:before="0" w:after="0" w:line="560" w:lineRule="exact"/>
        <w:ind w:firstLine="643" w:firstLineChars="200"/>
        <w:textAlignment w:val="auto"/>
        <w:rPr>
          <w:rFonts w:ascii="楷体_GB2312" w:hAnsi="楷体_GB2312" w:eastAsia="楷体_GB2312" w:cs="楷体_GB2312"/>
        </w:rPr>
      </w:pPr>
      <w:bookmarkStart w:id="47" w:name="_Toc2378"/>
      <w:bookmarkStart w:id="48" w:name="_Toc30948"/>
      <w:r>
        <w:rPr>
          <w:rFonts w:hint="eastAsia" w:ascii="楷体_GB2312" w:hAnsi="楷体_GB2312" w:eastAsia="楷体_GB2312" w:cs="楷体_GB2312"/>
        </w:rPr>
        <w:t>案例</w:t>
      </w:r>
      <w:r>
        <w:rPr>
          <w:rFonts w:hint="eastAsia" w:ascii="楷体_GB2312" w:hAnsi="楷体_GB2312" w:eastAsia="楷体_GB2312" w:cs="楷体_GB2312"/>
          <w:lang w:val="en-US" w:eastAsia="zh-CN"/>
        </w:rPr>
        <w:t>1-2</w:t>
      </w:r>
      <w:r>
        <w:rPr>
          <w:rFonts w:hint="eastAsia" w:ascii="楷体_GB2312" w:hAnsi="楷体_GB2312" w:eastAsia="楷体_GB2312" w:cs="楷体_GB2312"/>
        </w:rPr>
        <w:t>：德润其身 励志践行</w:t>
      </w:r>
      <w:bookmarkEnd w:id="47"/>
      <w:bookmarkEnd w:id="48"/>
    </w:p>
    <w:p w14:paraId="7C25CB1A">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ascii="楷体_GB2312" w:hAnsi="楷体_GB2312" w:eastAsia="楷体_GB2312" w:cs="楷体_GB2312"/>
          <w:sz w:val="24"/>
          <w:lang w:val="en-US" w:eastAsia="zh-CN"/>
        </w:rPr>
      </w:pPr>
      <w:r>
        <w:rPr>
          <w:rFonts w:hint="eastAsia" w:ascii="仿宋_GB2312" w:hAnsi="仿宋_GB2312" w:eastAsia="仿宋_GB2312" w:cs="仿宋_GB2312"/>
          <w:sz w:val="28"/>
          <w:szCs w:val="28"/>
          <w:lang w:val="en-US" w:eastAsia="zh-CN"/>
        </w:rPr>
        <w:t>学校自2008年起创新性开展全员育人导师制励志教育，创立“德润其身 励志践行”德育品牌，构建“生涯路”“励志情”“报国行”为主线的德育体系，形成全员全过程全方位育人格局，营造教师人人参与德育的良好氛围</w:t>
      </w:r>
      <w:r>
        <w:rPr>
          <w:rFonts w:hint="eastAsia" w:ascii="仿宋_GB2312" w:hAnsi="仿宋" w:eastAsia="仿宋_GB2312"/>
          <w:sz w:val="28"/>
          <w:szCs w:val="28"/>
        </w:rPr>
        <w:t>。</w:t>
      </w:r>
    </w:p>
    <w:p w14:paraId="26E9CC4B">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抓牢主力军，汇聚全员育人合力。淄博理工学校成立校长任组长的领导小组，建立党委统一领导的工作机制，实行分管领导挂包制。以班级为模块，班主任任主任导师，全员教职工按配比分配，每位导师对接3-4名学生，实现“教师人人是导师，学生个个受关爱”。</w:t>
      </w:r>
    </w:p>
    <w:p w14:paraId="0DC38EE2">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阶梯式培育，奏响全过程育人强音。一年级聚焦“生涯路”，通过《新起点赢未来》规划手册联动家长，助学生树立成才目标；二年级深耕“励志情”，分组配备导师，落实每日励志信诵读、成长册书写交流，定期开展励志微故事演讲比赛，出版《励志教育简报》；三年级践行“报国行”，以技能考核为基，依托校园文化和社团活动强化思政教育，通过毕业典礼、成人礼等开展实践活动，厚植报国情怀。</w:t>
      </w:r>
    </w:p>
    <w:p w14:paraId="4B778BCC">
      <w:pPr>
        <w:jc w:val="center"/>
        <w:rPr>
          <w:rFonts w:hint="eastAsia" w:ascii="仿宋_GB2312" w:hAnsi="仿宋_GB2312" w:eastAsia="仿宋_GB2312" w:cs="仿宋_GB2312"/>
          <w:sz w:val="28"/>
          <w:szCs w:val="28"/>
          <w:lang w:eastAsia="zh-CN"/>
        </w:rPr>
      </w:pPr>
      <w:r>
        <w:drawing>
          <wp:inline distT="0" distB="0" distL="114300" distR="114300">
            <wp:extent cx="3202940" cy="2160270"/>
            <wp:effectExtent l="0" t="0" r="12700" b="3810"/>
            <wp:docPr id="14" name="图片 1" descr="7b0a202020202266696c746572223a202230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7b0a202020202266696c746572223a202230220a7d0a"/>
                    <pic:cNvPicPr>
                      <a:picLocks noChangeAspect="1"/>
                    </pic:cNvPicPr>
                  </pic:nvPicPr>
                  <pic:blipFill>
                    <a:blip r:embed="rId16">
                      <a:lum bright="24000" contrast="12000"/>
                    </a:blip>
                    <a:stretch>
                      <a:fillRect/>
                    </a:stretch>
                  </pic:blipFill>
                  <pic:spPr>
                    <a:xfrm>
                      <a:off x="0" y="0"/>
                      <a:ext cx="3202940" cy="2160270"/>
                    </a:xfrm>
                    <a:prstGeom prst="rect">
                      <a:avLst/>
                    </a:prstGeom>
                    <a:noFill/>
                    <a:ln>
                      <a:noFill/>
                    </a:ln>
                  </pic:spPr>
                </pic:pic>
              </a:graphicData>
            </a:graphic>
          </wp:inline>
        </w:drawing>
      </w:r>
    </w:p>
    <w:p w14:paraId="0135FF94">
      <w:pPr>
        <w:spacing w:line="400" w:lineRule="exact"/>
        <w:jc w:val="center"/>
        <w:rPr>
          <w:rFonts w:hint="default" w:ascii="仿宋_GB2312" w:hAnsi="仿宋_GB2312" w:eastAsia="仿宋_GB2312" w:cs="仿宋_GB2312"/>
          <w:sz w:val="28"/>
          <w:szCs w:val="28"/>
          <w:lang w:val="en-US" w:eastAsia="zh-CN"/>
        </w:rPr>
      </w:pPr>
      <w:r>
        <w:rPr>
          <w:rFonts w:hint="eastAsia" w:ascii="楷体_GB2312" w:hAnsi="楷体_GB2312" w:eastAsia="楷体_GB2312" w:cs="楷体_GB2312"/>
          <w:sz w:val="24"/>
        </w:rPr>
        <w:t xml:space="preserve">图 </w:t>
      </w:r>
      <w:bookmarkStart w:id="49" w:name="_Toc5930"/>
      <w:r>
        <w:rPr>
          <w:rFonts w:hint="eastAsia" w:ascii="楷体_GB2312" w:hAnsi="楷体_GB2312" w:eastAsia="楷体_GB2312" w:cs="楷体_GB2312"/>
          <w:sz w:val="24"/>
          <w:lang w:val="en-US" w:eastAsia="zh-CN"/>
        </w:rPr>
        <w:t>1-6</w:t>
      </w:r>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“生涯路·励志情·报国行”学生励志手册</w:t>
      </w:r>
      <w:bookmarkEnd w:id="49"/>
    </w:p>
    <w:p w14:paraId="0E2FFC3C">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坚守主阵地，构筑全方位育人格局。整合家校社资源，成立同力家长学校及家委会，推行陪餐制、“大家访”，开展家长大讲堂和劳模进校园活动。深化健身健心融合，构建特色体育模式，以捆绑式跑操育团队精神；建立学生心理“一人一档”和“晴雨表”制度，实现危机干预与预防无缝衔接。</w:t>
      </w:r>
    </w:p>
    <w:p w14:paraId="00A7E928">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rPr>
      </w:pPr>
      <w:r>
        <w:rPr>
          <w:rFonts w:hint="eastAsia" w:ascii="仿宋_GB2312" w:hAnsi="仿宋_GB2312" w:eastAsia="仿宋_GB2312" w:cs="仿宋_GB2312"/>
          <w:sz w:val="28"/>
          <w:szCs w:val="28"/>
          <w:lang w:val="en-US" w:eastAsia="zh-CN"/>
        </w:rPr>
        <w:t>淄博理工学校全员育人导师制励志教育已深耕十七年，收效显著。学生综合素养大幅提升，教师育人理念深化、热情与责任心增强，师生关系愈发融洽。</w:t>
      </w:r>
    </w:p>
    <w:p w14:paraId="1CE07DFC">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楷体_GB2312" w:hAnsi="楷体_GB2312" w:eastAsia="楷体_GB2312" w:cs="楷体_GB2312"/>
          <w:sz w:val="28"/>
          <w:szCs w:val="28"/>
          <w:lang w:val="en-US" w:eastAsia="zh-CN"/>
        </w:rPr>
      </w:pPr>
      <w:r>
        <w:rPr>
          <w:rFonts w:hint="eastAsia" w:ascii="楷体_GB2312" w:hAnsi="楷体_GB2312" w:eastAsia="楷体_GB2312" w:cs="楷体_GB2312"/>
          <w:sz w:val="28"/>
          <w:szCs w:val="28"/>
          <w:lang w:val="en-US" w:eastAsia="zh-CN"/>
        </w:rPr>
        <w:t>3.团组织、学生会建设及社团活动</w:t>
      </w:r>
    </w:p>
    <w:p w14:paraId="093258E2">
      <w:pPr>
        <w:keepNext w:val="0"/>
        <w:keepLines w:val="0"/>
        <w:pageBreakBefore w:val="0"/>
        <w:widowControl w:val="0"/>
        <w:kinsoku/>
        <w:wordWrap/>
        <w:overflowPunct/>
        <w:topLinePunct w:val="0"/>
        <w:autoSpaceDE/>
        <w:autoSpaceDN/>
        <w:bidi w:val="0"/>
        <w:adjustRightInd/>
        <w:snapToGrid/>
        <w:spacing w:line="560" w:lineRule="exact"/>
        <w:ind w:firstLine="658"/>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淄博理工学校紧密围绕立德树人根本任务，着力强化组织引领。通过规范团员发展流程、深化主题教育活动、建设团校培训体系，并依托“智慧团建”系统夯实组织基础。本年度，成功发展201名新团员，举办淄川区2025年“赓续五四薪火 青春挺膺担当”主题团日示范活动，有效提升了团员队伍的政治素养与综合素质，为学校人才培养提供了坚实支撑。定期组织召开团代会、学代会，为学生组织规范高效运作提供保障，持续夯实学生干部队伍建设根基。校、系两级学生会组织架构实现优化完善，职能部门得到进一步充实，各部门岗位职责与工作分工更为清晰明确。严格落实学生会干部每周例会制度，不断强化学生干部的责任担当与自律意识。</w:t>
      </w:r>
    </w:p>
    <w:p w14:paraId="742811F4">
      <w:pPr>
        <w:jc w:val="cente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2879725" cy="2160270"/>
            <wp:effectExtent l="0" t="0" r="635" b="3810"/>
            <wp:docPr id="52" name="图片 52" descr="7dead5dd61cc72dbc96d5dba68d8371"/>
            <wp:cNvGraphicFramePr/>
            <a:graphic xmlns:a="http://schemas.openxmlformats.org/drawingml/2006/main">
              <a:graphicData uri="http://schemas.openxmlformats.org/drawingml/2006/picture">
                <pic:pic xmlns:pic="http://schemas.openxmlformats.org/drawingml/2006/picture">
                  <pic:nvPicPr>
                    <pic:cNvPr id="52" name="图片 52" descr="7dead5dd61cc72dbc96d5dba68d8371"/>
                    <pic:cNvPicPr/>
                  </pic:nvPicPr>
                  <pic:blipFill>
                    <a:blip r:embed="rId17"/>
                    <a:stretch>
                      <a:fillRect/>
                    </a:stretch>
                  </pic:blipFill>
                  <pic:spPr>
                    <a:xfrm>
                      <a:off x="0" y="0"/>
                      <a:ext cx="2879725" cy="2160270"/>
                    </a:xfrm>
                    <a:prstGeom prst="rect">
                      <a:avLst/>
                    </a:prstGeom>
                  </pic:spPr>
                </pic:pic>
              </a:graphicData>
            </a:graphic>
          </wp:inline>
        </w:drawing>
      </w:r>
    </w:p>
    <w:p w14:paraId="6224FD8E">
      <w:pPr>
        <w:spacing w:line="400" w:lineRule="exact"/>
        <w:jc w:val="center"/>
        <w:rPr>
          <w:rFonts w:hint="default" w:ascii="仿宋_GB2312" w:hAnsi="仿宋_GB2312" w:eastAsia="楷体_GB2312" w:cs="仿宋_GB2312"/>
          <w:sz w:val="28"/>
          <w:szCs w:val="28"/>
          <w:lang w:val="en-US" w:eastAsia="zh-CN"/>
        </w:rPr>
      </w:pPr>
      <w:r>
        <w:rPr>
          <w:rFonts w:hint="eastAsia" w:ascii="楷体_GB2312" w:hAnsi="楷体_GB2312" w:eastAsia="楷体_GB2312" w:cs="楷体_GB2312"/>
          <w:sz w:val="24"/>
        </w:rPr>
        <w:t xml:space="preserve">图 </w:t>
      </w:r>
      <w:bookmarkStart w:id="50" w:name="_Toc9609"/>
      <w:r>
        <w:rPr>
          <w:rFonts w:hint="eastAsia" w:ascii="楷体_GB2312" w:hAnsi="楷体_GB2312" w:eastAsia="楷体_GB2312" w:cs="楷体_GB2312"/>
          <w:sz w:val="24"/>
          <w:lang w:val="en-US" w:eastAsia="zh-CN"/>
        </w:rPr>
        <w:t>1-7</w:t>
      </w:r>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新团员入团仪式</w:t>
      </w:r>
      <w:bookmarkEnd w:id="50"/>
    </w:p>
    <w:p w14:paraId="47517655">
      <w:pPr>
        <w:pStyle w:val="6"/>
        <w:adjustRightInd w:val="0"/>
        <w:snapToGrid w:val="0"/>
        <w:spacing w:line="400" w:lineRule="exact"/>
        <w:ind w:firstLine="560" w:firstLineChars="200"/>
        <w:rPr>
          <w:rFonts w:ascii="仿宋_GB2312" w:hAnsi="仿宋" w:eastAsia="仿宋_GB2312"/>
          <w:sz w:val="28"/>
          <w:szCs w:val="28"/>
        </w:rPr>
      </w:pPr>
      <w:r>
        <w:rPr>
          <w:rFonts w:hint="eastAsia" w:ascii="仿宋_GB2312" w:hAnsi="仿宋" w:eastAsia="仿宋_GB2312"/>
          <w:sz w:val="28"/>
          <w:szCs w:val="28"/>
        </w:rPr>
        <w:t>学校多元社团蓬勃发展，摄影社、礼仪社、足球社、篮球社、心理剧社、毽球社、滑板社、羽毛球社、啦啦操社、花样跳绳社……，有效丰富了学生的课余生活。“微奇迹”爱心社团常态化开展各类志愿服务与公益活动，涵盖“学雷锋活动月”志愿行动、清明节革命烈士陵园祭扫、“暖心超市”帮扶项目、社区走访慰问及敬老院关怀服务等志愿服务。本学年，学校工会累计募集教师爱心捐款 10940元，并专款采购保暖内衣、围巾等冬日物资，通过开放“暖心超市”为161名家庭困难学子送去切实关怀与温暖。</w:t>
      </w:r>
    </w:p>
    <w:p w14:paraId="414C423E">
      <w:pPr>
        <w:adjustRightInd w:val="0"/>
        <w:snapToGrid w:val="0"/>
        <w:spacing w:before="240"/>
        <w:jc w:val="center"/>
      </w:pPr>
      <w:r>
        <w:rPr>
          <w:rFonts w:hint="eastAsia" w:eastAsia="宋体"/>
          <w:lang w:eastAsia="zh-CN"/>
        </w:rPr>
        <w:drawing>
          <wp:inline distT="0" distB="0" distL="114300" distR="114300">
            <wp:extent cx="2879725" cy="2160270"/>
            <wp:effectExtent l="0" t="0" r="3175" b="11430"/>
            <wp:docPr id="45" name="图片 45" descr="我校健身操队参加市运会开幕式"/>
            <wp:cNvGraphicFramePr/>
            <a:graphic xmlns:a="http://schemas.openxmlformats.org/drawingml/2006/main">
              <a:graphicData uri="http://schemas.openxmlformats.org/drawingml/2006/picture">
                <pic:pic xmlns:pic="http://schemas.openxmlformats.org/drawingml/2006/picture">
                  <pic:nvPicPr>
                    <pic:cNvPr id="45" name="图片 45" descr="我校健身操队参加市运会开幕式"/>
                    <pic:cNvPicPr/>
                  </pic:nvPicPr>
                  <pic:blipFill>
                    <a:blip r:embed="rId18"/>
                    <a:stretch>
                      <a:fillRect/>
                    </a:stretch>
                  </pic:blipFill>
                  <pic:spPr>
                    <a:xfrm>
                      <a:off x="0" y="0"/>
                      <a:ext cx="2879725" cy="2160270"/>
                    </a:xfrm>
                    <a:prstGeom prst="rect">
                      <a:avLst/>
                    </a:prstGeom>
                  </pic:spPr>
                </pic:pic>
              </a:graphicData>
            </a:graphic>
          </wp:inline>
        </w:drawing>
      </w:r>
    </w:p>
    <w:p w14:paraId="5C991C8E">
      <w:pPr>
        <w:pStyle w:val="6"/>
        <w:adjustRightInd w:val="0"/>
        <w:snapToGrid w:val="0"/>
        <w:spacing w:line="400" w:lineRule="exact"/>
        <w:jc w:val="center"/>
        <w:rPr>
          <w:rFonts w:ascii="楷体_GB2312" w:hAnsi="楷体_GB2312" w:eastAsia="楷体_GB2312" w:cs="楷体_GB2312"/>
          <w:sz w:val="24"/>
        </w:rPr>
      </w:pPr>
      <w:r>
        <w:rPr>
          <w:rFonts w:hint="eastAsia" w:ascii="楷体_GB2312" w:hAnsi="楷体_GB2312" w:eastAsia="楷体_GB2312" w:cs="楷体_GB2312"/>
          <w:sz w:val="24"/>
        </w:rPr>
        <w:t xml:space="preserve">图 </w:t>
      </w:r>
      <w:bookmarkStart w:id="51" w:name="_Toc10566"/>
      <w:bookmarkStart w:id="52" w:name="_Toc23902"/>
      <w:bookmarkStart w:id="53" w:name="_Toc18801"/>
      <w:bookmarkStart w:id="54" w:name="_Toc1315"/>
      <w:r>
        <w:rPr>
          <w:rFonts w:hint="eastAsia" w:ascii="楷体_GB2312" w:hAnsi="楷体_GB2312" w:eastAsia="楷体_GB2312" w:cs="楷体_GB2312"/>
          <w:sz w:val="24"/>
          <w:lang w:val="en-US" w:eastAsia="zh-CN"/>
        </w:rPr>
        <w:t>1-8</w:t>
      </w:r>
      <w:r>
        <w:rPr>
          <w:rFonts w:hint="eastAsia" w:ascii="楷体_GB2312" w:hAnsi="楷体_GB2312" w:eastAsia="楷体_GB2312" w:cs="楷体_GB2312"/>
          <w:sz w:val="24"/>
        </w:rPr>
        <w:t xml:space="preserve"> </w:t>
      </w:r>
      <w:bookmarkEnd w:id="51"/>
      <w:bookmarkEnd w:id="52"/>
      <w:bookmarkEnd w:id="53"/>
      <w:r>
        <w:rPr>
          <w:rFonts w:hint="eastAsia" w:ascii="楷体_GB2312" w:hAnsi="楷体_GB2312" w:eastAsia="楷体_GB2312" w:cs="楷体_GB2312"/>
          <w:sz w:val="24"/>
        </w:rPr>
        <w:t>啦啦操社团参加市运会开幕式</w:t>
      </w:r>
      <w:bookmarkEnd w:id="54"/>
    </w:p>
    <w:p w14:paraId="3186E17B">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55" w:name="_Toc20077"/>
      <w:bookmarkStart w:id="56" w:name="_Toc12961"/>
      <w:bookmarkStart w:id="57" w:name="_Toc12440"/>
      <w:bookmarkStart w:id="58" w:name="_Toc31748"/>
      <w:bookmarkStart w:id="59" w:name="_Toc27370"/>
      <w:bookmarkStart w:id="60" w:name="_Toc1629"/>
      <w:bookmarkStart w:id="61" w:name="_Toc3929"/>
      <w:bookmarkStart w:id="62" w:name="_Toc13555"/>
      <w:bookmarkStart w:id="63" w:name="_Toc948"/>
      <w:bookmarkStart w:id="64" w:name="_Toc27634"/>
      <w:bookmarkStart w:id="65" w:name="_Toc2353"/>
      <w:bookmarkStart w:id="66" w:name="_Toc18736"/>
      <w:bookmarkStart w:id="67" w:name="_Toc3536"/>
      <w:bookmarkStart w:id="68" w:name="_Toc14318"/>
      <w:bookmarkStart w:id="69" w:name="_Toc17593"/>
      <w:bookmarkStart w:id="70" w:name="_Toc22532"/>
      <w:bookmarkStart w:id="71" w:name="_Toc1094"/>
      <w:bookmarkStart w:id="72" w:name="_Toc32030"/>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1-3</w:t>
      </w:r>
      <w:r>
        <w:rPr>
          <w:rFonts w:hint="eastAsia" w:ascii="楷体_GB2312" w:hAnsi="楷体_GB2312" w:eastAsia="楷体_GB2312" w:cs="楷体_GB2312"/>
          <w:sz w:val="30"/>
          <w:szCs w:val="30"/>
        </w:rPr>
        <w:t>：</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hint="eastAsia" w:ascii="楷体_GB2312" w:hAnsi="楷体_GB2312" w:eastAsia="楷体_GB2312" w:cs="楷体_GB2312"/>
          <w:sz w:val="30"/>
          <w:szCs w:val="30"/>
        </w:rPr>
        <w:t>心向阳光 逐光成长</w:t>
      </w:r>
      <w:bookmarkEnd w:id="70"/>
      <w:bookmarkEnd w:id="71"/>
      <w:bookmarkEnd w:id="72"/>
    </w:p>
    <w:p w14:paraId="04DE475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kern w:val="2"/>
          <w:sz w:val="28"/>
          <w:szCs w:val="28"/>
          <w:lang w:val="en-US" w:eastAsia="zh-CN" w:bidi="ar-SA"/>
        </w:rPr>
      </w:pPr>
      <w:r>
        <w:rPr>
          <w:rFonts w:hint="eastAsia" w:ascii="仿宋_GB2312" w:hAnsi="仿宋" w:eastAsia="仿宋_GB2312" w:cs="Times New Roman"/>
          <w:kern w:val="2"/>
          <w:sz w:val="28"/>
          <w:szCs w:val="28"/>
          <w:lang w:val="en-US" w:eastAsia="zh-CN" w:bidi="ar-SA"/>
        </w:rPr>
        <w:t>2025年5月25日是第二十一个心理健康日。通过开展“心向阳光 逐光成长”健康活动月活动，普及心理健康生命教育等知识，调动广大师生参与心理健康教育活动的积极性, 鼓励师生关注心理健康、关注个人成长。</w:t>
      </w:r>
    </w:p>
    <w:p w14:paraId="2AD3D4A8">
      <w:pPr>
        <w:adjustRightInd w:val="0"/>
        <w:snapToGrid w:val="0"/>
        <w:spacing w:before="240"/>
        <w:jc w:val="center"/>
      </w:pPr>
      <w:r>
        <w:rPr>
          <w:rFonts w:hint="eastAsia" w:ascii="宋体" w:hAnsi="宋体" w:eastAsia="宋体" w:cs="宋体"/>
          <w:b w:val="0"/>
          <w:i w:val="0"/>
          <w:strike w:val="0"/>
          <w:color w:val="auto"/>
          <w:kern w:val="2"/>
          <w:sz w:val="24"/>
          <w:szCs w:val="24"/>
          <w:u w:val="none"/>
          <w:lang w:val="en-US" w:eastAsia="zh-CN" w:bidi="ar-SA"/>
        </w:rPr>
        <w:drawing>
          <wp:inline distT="0" distB="0" distL="114300" distR="114300">
            <wp:extent cx="2851150" cy="2138680"/>
            <wp:effectExtent l="0" t="0" r="13970" b="10160"/>
            <wp:docPr id="61" name="图片 61" descr="微信图片_20251207204258_3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51207204258_38_3"/>
                    <pic:cNvPicPr>
                      <a:picLocks noChangeAspect="1"/>
                    </pic:cNvPicPr>
                  </pic:nvPicPr>
                  <pic:blipFill>
                    <a:blip r:embed="rId19"/>
                    <a:stretch>
                      <a:fillRect/>
                    </a:stretch>
                  </pic:blipFill>
                  <pic:spPr>
                    <a:xfrm>
                      <a:off x="0" y="0"/>
                      <a:ext cx="2851150" cy="2138680"/>
                    </a:xfrm>
                    <a:prstGeom prst="rect">
                      <a:avLst/>
                    </a:prstGeom>
                  </pic:spPr>
                </pic:pic>
              </a:graphicData>
            </a:graphic>
          </wp:inline>
        </w:drawing>
      </w:r>
    </w:p>
    <w:p w14:paraId="35974764">
      <w:pPr>
        <w:pStyle w:val="6"/>
        <w:adjustRightInd w:val="0"/>
        <w:snapToGrid w:val="0"/>
        <w:spacing w:line="400" w:lineRule="exact"/>
        <w:jc w:val="center"/>
        <w:rPr>
          <w:rFonts w:hint="eastAsia" w:ascii="仿宋_GB2312" w:hAnsi="仿宋" w:eastAsia="仿宋_GB2312" w:cs="Times New Roman"/>
          <w:kern w:val="2"/>
          <w:sz w:val="28"/>
          <w:szCs w:val="28"/>
          <w:lang w:val="en-US" w:eastAsia="zh-CN" w:bidi="ar-SA"/>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w:t>
      </w:r>
      <w:r>
        <w:rPr>
          <w:rFonts w:hint="eastAsia" w:ascii="楷体_GB2312" w:hAnsi="楷体_GB2312" w:eastAsia="楷体_GB2312" w:cs="楷体_GB2312"/>
          <w:sz w:val="24"/>
        </w:rPr>
        <w:fldChar w:fldCharType="end"/>
      </w:r>
      <w:bookmarkStart w:id="73" w:name="_Toc11865"/>
      <w:r>
        <w:rPr>
          <w:rFonts w:hint="eastAsia" w:ascii="楷体_GB2312" w:hAnsi="楷体_GB2312" w:eastAsia="楷体_GB2312" w:cs="楷体_GB2312"/>
          <w:sz w:val="24"/>
          <w:lang w:val="en-US" w:eastAsia="zh-CN"/>
        </w:rPr>
        <w:t>9</w:t>
      </w:r>
      <w:r>
        <w:rPr>
          <w:rFonts w:hint="eastAsia" w:ascii="楷体_GB2312" w:hAnsi="楷体_GB2312" w:eastAsia="楷体_GB2312" w:cs="楷体_GB2312"/>
          <w:sz w:val="24"/>
        </w:rPr>
        <w:t xml:space="preserve"> 心理健康活动月启动仪式</w:t>
      </w:r>
      <w:r>
        <w:rPr>
          <w:rFonts w:hint="eastAsia" w:ascii="仿宋_GB2312" w:hAnsi="仿宋" w:eastAsia="仿宋_GB2312" w:cs="Times New Roman"/>
          <w:kern w:val="2"/>
          <w:sz w:val="28"/>
          <w:szCs w:val="28"/>
          <w:lang w:val="en-US" w:eastAsia="zh-CN" w:bidi="ar-SA"/>
        </w:rPr>
        <w:t xml:space="preserve"> </w:t>
      </w:r>
      <w:bookmarkEnd w:id="73"/>
    </w:p>
    <w:p w14:paraId="2100C3A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kern w:val="2"/>
          <w:sz w:val="28"/>
          <w:szCs w:val="28"/>
          <w:lang w:val="en-US" w:eastAsia="zh-CN" w:bidi="ar-SA"/>
        </w:rPr>
      </w:pPr>
      <w:r>
        <w:rPr>
          <w:rFonts w:hint="eastAsia" w:ascii="仿宋_GB2312" w:hAnsi="仿宋" w:eastAsia="仿宋_GB2312" w:cs="Times New Roman"/>
          <w:kern w:val="2"/>
          <w:sz w:val="28"/>
          <w:szCs w:val="28"/>
          <w:lang w:val="en-US" w:eastAsia="zh-CN" w:bidi="ar-SA"/>
        </w:rPr>
        <w:t>通过“燃趣嘉年华”团体心理活动、“心灵树洞”、“心理专家进校园”心理健康教育报告会、“心理小剧场”、“心理教具DIY”制作活动等一系列丰富多彩的心理健康主题教育活动，让学生们了解更多的心理健康知识，帮助学生树立正确的心理观。增强了学生们对心理健康问题的进一步了解，提高学生的心理综合素质和自我调适能力，使学生形成积极、健康、向上的人生观，促进学生的全面健康发展。</w:t>
      </w:r>
    </w:p>
    <w:p w14:paraId="11D75E6E">
      <w:pPr>
        <w:adjustRightInd w:val="0"/>
        <w:snapToGrid w:val="0"/>
        <w:spacing w:before="240"/>
        <w:jc w:val="center"/>
      </w:pPr>
      <w:r>
        <w:rPr>
          <w:rFonts w:hint="eastAsia" w:eastAsiaTheme="minorEastAsia"/>
          <w:lang w:eastAsia="zh-CN"/>
        </w:rPr>
        <w:drawing>
          <wp:inline distT="0" distB="0" distL="114300" distR="114300">
            <wp:extent cx="2851150" cy="2138680"/>
            <wp:effectExtent l="0" t="0" r="6350" b="7620"/>
            <wp:docPr id="62" name="图片 62" descr="微信图片_20251207204256_3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251207204256_37_3"/>
                    <pic:cNvPicPr>
                      <a:picLocks noChangeAspect="1"/>
                    </pic:cNvPicPr>
                  </pic:nvPicPr>
                  <pic:blipFill>
                    <a:blip r:embed="rId20"/>
                    <a:stretch>
                      <a:fillRect/>
                    </a:stretch>
                  </pic:blipFill>
                  <pic:spPr>
                    <a:xfrm>
                      <a:off x="0" y="0"/>
                      <a:ext cx="2851150" cy="2138680"/>
                    </a:xfrm>
                    <a:prstGeom prst="rect">
                      <a:avLst/>
                    </a:prstGeom>
                  </pic:spPr>
                </pic:pic>
              </a:graphicData>
            </a:graphic>
          </wp:inline>
        </w:drawing>
      </w:r>
    </w:p>
    <w:p w14:paraId="68E54CDF">
      <w:pPr>
        <w:pStyle w:val="6"/>
        <w:adjustRightInd w:val="0"/>
        <w:snapToGrid w:val="0"/>
        <w:spacing w:line="400" w:lineRule="exact"/>
        <w:jc w:val="cente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0</w:t>
      </w:r>
      <w:r>
        <w:rPr>
          <w:rFonts w:hint="eastAsia" w:ascii="楷体_GB2312" w:hAnsi="楷体_GB2312" w:eastAsia="楷体_GB2312" w:cs="楷体_GB2312"/>
          <w:sz w:val="24"/>
        </w:rPr>
        <w:fldChar w:fldCharType="end"/>
      </w:r>
      <w:bookmarkStart w:id="74" w:name="_Toc13590"/>
      <w:r>
        <w:rPr>
          <w:rFonts w:hint="eastAsia" w:ascii="楷体_GB2312" w:hAnsi="楷体_GB2312" w:eastAsia="楷体_GB2312" w:cs="楷体_GB2312"/>
          <w:sz w:val="24"/>
        </w:rPr>
        <w:t xml:space="preserve"> “燃趣嘉年华”团体心理活动</w:t>
      </w:r>
      <w:bookmarkEnd w:id="74"/>
    </w:p>
    <w:p w14:paraId="4FDC5C2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sz w:val="28"/>
          <w:szCs w:val="28"/>
        </w:rPr>
      </w:pPr>
      <w:r>
        <w:rPr>
          <w:rFonts w:hint="eastAsia" w:ascii="楷体_GB2312" w:hAnsi="楷体_GB2312" w:eastAsia="楷体_GB2312" w:cs="楷体_GB2312"/>
          <w:kern w:val="2"/>
          <w:sz w:val="28"/>
          <w:szCs w:val="28"/>
          <w:lang w:val="en-US" w:eastAsia="zh-CN" w:bidi="ar-SA"/>
        </w:rPr>
        <w:t>4.</w:t>
      </w:r>
      <w:r>
        <w:rPr>
          <w:rFonts w:hint="eastAsia" w:ascii="楷体_GB2312" w:hAnsi="楷体_GB2312" w:eastAsia="楷体_GB2312" w:cs="楷体_GB2312"/>
          <w:sz w:val="28"/>
          <w:szCs w:val="28"/>
        </w:rPr>
        <w:t>家校共育</w:t>
      </w:r>
      <w:r>
        <w:rPr>
          <w:rFonts w:hint="eastAsia" w:ascii="楷体_GB2312" w:hAnsi="楷体_GB2312" w:eastAsia="楷体_GB2312" w:cs="楷体_GB2312"/>
          <w:sz w:val="28"/>
          <w:szCs w:val="28"/>
          <w:lang w:val="en-US" w:eastAsia="zh-CN"/>
        </w:rPr>
        <w:t>形成育人合力</w:t>
      </w:r>
    </w:p>
    <w:p w14:paraId="09AA292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ascii="仿宋_GB2312" w:hAnsi="仿宋" w:eastAsia="仿宋_GB2312"/>
          <w:sz w:val="28"/>
          <w:szCs w:val="28"/>
        </w:rPr>
      </w:pPr>
      <w:r>
        <w:rPr>
          <w:rFonts w:hint="eastAsia" w:ascii="仿宋_GB2312" w:hAnsi="仿宋" w:eastAsia="仿宋_GB2312"/>
          <w:sz w:val="28"/>
          <w:szCs w:val="28"/>
          <w:lang w:val="en-US" w:eastAsia="zh-CN"/>
        </w:rPr>
        <w:t>淄博理工</w:t>
      </w:r>
      <w:r>
        <w:rPr>
          <w:rFonts w:hint="eastAsia" w:ascii="仿宋_GB2312" w:hAnsi="仿宋" w:eastAsia="仿宋_GB2312"/>
          <w:sz w:val="28"/>
          <w:szCs w:val="28"/>
        </w:rPr>
        <w:t>学校持续优化家庭教育指导中心与同力家长学校的管理体系，壮大并提质家庭教育内训师队伍，同时积极吸纳企业及社会各界力量参与家庭教育指导工作。学校通过举办家庭教育指导专题报告会、校长下午茶等活动，为家长提供多元优质的家庭教育指导服务，助力家长提升育人能力，引导其重视并促进孩子的全面成长。健全家长驻校参与机制，设立家长驻校工作日，有效提升家校合作的紧密度与协同育人合力，为学生营造了更和谐、更具支持性的成长环境。</w:t>
      </w:r>
    </w:p>
    <w:p w14:paraId="1ADE8B62">
      <w:pPr>
        <w:adjustRightInd w:val="0"/>
        <w:snapToGrid w:val="0"/>
        <w:spacing w:before="240"/>
        <w:jc w:val="center"/>
      </w:pPr>
      <w:r>
        <w:rPr>
          <w:rFonts w:hint="eastAsia" w:eastAsia="宋体"/>
          <w:lang w:eastAsia="zh-CN"/>
        </w:rPr>
        <w:drawing>
          <wp:inline distT="0" distB="0" distL="114300" distR="114300">
            <wp:extent cx="2880360" cy="2160270"/>
            <wp:effectExtent l="0" t="0" r="0" b="3810"/>
            <wp:docPr id="54" name="图片 54" descr="E:/学校工作/学生工作/2024-2025学年第一学期/家校共育/10.18家委会换届大会/20241018-2024届家委会换届照片/家长听课/8215fd4043001f731d2b1f04df4427a.jpg8215fd4043001f731d2b1f04df44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学校工作/学生工作/2024-2025学年第一学期/家校共育/10.18家委会换届大会/20241018-2024届家委会换届照片/家长听课/8215fd4043001f731d2b1f04df4427a.jpg8215fd4043001f731d2b1f04df4427a"/>
                    <pic:cNvPicPr>
                      <a:picLocks noChangeAspect="1"/>
                    </pic:cNvPicPr>
                  </pic:nvPicPr>
                  <pic:blipFill>
                    <a:blip r:embed="rId21"/>
                    <a:srcRect/>
                    <a:stretch>
                      <a:fillRect/>
                    </a:stretch>
                  </pic:blipFill>
                  <pic:spPr>
                    <a:xfrm>
                      <a:off x="0" y="0"/>
                      <a:ext cx="2880360" cy="2160270"/>
                    </a:xfrm>
                    <a:prstGeom prst="rect">
                      <a:avLst/>
                    </a:prstGeom>
                  </pic:spPr>
                </pic:pic>
              </a:graphicData>
            </a:graphic>
          </wp:inline>
        </w:drawing>
      </w:r>
    </w:p>
    <w:p w14:paraId="3880F961">
      <w:pPr>
        <w:pStyle w:val="6"/>
        <w:adjustRightInd w:val="0"/>
        <w:snapToGrid w:val="0"/>
        <w:spacing w:line="400" w:lineRule="exact"/>
        <w:ind w:firstLine="3600" w:firstLineChars="1500"/>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end"/>
      </w:r>
      <w:bookmarkStart w:id="75" w:name="_Toc2213"/>
      <w:r>
        <w:rPr>
          <w:rFonts w:hint="eastAsia" w:ascii="楷体_GB2312" w:hAnsi="楷体_GB2312" w:eastAsia="楷体_GB2312" w:cs="楷体_GB2312"/>
          <w:sz w:val="24"/>
        </w:rPr>
        <w:t xml:space="preserve"> 家长进课堂活动</w:t>
      </w:r>
      <w:bookmarkEnd w:id="75"/>
    </w:p>
    <w:p w14:paraId="0B75C8FD">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76" w:name="_Toc5310"/>
      <w:bookmarkStart w:id="77" w:name="_Toc19761"/>
      <w:bookmarkStart w:id="78" w:name="_Toc10037"/>
      <w:bookmarkStart w:id="79" w:name="_Toc8637"/>
      <w:bookmarkStart w:id="80" w:name="_Toc29713"/>
      <w:bookmarkStart w:id="81" w:name="_Toc28599"/>
      <w:bookmarkStart w:id="82" w:name="_Toc2711"/>
      <w:bookmarkStart w:id="83" w:name="_Toc21783"/>
      <w:bookmarkStart w:id="84" w:name="_Toc13328"/>
      <w:bookmarkStart w:id="85" w:name="_Toc31599"/>
      <w:bookmarkStart w:id="86" w:name="_Toc9963"/>
      <w:bookmarkStart w:id="87" w:name="_Toc28413"/>
      <w:bookmarkStart w:id="88" w:name="_Toc8232"/>
      <w:bookmarkStart w:id="89" w:name="_Toc12016"/>
      <w:bookmarkStart w:id="90" w:name="_Toc27912"/>
      <w:bookmarkStart w:id="91" w:name="_Toc31450"/>
      <w:bookmarkStart w:id="92" w:name="_Toc13409"/>
      <w:bookmarkStart w:id="93" w:name="_Toc19085"/>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1-4</w:t>
      </w:r>
      <w:r>
        <w:rPr>
          <w:rFonts w:hint="eastAsia" w:ascii="楷体_GB2312" w:hAnsi="楷体_GB2312" w:eastAsia="楷体_GB2312" w:cs="楷体_GB2312"/>
          <w:sz w:val="30"/>
          <w:szCs w:val="30"/>
        </w:rPr>
        <w:t>：</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Pr>
          <w:rFonts w:hint="eastAsia" w:ascii="楷体_GB2312" w:hAnsi="楷体_GB2312" w:eastAsia="楷体_GB2312" w:cs="楷体_GB2312"/>
          <w:sz w:val="30"/>
          <w:szCs w:val="30"/>
        </w:rPr>
        <w:t>“千里始足下 行知贵日新”励志教育促成长</w:t>
      </w:r>
      <w:bookmarkEnd w:id="91"/>
      <w:bookmarkEnd w:id="92"/>
      <w:bookmarkEnd w:id="93"/>
    </w:p>
    <w:p w14:paraId="0D1CBBC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sz w:val="28"/>
          <w:szCs w:val="28"/>
        </w:rPr>
        <w:t xml:space="preserve">淄博理工学校延续历年励志教育成长营活动，整合资源，多方联动，把励志教育、生命教育、法治教育、家庭教育、心理健康教育互相融合，联合淄川区妇联、淄川区检察院、共青团 淄川区委、淄川区公安局般阳路派出所共同开展了“千里始足下 行知贵日新”学生成长营主题教育活动。 </w:t>
      </w:r>
    </w:p>
    <w:p w14:paraId="6CAC450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sz w:val="28"/>
          <w:szCs w:val="28"/>
        </w:rPr>
        <w:t>学校将心理健康与励志教育相结合，激发了学生内驱力，帮助学生树立目标追求梦想，达成了学生励志向上的成长目标；将心理健康与法治教育相结合，增强了学生的法律意识和法治观念，提升了学生的心理素质，达成了学生自我纠错的成长目标；将心理健康与生命教育相结合，</w:t>
      </w:r>
      <w:r>
        <w:rPr>
          <w:rFonts w:hint="eastAsia" w:ascii="仿宋_GB2312" w:hAnsi="仿宋" w:eastAsia="仿宋_GB2312"/>
          <w:sz w:val="28"/>
          <w:szCs w:val="28"/>
          <w:lang w:val="en-US" w:eastAsia="zh-CN"/>
        </w:rPr>
        <w:t>增</w:t>
      </w:r>
      <w:r>
        <w:rPr>
          <w:rFonts w:hint="eastAsia" w:ascii="仿宋_GB2312" w:hAnsi="仿宋" w:eastAsia="仿宋_GB2312"/>
          <w:sz w:val="28"/>
          <w:szCs w:val="28"/>
        </w:rPr>
        <w:t>进了学生对生命的敬畏</w:t>
      </w:r>
      <w:r>
        <w:rPr>
          <w:rFonts w:hint="eastAsia" w:ascii="仿宋_GB2312" w:hAnsi="仿宋" w:eastAsia="仿宋_GB2312"/>
          <w:sz w:val="28"/>
          <w:szCs w:val="28"/>
          <w:lang w:val="en-US" w:eastAsia="zh-CN"/>
        </w:rPr>
        <w:t>之情</w:t>
      </w:r>
      <w:r>
        <w:rPr>
          <w:rFonts w:hint="eastAsia" w:ascii="仿宋_GB2312" w:hAnsi="仿宋" w:eastAsia="仿宋_GB2312"/>
          <w:sz w:val="28"/>
          <w:szCs w:val="28"/>
        </w:rPr>
        <w:t>，培养学生正确的人际交往能力和亲社会行为，达成了热爱生命健康成长目标；将心理健康与家庭教育相结合，协助家庭为学生创造良好的生活环境，做到了家校共育、人社相融，达成了和谐融洽，支持有力的成长目标。</w:t>
      </w:r>
    </w:p>
    <w:p w14:paraId="38BA4DBA">
      <w:pPr>
        <w:adjustRightInd w:val="0"/>
        <w:snapToGrid w:val="0"/>
        <w:spacing w:before="240"/>
        <w:jc w:val="center"/>
      </w:pPr>
      <w:r>
        <w:rPr>
          <w:rFonts w:hint="eastAsia" w:eastAsia="宋体"/>
          <w:lang w:eastAsia="zh-CN"/>
        </w:rPr>
        <w:drawing>
          <wp:inline distT="0" distB="0" distL="114300" distR="114300">
            <wp:extent cx="2880360" cy="2160270"/>
            <wp:effectExtent l="0" t="0" r="2540" b="11430"/>
            <wp:docPr id="58" name="图片 58" descr="E:/学校工作/学生工作/2025-2026学年第一学期/活动/2025励志教育启动仪式/20251021励志教育成长营开营仪式/IMG_3503.JPGIMG_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学校工作/学生工作/2025-2026学年第一学期/活动/2025励志教育启动仪式/20251021励志教育成长营开营仪式/IMG_3503.JPGIMG_3503"/>
                    <pic:cNvPicPr>
                      <a:picLocks noChangeAspect="1"/>
                    </pic:cNvPicPr>
                  </pic:nvPicPr>
                  <pic:blipFill>
                    <a:blip r:embed="rId22"/>
                    <a:srcRect l="5570" r="5570"/>
                    <a:stretch>
                      <a:fillRect/>
                    </a:stretch>
                  </pic:blipFill>
                  <pic:spPr>
                    <a:xfrm>
                      <a:off x="0" y="0"/>
                      <a:ext cx="2880360" cy="2160270"/>
                    </a:xfrm>
                    <a:prstGeom prst="rect">
                      <a:avLst/>
                    </a:prstGeom>
                  </pic:spPr>
                </pic:pic>
              </a:graphicData>
            </a:graphic>
          </wp:inline>
        </w:drawing>
      </w:r>
    </w:p>
    <w:p w14:paraId="6722D4CE">
      <w:pPr>
        <w:pStyle w:val="6"/>
        <w:adjustRightInd w:val="0"/>
        <w:snapToGrid w:val="0"/>
        <w:spacing w:line="400" w:lineRule="exact"/>
        <w:ind w:firstLine="3600" w:firstLineChars="1500"/>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2</w:t>
      </w:r>
      <w:r>
        <w:rPr>
          <w:rFonts w:hint="eastAsia" w:ascii="楷体_GB2312" w:hAnsi="楷体_GB2312" w:eastAsia="楷体_GB2312" w:cs="楷体_GB2312"/>
          <w:sz w:val="24"/>
        </w:rPr>
        <w:fldChar w:fldCharType="end"/>
      </w:r>
      <w:bookmarkStart w:id="94" w:name="_Toc20317"/>
      <w:r>
        <w:rPr>
          <w:rFonts w:hint="eastAsia" w:ascii="楷体_GB2312" w:hAnsi="楷体_GB2312" w:eastAsia="楷体_GB2312" w:cs="楷体_GB2312"/>
          <w:sz w:val="24"/>
        </w:rPr>
        <w:t xml:space="preserve"> 成长营授牌仪式</w:t>
      </w:r>
      <w:bookmarkEnd w:id="94"/>
    </w:p>
    <w:p w14:paraId="29046EC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sz w:val="28"/>
          <w:szCs w:val="28"/>
        </w:rPr>
        <w:t>学生成长营主题教育活动丰富了学生成长阶梯内容，让学生在活动中体验了自尊自信、理性平和、自立积极向上的社会心态，达成个人与家庭、社会共同成长的目标，帮助学生去正确面对学习、生活和工作中的各种挑战。</w:t>
      </w:r>
    </w:p>
    <w:p w14:paraId="28930371">
      <w:pPr>
        <w:adjustRightInd w:val="0"/>
        <w:snapToGrid w:val="0"/>
        <w:spacing w:before="240"/>
        <w:jc w:val="center"/>
      </w:pPr>
      <w:r>
        <w:rPr>
          <w:rFonts w:hint="eastAsia" w:eastAsia="宋体"/>
          <w:lang w:eastAsia="zh-CN"/>
        </w:rPr>
        <w:drawing>
          <wp:inline distT="0" distB="0" distL="114300" distR="114300">
            <wp:extent cx="2880360" cy="2160270"/>
            <wp:effectExtent l="0" t="0" r="0" b="3810"/>
            <wp:docPr id="60" name="图片 60" descr="E:/学校工作/学生工作/2025-2026学年第一学期/活动/2025励志教育启动仪式/20251021励志教育成长营开营仪式/IMG_3574.JPGIMG_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学校工作/学生工作/2025-2026学年第一学期/活动/2025励志教育启动仪式/20251021励志教育成长营开营仪式/IMG_3574.JPGIMG_3574"/>
                    <pic:cNvPicPr>
                      <a:picLocks noChangeAspect="1"/>
                    </pic:cNvPicPr>
                  </pic:nvPicPr>
                  <pic:blipFill>
                    <a:blip r:embed="rId23"/>
                    <a:srcRect l="5570" r="5570"/>
                    <a:stretch>
                      <a:fillRect/>
                    </a:stretch>
                  </pic:blipFill>
                  <pic:spPr>
                    <a:xfrm>
                      <a:off x="0" y="0"/>
                      <a:ext cx="2880360" cy="2160270"/>
                    </a:xfrm>
                    <a:prstGeom prst="rect">
                      <a:avLst/>
                    </a:prstGeom>
                  </pic:spPr>
                </pic:pic>
              </a:graphicData>
            </a:graphic>
          </wp:inline>
        </w:drawing>
      </w:r>
    </w:p>
    <w:p w14:paraId="7F29AC75">
      <w:pPr>
        <w:pStyle w:val="6"/>
        <w:adjustRightInd w:val="0"/>
        <w:snapToGrid w:val="0"/>
        <w:spacing w:line="400" w:lineRule="exact"/>
        <w:ind w:firstLine="3600" w:firstLineChars="1500"/>
        <w:rPr>
          <w:rFonts w:hint="eastAsia" w:ascii="仿宋_GB2312" w:hAnsi="仿宋" w:eastAsia="仿宋_GB2312"/>
          <w:sz w:val="28"/>
          <w:szCs w:val="28"/>
        </w:rPr>
      </w:pPr>
      <w:r>
        <w:rPr>
          <w:rFonts w:hint="eastAsia" w:ascii="楷体_GB2312" w:hAnsi="楷体_GB2312" w:eastAsia="楷体_GB2312" w:cs="楷体_GB2312"/>
          <w:sz w:val="24"/>
        </w:rPr>
        <w:t xml:space="preserve">图 </w:t>
      </w:r>
      <w:bookmarkStart w:id="95" w:name="_Toc9382"/>
      <w:r>
        <w:rPr>
          <w:rFonts w:hint="eastAsia" w:ascii="楷体_GB2312" w:hAnsi="楷体_GB2312" w:eastAsia="楷体_GB2312" w:cs="楷体_GB2312"/>
          <w:sz w:val="24"/>
          <w:lang w:val="en-US" w:eastAsia="zh-CN"/>
        </w:rPr>
        <w:t>1-13</w:t>
      </w:r>
      <w:r>
        <w:rPr>
          <w:rFonts w:hint="eastAsia" w:ascii="楷体_GB2312" w:hAnsi="楷体_GB2312" w:eastAsia="楷体_GB2312" w:cs="楷体_GB2312"/>
          <w:sz w:val="24"/>
        </w:rPr>
        <w:t xml:space="preserve"> 成长营</w:t>
      </w:r>
      <w:r>
        <w:rPr>
          <w:rFonts w:hint="eastAsia" w:ascii="楷体_GB2312" w:hAnsi="楷体_GB2312" w:eastAsia="楷体_GB2312" w:cs="楷体_GB2312"/>
          <w:sz w:val="24"/>
          <w:lang w:val="en-US" w:eastAsia="zh-CN"/>
        </w:rPr>
        <w:t>宣誓</w:t>
      </w:r>
      <w:r>
        <w:rPr>
          <w:rFonts w:hint="eastAsia" w:ascii="楷体_GB2312" w:hAnsi="楷体_GB2312" w:eastAsia="楷体_GB2312" w:cs="楷体_GB2312"/>
          <w:sz w:val="24"/>
        </w:rPr>
        <w:t>仪式</w:t>
      </w:r>
      <w:bookmarkEnd w:id="95"/>
    </w:p>
    <w:p w14:paraId="34E01A13">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96" w:name="_Toc16097"/>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二</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rPr>
        <w:t>在校体验</w:t>
      </w:r>
      <w:r>
        <w:rPr>
          <w:rFonts w:hint="eastAsia" w:ascii="黑体" w:hAnsi="黑体" w:eastAsia="黑体" w:cs="黑体"/>
          <w:b w:val="0"/>
          <w:bCs w:val="0"/>
          <w:sz w:val="30"/>
          <w:szCs w:val="30"/>
          <w:lang w:val="en-US" w:eastAsia="zh-CN"/>
        </w:rPr>
        <w:t>与就业质量</w:t>
      </w:r>
      <w:bookmarkEnd w:id="96"/>
    </w:p>
    <w:p w14:paraId="5D165DE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sz w:val="28"/>
          <w:szCs w:val="28"/>
          <w:lang w:val="en-US" w:eastAsia="zh-CN"/>
        </w:rPr>
      </w:pPr>
      <w:r>
        <w:rPr>
          <w:rFonts w:hint="eastAsia" w:ascii="楷体_GB2312" w:hAnsi="楷体_GB2312" w:eastAsia="楷体_GB2312" w:cs="楷体_GB2312"/>
          <w:sz w:val="28"/>
          <w:szCs w:val="28"/>
          <w:lang w:val="en-US" w:eastAsia="zh-CN"/>
        </w:rPr>
        <w:t>1.丰富学生校园生活</w:t>
      </w:r>
    </w:p>
    <w:p w14:paraId="69B8D990">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sz w:val="28"/>
          <w:szCs w:val="28"/>
        </w:rPr>
        <w:t>为筑牢学生思想根基，学校聚焦理想信念培育、社会主义核心价值观践行、中华优秀传统文化传承，以及革命文化与社会主义先进文化弘扬等核心任务，精心策划并落地“我们的节日”“传承红色基因”“扣好人生第一粒扣子”系列主题教育，同步开展“新时代好少年”“美德少年”“最美中职生”等评选活动，全方位丰富学生日常精神文化生活。</w:t>
      </w:r>
    </w:p>
    <w:p w14:paraId="44ABD7B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sz w:val="28"/>
          <w:szCs w:val="28"/>
        </w:rPr>
        <w:t>学校大力支持社团蓬勃发展，不仅为其配备专属活动阵地、指派经验丰富的指导教师，还每年划拨专项经费，用于采购活动所需道具、服装等物资，为社团活动的常态化开展提供坚实保障，助力社团成为各类技能竞赛与文体活动中的核心骨干力量。</w:t>
      </w:r>
    </w:p>
    <w:p w14:paraId="2131AF3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sz w:val="28"/>
          <w:szCs w:val="28"/>
        </w:rPr>
        <w:t>此外，学校持续升级校园服务能级，不断完善后勤服务机制与安全保障体系，设立校长信箱、校长接待日，组织校长下午茶活动，畅通沟通反馈平台，主动回应并妥善解决师生在学习生活中遇到的各类问题与困境。同时，进一步压实校园安全管理责任，织密安全防护网络，全力打造平安有序、和谐温馨的校园育人环境。</w:t>
      </w:r>
    </w:p>
    <w:p w14:paraId="7BC74756">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97" w:name="_Toc6137"/>
      <w:bookmarkStart w:id="98" w:name="_Toc10797"/>
      <w:bookmarkStart w:id="99" w:name="_Toc16136"/>
      <w:bookmarkStart w:id="100" w:name="_Toc21088"/>
      <w:bookmarkStart w:id="101" w:name="_Toc2235"/>
      <w:bookmarkStart w:id="102" w:name="_Toc28800"/>
      <w:bookmarkStart w:id="103" w:name="_Toc24478"/>
      <w:bookmarkStart w:id="104" w:name="_Toc19210"/>
      <w:bookmarkStart w:id="105" w:name="_Toc24738"/>
      <w:bookmarkStart w:id="106" w:name="_Toc27558912"/>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1-5</w:t>
      </w:r>
      <w:r>
        <w:rPr>
          <w:rFonts w:hint="eastAsia" w:ascii="楷体_GB2312" w:hAnsi="楷体_GB2312" w:eastAsia="楷体_GB2312" w:cs="楷体_GB2312"/>
          <w:sz w:val="30"/>
          <w:szCs w:val="30"/>
        </w:rPr>
        <w:t>：</w:t>
      </w:r>
      <w:bookmarkEnd w:id="97"/>
      <w:bookmarkEnd w:id="98"/>
      <w:bookmarkEnd w:id="99"/>
      <w:bookmarkEnd w:id="100"/>
      <w:bookmarkEnd w:id="101"/>
      <w:bookmarkEnd w:id="102"/>
      <w:r>
        <w:rPr>
          <w:rFonts w:hint="eastAsia" w:ascii="楷体_GB2312" w:hAnsi="楷体_GB2312" w:eastAsia="楷体_GB2312" w:cs="楷体_GB2312"/>
          <w:sz w:val="30"/>
          <w:szCs w:val="30"/>
        </w:rPr>
        <w:t>构建资助育人体系 赋能学子成长成才</w:t>
      </w:r>
      <w:bookmarkEnd w:id="103"/>
      <w:bookmarkEnd w:id="104"/>
      <w:bookmarkEnd w:id="105"/>
    </w:p>
    <w:p w14:paraId="4345AA0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sz w:val="28"/>
          <w:szCs w:val="28"/>
        </w:rPr>
      </w:pPr>
      <w:r>
        <w:rPr>
          <w:rFonts w:hint="eastAsia" w:ascii="仿宋_GB2312" w:hAnsi="仿宋" w:eastAsia="仿宋_GB2312" w:cs="Times New Roman"/>
          <w:sz w:val="28"/>
          <w:szCs w:val="28"/>
        </w:rPr>
        <w:t>淄博理工学校以“保障型资助与发展型资助并重”为核心，构建全方位资助育人体系，形成特色鲜明、成效显著的中职资助实践样本。</w:t>
      </w:r>
    </w:p>
    <w:p w14:paraId="2255D54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s="Times New Roman"/>
          <w:sz w:val="28"/>
          <w:szCs w:val="28"/>
        </w:rPr>
      </w:pPr>
      <w:r>
        <w:rPr>
          <w:rFonts w:hint="eastAsia" w:ascii="仿宋_GB2312" w:hAnsi="仿宋" w:eastAsia="仿宋_GB2312" w:cs="Times New Roman"/>
          <w:sz w:val="28"/>
          <w:szCs w:val="28"/>
          <w:lang w:val="en-US" w:eastAsia="zh-CN"/>
        </w:rPr>
        <w:t>学校</w:t>
      </w:r>
      <w:r>
        <w:rPr>
          <w:rFonts w:hint="eastAsia" w:ascii="仿宋_GB2312" w:hAnsi="仿宋" w:eastAsia="仿宋_GB2312" w:cs="Times New Roman"/>
          <w:sz w:val="28"/>
          <w:szCs w:val="28"/>
        </w:rPr>
        <w:t>打造“国家政策托底+校内特色补充+社会力量赋能”三维资助网络，筑牢保障底线。严格落实中职学费全免政策，2025年起将国家助学金标准提至每生每年2300元并覆盖三年级学生；设立校级奖学金、“暖心超市”等特色项目，2024年为180名困难学生发放保暖物资，设立勤工助学岗解决受助学生校内生活问题，搭建“一站式”服务平台，简化流程、精准发放，提升服务效能。</w:t>
      </w:r>
    </w:p>
    <w:p w14:paraId="10FE7F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楷体_GB2312" w:hAnsi="楷体_GB2312" w:eastAsia="楷体_GB2312" w:cs="楷体_GB2312"/>
          <w:sz w:val="24"/>
          <w:lang w:val="en-US" w:eastAsia="zh-CN"/>
        </w:rPr>
      </w:pPr>
      <w:r>
        <w:rPr>
          <w:rFonts w:hint="eastAsia" w:ascii="楷体_GB2312" w:hAnsi="楷体_GB2312" w:eastAsia="楷体_GB2312" w:cs="楷体_GB2312"/>
          <w:sz w:val="24"/>
          <w:lang w:val="en-US" w:eastAsia="zh-CN"/>
        </w:rPr>
        <w:drawing>
          <wp:inline distT="0" distB="0" distL="114300" distR="114300">
            <wp:extent cx="2879725" cy="2160270"/>
            <wp:effectExtent l="0" t="0" r="3175" b="11430"/>
            <wp:docPr id="73" name="图片 73" descr="6"/>
            <wp:cNvGraphicFramePr/>
            <a:graphic xmlns:a="http://schemas.openxmlformats.org/drawingml/2006/main">
              <a:graphicData uri="http://schemas.openxmlformats.org/drawingml/2006/picture">
                <pic:pic xmlns:pic="http://schemas.openxmlformats.org/drawingml/2006/picture">
                  <pic:nvPicPr>
                    <pic:cNvPr id="73" name="图片 73" descr="6"/>
                    <pic:cNvPicPr/>
                  </pic:nvPicPr>
                  <pic:blipFill>
                    <a:blip r:embed="rId24"/>
                    <a:stretch>
                      <a:fillRect/>
                    </a:stretch>
                  </pic:blipFill>
                  <pic:spPr>
                    <a:xfrm>
                      <a:off x="0" y="0"/>
                      <a:ext cx="2879725" cy="2160270"/>
                    </a:xfrm>
                    <a:prstGeom prst="rect">
                      <a:avLst/>
                    </a:prstGeom>
                  </pic:spPr>
                </pic:pic>
              </a:graphicData>
            </a:graphic>
          </wp:inline>
        </w:drawing>
      </w:r>
    </w:p>
    <w:p w14:paraId="76E9CAB4">
      <w:pPr>
        <w:pStyle w:val="6"/>
        <w:adjustRightInd w:val="0"/>
        <w:snapToGrid w:val="0"/>
        <w:spacing w:line="360" w:lineRule="exact"/>
        <w:jc w:val="center"/>
        <w:rPr>
          <w:rFonts w:hint="eastAsia" w:ascii="楷体_GB2312" w:hAnsi="楷体_GB2312" w:eastAsia="楷体_GB2312" w:cs="楷体_GB2312"/>
          <w:sz w:val="24"/>
          <w:lang w:val="en-US" w:eastAsia="zh-CN"/>
        </w:rPr>
      </w:pPr>
      <w:r>
        <w:rPr>
          <w:rFonts w:hint="eastAsia" w:ascii="楷体_GB2312" w:hAnsi="楷体_GB2312" w:eastAsia="楷体_GB2312" w:cs="楷体_GB2312"/>
          <w:sz w:val="24"/>
        </w:rPr>
        <w:t xml:space="preserve">图 </w:t>
      </w:r>
      <w:bookmarkStart w:id="107" w:name="_Toc29727"/>
      <w:r>
        <w:rPr>
          <w:rFonts w:hint="eastAsia" w:ascii="楷体_GB2312" w:hAnsi="楷体_GB2312" w:eastAsia="楷体_GB2312" w:cs="楷体_GB2312"/>
          <w:sz w:val="24"/>
          <w:lang w:val="en-US" w:eastAsia="zh-CN"/>
        </w:rPr>
        <w:t>1-14</w:t>
      </w:r>
      <w:r>
        <w:rPr>
          <w:rFonts w:hint="eastAsia" w:ascii="楷体_GB2312" w:hAnsi="楷体_GB2312" w:eastAsia="楷体_GB2312" w:cs="楷体_GB2312"/>
          <w:sz w:val="24"/>
        </w:rPr>
        <w:t xml:space="preserve"> </w:t>
      </w:r>
      <w:r>
        <w:rPr>
          <w:rFonts w:hint="eastAsia" w:ascii="楷体_GB2312" w:eastAsia="楷体_GB2312"/>
          <w:sz w:val="24"/>
        </w:rPr>
        <w:t>国家奖学金表彰大会</w:t>
      </w:r>
      <w:bookmarkEnd w:id="107"/>
    </w:p>
    <w:p w14:paraId="339A6459">
      <w:pPr>
        <w:spacing w:line="400" w:lineRule="exact"/>
        <w:ind w:firstLine="660"/>
        <w:rPr>
          <w:rFonts w:hint="eastAsia" w:ascii="仿宋_GB2312" w:hAnsi="仿宋" w:eastAsia="仿宋_GB2312" w:cs="Times New Roman"/>
          <w:sz w:val="28"/>
          <w:szCs w:val="28"/>
        </w:rPr>
      </w:pPr>
      <w:r>
        <w:rPr>
          <w:rFonts w:hint="eastAsia" w:ascii="仿宋_GB2312" w:hAnsi="仿宋" w:eastAsia="仿宋_GB2312" w:cs="Times New Roman"/>
          <w:sz w:val="28"/>
          <w:szCs w:val="28"/>
        </w:rPr>
        <w:t>创新“物质帮扶+教育引导+关爱服务”模式，深化育人内涵。开展诚信、感恩教育，提供心理疏导和生涯规划指导；打造“榜样引领+同伴互助”生态，宣传优秀受助学生事迹。2022级陈浩彬同学在资助护航下，获全国技能竞赛“双料”一等奖，入选《人民日报》中职国家奖学金优秀代表名录，更组建社团带动百余名学子成长，形成“受助—自强—助人”闭环。</w:t>
      </w:r>
    </w:p>
    <w:p w14:paraId="135D0CE9">
      <w:pPr>
        <w:adjustRightInd w:val="0"/>
        <w:snapToGrid w:val="0"/>
        <w:jc w:val="center"/>
        <w:rPr>
          <w:rFonts w:asciiTheme="minorEastAsia" w:hAnsiTheme="minorEastAsia" w:eastAsiaTheme="minorEastAsia"/>
          <w:sz w:val="28"/>
          <w:szCs w:val="28"/>
        </w:rPr>
      </w:pPr>
      <w:r>
        <w:rPr>
          <w:rFonts w:hint="eastAsia" w:ascii="仿宋_GB2312" w:hAnsi="仿宋_GB2312" w:eastAsia="仿宋_GB2312" w:cs="仿宋_GB2312"/>
          <w:i w:val="0"/>
          <w:iCs w:val="0"/>
          <w:caps w:val="0"/>
          <w:color w:val="05073B"/>
          <w:spacing w:val="0"/>
          <w:sz w:val="28"/>
          <w:szCs w:val="28"/>
          <w:lang w:val="en-US" w:eastAsia="zh-CN"/>
        </w:rPr>
        <w:drawing>
          <wp:inline distT="0" distB="0" distL="114300" distR="114300">
            <wp:extent cx="2879725" cy="4319905"/>
            <wp:effectExtent l="0" t="0" r="635" b="8255"/>
            <wp:docPr id="71" name="图片 71" descr="640"/>
            <wp:cNvGraphicFramePr/>
            <a:graphic xmlns:a="http://schemas.openxmlformats.org/drawingml/2006/main">
              <a:graphicData uri="http://schemas.openxmlformats.org/drawingml/2006/picture">
                <pic:pic xmlns:pic="http://schemas.openxmlformats.org/drawingml/2006/picture">
                  <pic:nvPicPr>
                    <pic:cNvPr id="71" name="图片 71" descr="640"/>
                    <pic:cNvPicPr/>
                  </pic:nvPicPr>
                  <pic:blipFill>
                    <a:blip r:embed="rId25"/>
                    <a:stretch>
                      <a:fillRect/>
                    </a:stretch>
                  </pic:blipFill>
                  <pic:spPr>
                    <a:xfrm>
                      <a:off x="0" y="0"/>
                      <a:ext cx="2879725" cy="4319905"/>
                    </a:xfrm>
                    <a:prstGeom prst="rect">
                      <a:avLst/>
                    </a:prstGeom>
                  </pic:spPr>
                </pic:pic>
              </a:graphicData>
            </a:graphic>
          </wp:inline>
        </w:drawing>
      </w:r>
    </w:p>
    <w:p w14:paraId="10CB8DEE">
      <w:pPr>
        <w:jc w:val="center"/>
        <w:rPr>
          <w:rFonts w:hint="eastAsia" w:ascii="黑体" w:hAnsi="黑体" w:eastAsia="黑体" w:cs="黑体"/>
          <w:b w:val="0"/>
          <w:bCs w:val="0"/>
          <w:sz w:val="30"/>
          <w:szCs w:val="30"/>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5</w:t>
      </w:r>
      <w:r>
        <w:rPr>
          <w:rFonts w:hint="eastAsia" w:ascii="楷体_GB2312" w:hAnsi="楷体_GB2312" w:eastAsia="楷体_GB2312" w:cs="楷体_GB2312"/>
          <w:sz w:val="24"/>
        </w:rPr>
        <w:fldChar w:fldCharType="end"/>
      </w:r>
      <w:bookmarkStart w:id="108" w:name="_Toc17129"/>
      <w:r>
        <w:rPr>
          <w:rFonts w:hint="eastAsia" w:ascii="楷体_GB2312" w:hAnsi="楷体_GB2312" w:eastAsia="楷体_GB2312" w:cs="楷体_GB2312"/>
          <w:sz w:val="24"/>
        </w:rPr>
        <w:t xml:space="preserve"> 陈浩彬荣登《人民日报》国家奖学金获奖学生优秀代表名录</w:t>
      </w:r>
      <w:bookmarkEnd w:id="106"/>
      <w:bookmarkEnd w:id="108"/>
    </w:p>
    <w:p w14:paraId="258726E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sz w:val="28"/>
          <w:szCs w:val="28"/>
        </w:rPr>
      </w:pPr>
      <w:r>
        <w:rPr>
          <w:rFonts w:hint="eastAsia" w:ascii="楷体_GB2312" w:hAnsi="楷体_GB2312" w:eastAsia="楷体_GB2312" w:cs="楷体_GB2312"/>
          <w:sz w:val="28"/>
          <w:szCs w:val="28"/>
          <w:lang w:val="en-US" w:eastAsia="zh-CN"/>
        </w:rPr>
        <w:t>2.</w:t>
      </w:r>
      <w:r>
        <w:rPr>
          <w:rFonts w:hint="eastAsia" w:ascii="楷体_GB2312" w:hAnsi="楷体_GB2312" w:eastAsia="楷体_GB2312" w:cs="楷体_GB2312"/>
          <w:sz w:val="28"/>
          <w:szCs w:val="28"/>
        </w:rPr>
        <w:t>毕业生就业形势态势良好</w:t>
      </w:r>
    </w:p>
    <w:p w14:paraId="2F4E7C5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sz w:val="28"/>
          <w:szCs w:val="28"/>
          <w:lang w:val="en-US" w:eastAsia="zh-CN"/>
        </w:rPr>
      </w:pPr>
      <w:r>
        <w:rPr>
          <w:rFonts w:hint="eastAsia" w:ascii="仿宋_GB2312" w:hAnsi="仿宋" w:eastAsia="仿宋_GB2312"/>
          <w:sz w:val="28"/>
          <w:szCs w:val="28"/>
        </w:rPr>
        <w:t>统计数据显示，毕业生整体就业率持续稳定在95%以上，部分专业就业对口率实现100%。这一成效主要源于国家政策扶持、学校以促进就业为导向的教育模式，以及市场对技能人才需求的增长。2025年，学校共有1052名毕业生，其中通过职教高考、贯通培养及高职单招升学的学生为806人，直接就业人数为185人。本年度毕业生就业率达到98%，专业对口率依然维持在较高水平。其中，服装设计与工艺、纺织技术及营销、智能设备运行与维护三个专业为鲁泰纺织股份有限公司订单培养班，学生毕业后直接进入该公司就业，上述专业初次就业率与专业对口率均达到100%。会计事务、网络技术、数字媒体、幼儿保育等九个专业的学生，则通过对口高职升学、贯通培养升学及高职院校单独招生考试等渠道进入高等院校深造。毕业生薪资水平因专业、地域、企业规模等因素存在较明显差异。汽修、数控技术、智能设备等热门专业毕业生起薪普遍较高，部分可达每月6000元以上；而一些冷门专业或就职于小微企业的毕业生，薪资则相对较低。智能设备运行与维护、数控技术应用等专业的毕业生供不应求现象尤为突出。在就业稳定性方面，部分毕业生对首份工作的持续就业意愿有待加强。2025年学生对口就业情况</w:t>
      </w:r>
      <w:r>
        <w:rPr>
          <w:rFonts w:hint="eastAsia" w:ascii="仿宋_GB2312" w:hAnsi="仿宋" w:eastAsia="仿宋_GB2312"/>
          <w:sz w:val="28"/>
          <w:szCs w:val="28"/>
          <w:lang w:val="en-US" w:eastAsia="zh-CN"/>
        </w:rPr>
        <w:t>如图1-16所示：</w:t>
      </w:r>
    </w:p>
    <w:p w14:paraId="358CA39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仿宋_GB2312" w:hAnsi="仿宋" w:eastAsia="仿宋_GB2312" w:cs="仿宋"/>
          <w:snapToGrid/>
          <w:sz w:val="28"/>
          <w:szCs w:val="28"/>
          <w:lang w:eastAsia="zh-CN"/>
        </w:rPr>
      </w:pPr>
      <w:r>
        <w:rPr>
          <w:rFonts w:ascii="仿宋_GB2312" w:hAnsi="仿宋" w:eastAsia="仿宋_GB2312" w:cs="仿宋"/>
          <w:snapToGrid/>
          <w:sz w:val="28"/>
          <w:szCs w:val="28"/>
          <w:lang w:eastAsia="zh-CN"/>
        </w:rPr>
        <w:drawing>
          <wp:inline distT="0" distB="0" distL="0" distR="0">
            <wp:extent cx="4110990" cy="2159635"/>
            <wp:effectExtent l="0" t="0" r="3810" b="12065"/>
            <wp:docPr id="76" name="图片 76" descr="C:\Users\hh\xwechat_files\cynthia0y0y_d887\temp\InputTemp\ed18c7f2-edae-4c07-b5ca-60cb4c1c4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hh\xwechat_files\cynthia0y0y_d887\temp\InputTemp\ed18c7f2-edae-4c07-b5ca-60cb4c1c4391.png"/>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111200" cy="2160000"/>
                    </a:xfrm>
                    <a:prstGeom prst="rect">
                      <a:avLst/>
                    </a:prstGeom>
                    <a:noFill/>
                    <a:ln>
                      <a:noFill/>
                    </a:ln>
                  </pic:spPr>
                </pic:pic>
              </a:graphicData>
            </a:graphic>
          </wp:inline>
        </w:drawing>
      </w:r>
    </w:p>
    <w:p w14:paraId="1883CEA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fldChar w:fldCharType="end"/>
      </w:r>
      <w:bookmarkStart w:id="109" w:name="_Toc27364"/>
      <w:bookmarkStart w:id="110" w:name="_Toc105"/>
      <w:bookmarkStart w:id="111" w:name="_Toc4861"/>
      <w:bookmarkStart w:id="112" w:name="_Toc13078"/>
      <w:bookmarkStart w:id="113" w:name="_Toc20845"/>
      <w:r>
        <w:rPr>
          <w:rFonts w:hint="eastAsia" w:ascii="楷体_GB2312" w:hAnsi="楷体_GB2312" w:eastAsia="楷体_GB2312" w:cs="楷体_GB2312"/>
          <w:sz w:val="24"/>
        </w:rPr>
        <w:t xml:space="preserve"> 202</w:t>
      </w:r>
      <w:r>
        <w:rPr>
          <w:rFonts w:hint="eastAsia" w:ascii="楷体_GB2312" w:hAnsi="楷体_GB2312" w:eastAsia="楷体_GB2312" w:cs="楷体_GB2312"/>
          <w:sz w:val="24"/>
          <w:lang w:val="en-US" w:eastAsia="zh-CN"/>
        </w:rPr>
        <w:t>5</w:t>
      </w:r>
      <w:r>
        <w:rPr>
          <w:rFonts w:hint="eastAsia" w:ascii="楷体_GB2312" w:hAnsi="楷体_GB2312" w:eastAsia="楷体_GB2312" w:cs="楷体_GB2312"/>
          <w:sz w:val="24"/>
        </w:rPr>
        <w:t>年学生对口就业情况表</w:t>
      </w:r>
      <w:bookmarkEnd w:id="109"/>
      <w:bookmarkEnd w:id="110"/>
      <w:bookmarkEnd w:id="111"/>
      <w:bookmarkEnd w:id="112"/>
      <w:bookmarkEnd w:id="113"/>
    </w:p>
    <w:p w14:paraId="4A28C399">
      <w:pPr>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（数据来源：第三方调查机构）</w:t>
      </w:r>
    </w:p>
    <w:p w14:paraId="726DD8D4">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default" w:ascii="楷体_GB2312" w:hAnsi="楷体_GB2312" w:eastAsia="楷体_GB2312" w:cs="楷体_GB2312"/>
          <w:color w:val="000000" w:themeColor="text1"/>
          <w:sz w:val="30"/>
          <w:szCs w:val="30"/>
          <w:lang w:val="en-US" w:eastAsia="zh-CN"/>
          <w14:textFill>
            <w14:solidFill>
              <w14:schemeClr w14:val="tx1"/>
            </w14:solidFill>
          </w14:textFill>
        </w:rPr>
      </w:pPr>
      <w:bookmarkStart w:id="114" w:name="_Toc17491"/>
      <w:bookmarkStart w:id="115" w:name="_Toc26983"/>
      <w:r>
        <w:rPr>
          <w:rFonts w:hint="eastAsia" w:ascii="楷体_GB2312" w:hAnsi="楷体_GB2312" w:eastAsia="楷体_GB2312" w:cs="楷体_GB2312"/>
          <w:color w:val="000000" w:themeColor="text1"/>
          <w:sz w:val="30"/>
          <w:szCs w:val="30"/>
          <w:lang w:val="en-US" w:eastAsia="zh-CN"/>
          <w14:textFill>
            <w14:solidFill>
              <w14:schemeClr w14:val="tx1"/>
            </w14:solidFill>
          </w14:textFill>
        </w:rPr>
        <w:t>案例1-6：倾心学子，学习就业全流程跟踪服务</w:t>
      </w:r>
      <w:bookmarkEnd w:id="114"/>
      <w:bookmarkEnd w:id="115"/>
    </w:p>
    <w:p w14:paraId="1F4A220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sz w:val="28"/>
          <w:szCs w:val="28"/>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强化职业规划教育，帮助学生明确职业目标与发展路径，通过开设职业规划课程、提供职业咨询等途径，引导学生树立正确的就业观念，增强就业稳定性；同时，通过深化校企合作、推进工学结合，着力提升学生的实践能力与职业素养，增强就业竞争力。学校还将通过优化教育教学质量、完善就业服务、拓宽升学和就业渠道等多项举措，持续提升毕业生的就业质量与综合竞争力。根据面向合作企业开展的问卷调查反馈，毕业生入职后的工作表现获得了企业的高度认可。</w:t>
      </w:r>
    </w:p>
    <w:p w14:paraId="0123784E">
      <w:pPr>
        <w:adjustRightInd w:val="0"/>
        <w:snapToGrid w:val="0"/>
        <w:jc w:val="center"/>
        <w:rPr>
          <w:rFonts w:ascii="楷体_GB2312" w:hAnsi="楷体" w:eastAsia="楷体_GB2312"/>
          <w:sz w:val="32"/>
          <w:szCs w:val="32"/>
        </w:rPr>
      </w:pPr>
      <w:r>
        <w:rPr>
          <w:rFonts w:hint="eastAsia" w:ascii="仿宋_GB2312" w:hAnsi="宋体" w:eastAsia="仿宋_GB2312"/>
          <w:sz w:val="28"/>
          <w:szCs w:val="28"/>
        </w:rPr>
        <w:drawing>
          <wp:inline distT="0" distB="0" distL="114300" distR="114300">
            <wp:extent cx="3615055" cy="2160270"/>
            <wp:effectExtent l="0" t="0" r="12065" b="3810"/>
            <wp:docPr id="43" name="图片 43" descr="173500010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35000107392"/>
                    <pic:cNvPicPr>
                      <a:picLocks noChangeAspect="1"/>
                    </pic:cNvPicPr>
                  </pic:nvPicPr>
                  <pic:blipFill>
                    <a:blip r:embed="rId27"/>
                    <a:stretch>
                      <a:fillRect/>
                    </a:stretch>
                  </pic:blipFill>
                  <pic:spPr>
                    <a:xfrm>
                      <a:off x="0" y="0"/>
                      <a:ext cx="3615055" cy="2160270"/>
                    </a:xfrm>
                    <a:prstGeom prst="rect">
                      <a:avLst/>
                    </a:prstGeom>
                  </pic:spPr>
                </pic:pic>
              </a:graphicData>
            </a:graphic>
          </wp:inline>
        </w:drawing>
      </w:r>
    </w:p>
    <w:p w14:paraId="0BD254B9">
      <w:pPr>
        <w:pStyle w:val="6"/>
        <w:adjustRightInd w:val="0"/>
        <w:snapToGrid w:val="0"/>
        <w:spacing w:line="360" w:lineRule="exact"/>
        <w:jc w:val="center"/>
        <w:rPr>
          <w:rFonts w:hint="eastAsia" w:ascii="仿宋_GB2312" w:hAnsi="宋体" w:eastAsia="仿宋_GB2312"/>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7</w:t>
      </w:r>
      <w:r>
        <w:rPr>
          <w:rFonts w:hint="eastAsia" w:ascii="楷体_GB2312" w:hAnsi="楷体_GB2312" w:eastAsia="楷体_GB2312" w:cs="楷体_GB2312"/>
          <w:sz w:val="24"/>
        </w:rPr>
        <w:fldChar w:fldCharType="end"/>
      </w:r>
      <w:bookmarkStart w:id="116" w:name="_Toc512"/>
      <w:r>
        <w:rPr>
          <w:rFonts w:hint="eastAsia" w:ascii="楷体_GB2312" w:hAnsi="楷体_GB2312" w:eastAsia="楷体_GB2312" w:cs="楷体_GB2312"/>
          <w:sz w:val="24"/>
        </w:rPr>
        <w:t xml:space="preserve"> </w:t>
      </w:r>
      <w:r>
        <w:rPr>
          <w:rFonts w:hint="eastAsia" w:ascii="楷体_GB2312" w:eastAsia="楷体_GB2312"/>
          <w:sz w:val="24"/>
        </w:rPr>
        <w:t>企业满意度调查表</w:t>
      </w:r>
      <w:bookmarkEnd w:id="116"/>
    </w:p>
    <w:p w14:paraId="6AF25A6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对毕业生进行跟踪服务，及时解决学生在初次就业后遇到的问题，保障学生的合法权益，并积极帮助学生二次就业，得到了学生及家长的一致好评，让社会对中职教育的认可度逐渐提高。通过对企业和学生的回访了解到，毕业后初次就业薪资情况：优秀企业达5600元以上；一般企业达3000-3800元。极少数企业在1800-2100；就业单位都按国家规定缴纳保险。2025年学生初次就业起薪情况</w:t>
      </w:r>
      <w:r>
        <w:rPr>
          <w:rFonts w:hint="eastAsia" w:ascii="仿宋_GB2312" w:hAnsi="仿宋" w:eastAsia="仿宋_GB2312"/>
          <w:color w:val="000000" w:themeColor="text1"/>
          <w:sz w:val="28"/>
          <w:szCs w:val="28"/>
          <w:lang w:val="en-US" w:eastAsia="zh-CN"/>
          <w14:textFill>
            <w14:solidFill>
              <w14:schemeClr w14:val="tx1"/>
            </w14:solidFill>
          </w14:textFill>
        </w:rPr>
        <w:t>如图1-18所示：</w:t>
      </w:r>
    </w:p>
    <w:p w14:paraId="7E42F4BE">
      <w:pPr>
        <w:tabs>
          <w:tab w:val="left" w:pos="1560"/>
          <w:tab w:val="center" w:pos="4153"/>
        </w:tabs>
        <w:jc w:val="center"/>
        <w:rPr>
          <w:rFonts w:ascii="楷体_GB2312" w:hAnsi="楷体" w:eastAsia="楷体_GB2312"/>
          <w:sz w:val="32"/>
          <w:szCs w:val="32"/>
        </w:rPr>
      </w:pPr>
      <w:r>
        <w:rPr>
          <w:position w:val="-76"/>
          <w:lang w:eastAsia="zh-CN"/>
        </w:rPr>
        <w:drawing>
          <wp:inline distT="0" distB="0" distL="0" distR="0">
            <wp:extent cx="4215765" cy="2160270"/>
            <wp:effectExtent l="0" t="0" r="5715" b="3810"/>
            <wp:docPr id="50" name="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 50"/>
                    <pic:cNvPicPr preferRelativeResize="0">
                      <a:picLocks noChangeAspect="1"/>
                    </pic:cNvPicPr>
                  </pic:nvPicPr>
                  <pic:blipFill>
                    <a:blip r:embed="rId28"/>
                    <a:stretch>
                      <a:fillRect/>
                    </a:stretch>
                  </pic:blipFill>
                  <pic:spPr>
                    <a:xfrm>
                      <a:off x="0" y="0"/>
                      <a:ext cx="4215765" cy="2160270"/>
                    </a:xfrm>
                    <a:prstGeom prst="rect">
                      <a:avLst/>
                    </a:prstGeom>
                  </pic:spPr>
                </pic:pic>
              </a:graphicData>
            </a:graphic>
          </wp:inline>
        </w:drawing>
      </w:r>
    </w:p>
    <w:p w14:paraId="659BD4BC">
      <w:pPr>
        <w:pStyle w:val="6"/>
        <w:adjustRightInd w:val="0"/>
        <w:snapToGrid w:val="0"/>
        <w:spacing w:line="360" w:lineRule="exact"/>
        <w:ind w:firstLine="480" w:firstLineChars="200"/>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1</w:t>
      </w:r>
      <w:r>
        <w:rPr>
          <w:rFonts w:hint="eastAsia" w:ascii="楷体_GB2312" w:hAnsi="楷体_GB2312" w:eastAsia="楷体_GB2312" w:cs="楷体_GB2312"/>
          <w:sz w:val="24"/>
          <w:lang w:val="en-US" w:eastAsia="zh-CN"/>
        </w:rPr>
        <w:t>8</w:t>
      </w:r>
      <w:r>
        <w:rPr>
          <w:rFonts w:hint="eastAsia" w:ascii="楷体_GB2312" w:hAnsi="楷体_GB2312" w:eastAsia="楷体_GB2312" w:cs="楷体_GB2312"/>
          <w:sz w:val="24"/>
        </w:rPr>
        <w:fldChar w:fldCharType="end"/>
      </w:r>
      <w:bookmarkStart w:id="117" w:name="_Toc27621"/>
      <w:bookmarkStart w:id="118" w:name="_Toc26639"/>
      <w:bookmarkStart w:id="119" w:name="_Toc10625"/>
      <w:bookmarkStart w:id="120" w:name="_Toc7328"/>
      <w:bookmarkStart w:id="121" w:name="_Toc620"/>
      <w:r>
        <w:rPr>
          <w:rFonts w:hint="eastAsia" w:ascii="楷体_GB2312" w:hAnsi="楷体_GB2312" w:eastAsia="楷体_GB2312" w:cs="楷体_GB2312"/>
          <w:sz w:val="24"/>
        </w:rPr>
        <w:t xml:space="preserve"> 202</w:t>
      </w:r>
      <w:r>
        <w:rPr>
          <w:rFonts w:hint="eastAsia" w:ascii="楷体_GB2312" w:hAnsi="楷体_GB2312" w:eastAsia="楷体_GB2312" w:cs="楷体_GB2312"/>
          <w:sz w:val="24"/>
          <w:lang w:val="en-US" w:eastAsia="zh-CN"/>
        </w:rPr>
        <w:t>5</w:t>
      </w:r>
      <w:r>
        <w:rPr>
          <w:rFonts w:hint="eastAsia" w:ascii="楷体_GB2312" w:hAnsi="楷体_GB2312" w:eastAsia="楷体_GB2312" w:cs="楷体_GB2312"/>
          <w:sz w:val="24"/>
        </w:rPr>
        <w:t>年学生初次就业起薪情况统计表</w:t>
      </w:r>
      <w:bookmarkEnd w:id="117"/>
      <w:bookmarkEnd w:id="118"/>
      <w:bookmarkEnd w:id="119"/>
      <w:bookmarkEnd w:id="120"/>
      <w:bookmarkEnd w:id="121"/>
    </w:p>
    <w:p w14:paraId="7F316750">
      <w:pPr>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（数据来源：第三方调查机构）</w:t>
      </w:r>
    </w:p>
    <w:p w14:paraId="300A8EEA">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122" w:name="_Toc13217"/>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三</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rPr>
        <w:t>创新创业</w:t>
      </w:r>
      <w:r>
        <w:rPr>
          <w:rFonts w:hint="eastAsia" w:ascii="黑体" w:hAnsi="黑体" w:eastAsia="黑体" w:cs="黑体"/>
          <w:b w:val="0"/>
          <w:bCs w:val="0"/>
          <w:sz w:val="30"/>
          <w:szCs w:val="30"/>
          <w:lang w:val="en-US" w:eastAsia="zh-CN"/>
        </w:rPr>
        <w:t>与技能大赛</w:t>
      </w:r>
      <w:bookmarkEnd w:id="122"/>
      <w:r>
        <w:rPr>
          <w:rFonts w:hint="eastAsia" w:ascii="黑体" w:hAnsi="黑体" w:eastAsia="黑体" w:cs="黑体"/>
          <w:b w:val="0"/>
          <w:bCs w:val="0"/>
          <w:sz w:val="30"/>
          <w:szCs w:val="30"/>
        </w:rPr>
        <w:t xml:space="preserve"> </w:t>
      </w:r>
    </w:p>
    <w:p w14:paraId="514ECC0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sz w:val="28"/>
          <w:szCs w:val="28"/>
          <w:lang w:val="en-US" w:eastAsia="zh-CN"/>
        </w:rPr>
      </w:pPr>
      <w:r>
        <w:rPr>
          <w:rFonts w:hint="eastAsia" w:ascii="楷体_GB2312" w:hAnsi="楷体_GB2312" w:eastAsia="楷体_GB2312" w:cs="楷体_GB2312"/>
          <w:sz w:val="28"/>
          <w:szCs w:val="28"/>
          <w:lang w:val="en-US" w:eastAsia="zh-CN"/>
        </w:rPr>
        <w:t>1.</w:t>
      </w:r>
      <w:r>
        <w:rPr>
          <w:rFonts w:hint="eastAsia" w:ascii="楷体_GB2312" w:hAnsi="楷体_GB2312" w:eastAsia="楷体_GB2312" w:cs="楷体_GB2312"/>
          <w:sz w:val="28"/>
          <w:szCs w:val="28"/>
        </w:rPr>
        <w:t>“古法蓝染”</w:t>
      </w:r>
      <w:r>
        <w:rPr>
          <w:rFonts w:hint="eastAsia" w:ascii="楷体_GB2312" w:hAnsi="楷体_GB2312" w:eastAsia="楷体_GB2312" w:cs="楷体_GB2312"/>
          <w:sz w:val="28"/>
          <w:szCs w:val="28"/>
          <w:lang w:val="en-US" w:eastAsia="zh-CN"/>
        </w:rPr>
        <w:t>引领传统文化创新</w:t>
      </w:r>
    </w:p>
    <w:p w14:paraId="55EF801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学校非遗创新创业项目成为传承文化与培育双创能力的典范。项目依托社团，将传统技艺系统融入课程与实训，开发出兼具文化内涵与现代审美的系列产品。学生团队深度参与设计、制作与市场运营</w:t>
      </w:r>
      <w:r>
        <w:rPr>
          <w:rFonts w:hint="eastAsia" w:ascii="仿宋_GB2312" w:hAnsi="仿宋" w:eastAsia="仿宋_GB2312"/>
          <w:color w:val="000000" w:themeColor="text1"/>
          <w:sz w:val="28"/>
          <w:szCs w:val="28"/>
          <w:lang w:eastAsia="zh-CN"/>
          <w14:textFill>
            <w14:solidFill>
              <w14:schemeClr w14:val="tx1"/>
            </w14:solidFill>
          </w14:textFill>
        </w:rPr>
        <w:t>。</w:t>
      </w:r>
    </w:p>
    <w:p w14:paraId="5F1D5B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drawing>
          <wp:inline distT="0" distB="0" distL="114300" distR="114300">
            <wp:extent cx="2734310" cy="2160270"/>
            <wp:effectExtent l="0" t="0" r="8890" b="11430"/>
            <wp:docPr id="79" name="图片 79" descr="542079546606ea8f2225025a6234f3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542079546606ea8f2225025a6234f37d"/>
                    <pic:cNvPicPr>
                      <a:picLocks noChangeAspect="1"/>
                    </pic:cNvPicPr>
                  </pic:nvPicPr>
                  <pic:blipFill>
                    <a:blip r:embed="rId29"/>
                    <a:stretch>
                      <a:fillRect/>
                    </a:stretch>
                  </pic:blipFill>
                  <pic:spPr>
                    <a:xfrm>
                      <a:off x="0" y="0"/>
                      <a:ext cx="2734310" cy="2160270"/>
                    </a:xfrm>
                    <a:prstGeom prst="rect">
                      <a:avLst/>
                    </a:prstGeom>
                  </pic:spPr>
                </pic:pic>
              </a:graphicData>
            </a:graphic>
          </wp:inline>
        </w:drawing>
      </w:r>
    </w:p>
    <w:p w14:paraId="017875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sz w:val="28"/>
          <w:szCs w:val="28"/>
          <w:lang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end"/>
      </w:r>
      <w:bookmarkStart w:id="123" w:name="_Toc3676"/>
      <w:bookmarkStart w:id="124" w:name="_Toc7661"/>
      <w:bookmarkStart w:id="125" w:name="_Toc6652"/>
      <w:bookmarkStart w:id="126" w:name="_Toc8723"/>
      <w:bookmarkStart w:id="127" w:name="_Toc29815"/>
      <w:r>
        <w:rPr>
          <w:rFonts w:hint="eastAsia" w:ascii="楷体_GB2312" w:hAnsi="楷体_GB2312" w:eastAsia="楷体_GB2312" w:cs="楷体_GB2312"/>
          <w:sz w:val="24"/>
          <w:lang w:val="en-US" w:eastAsia="zh-CN"/>
        </w:rPr>
        <w:t>9</w:t>
      </w:r>
      <w:r>
        <w:rPr>
          <w:rFonts w:hint="eastAsia" w:ascii="楷体_GB2312" w:hAnsi="楷体_GB2312" w:eastAsia="楷体_GB2312" w:cs="楷体_GB2312"/>
          <w:sz w:val="24"/>
        </w:rPr>
        <w:t xml:space="preserve"> </w:t>
      </w:r>
      <w:bookmarkEnd w:id="123"/>
      <w:bookmarkEnd w:id="124"/>
      <w:bookmarkEnd w:id="125"/>
      <w:bookmarkEnd w:id="126"/>
      <w:r>
        <w:rPr>
          <w:rFonts w:hint="eastAsia" w:ascii="楷体_GB2312" w:hAnsi="楷体_GB2312" w:eastAsia="楷体_GB2312" w:cs="楷体_GB2312"/>
          <w:sz w:val="24"/>
        </w:rPr>
        <w:t>教师指导学生设计作品</w:t>
      </w:r>
      <w:bookmarkEnd w:id="127"/>
    </w:p>
    <w:p w14:paraId="612DAC5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项目培养了学生将非物质文化遗产转化为现代商品的设计思维、品牌运营及市场开拓能力，展现了职业教育在创新传承中华优秀传统文化、培育复合型技术技能人才方面的独特价值与活力。</w:t>
      </w:r>
    </w:p>
    <w:p w14:paraId="6327D2E2">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128" w:name="_Toc25967"/>
      <w:bookmarkStart w:id="129" w:name="_Toc16909"/>
      <w:bookmarkStart w:id="130" w:name="_Toc12761"/>
      <w:bookmarkStart w:id="131" w:name="_Toc17398"/>
      <w:bookmarkStart w:id="132" w:name="_Toc19465"/>
      <w:bookmarkStart w:id="133" w:name="_Toc8425"/>
      <w:bookmarkStart w:id="134" w:name="_Toc9249"/>
      <w:bookmarkStart w:id="135" w:name="_Toc20521"/>
      <w:bookmarkStart w:id="136" w:name="_Toc7179"/>
      <w:bookmarkStart w:id="137" w:name="_Toc19535"/>
      <w:bookmarkStart w:id="138" w:name="_Toc8168"/>
      <w:bookmarkStart w:id="139" w:name="_Toc24326"/>
      <w:bookmarkStart w:id="140" w:name="_Toc30444"/>
      <w:bookmarkStart w:id="141" w:name="_Toc30103"/>
      <w:bookmarkStart w:id="142" w:name="_Toc6647"/>
      <w:bookmarkStart w:id="143" w:name="_Toc32346"/>
      <w:bookmarkStart w:id="144" w:name="_Toc1455"/>
      <w:bookmarkStart w:id="145" w:name="_Toc5473"/>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1-7</w:t>
      </w:r>
      <w:r>
        <w:rPr>
          <w:rFonts w:hint="eastAsia" w:ascii="楷体_GB2312" w:hAnsi="楷体_GB2312" w:eastAsia="楷体_GB2312" w:cs="楷体_GB2312"/>
          <w:sz w:val="30"/>
          <w:szCs w:val="30"/>
        </w:rPr>
        <w:t>：</w:t>
      </w:r>
      <w:bookmarkEnd w:id="128"/>
      <w:bookmarkEnd w:id="129"/>
      <w:bookmarkEnd w:id="130"/>
      <w:bookmarkEnd w:id="131"/>
      <w:bookmarkEnd w:id="132"/>
      <w:bookmarkEnd w:id="133"/>
      <w:bookmarkEnd w:id="134"/>
      <w:bookmarkEnd w:id="135"/>
      <w:bookmarkEnd w:id="136"/>
      <w:r>
        <w:rPr>
          <w:rFonts w:hint="eastAsia" w:ascii="楷体_GB2312" w:hAnsi="楷体_GB2312" w:eastAsia="楷体_GB2312" w:cs="楷体_GB2312"/>
          <w:sz w:val="30"/>
          <w:szCs w:val="30"/>
        </w:rPr>
        <w:t>以文塑魂，以创致远</w:t>
      </w:r>
      <w:r>
        <w:rPr>
          <w:rFonts w:hint="eastAsia" w:ascii="楷体_GB2312" w:hAnsi="楷体_GB2312" w:eastAsia="楷体_GB2312" w:cs="楷体_GB2312"/>
          <w:sz w:val="30"/>
          <w:szCs w:val="30"/>
          <w:lang w:eastAsia="zh-CN"/>
        </w:rPr>
        <w:t>——</w:t>
      </w:r>
      <w:r>
        <w:rPr>
          <w:rFonts w:hint="eastAsia" w:ascii="楷体_GB2312" w:hAnsi="楷体_GB2312" w:eastAsia="楷体_GB2312" w:cs="楷体_GB2312"/>
          <w:sz w:val="30"/>
          <w:szCs w:val="30"/>
        </w:rPr>
        <w:t>“古法蓝染”非遗项目赋能中职生综合素养培育</w:t>
      </w:r>
      <w:bookmarkEnd w:id="137"/>
      <w:bookmarkEnd w:id="138"/>
      <w:bookmarkEnd w:id="139"/>
      <w:bookmarkEnd w:id="140"/>
      <w:bookmarkEnd w:id="141"/>
      <w:bookmarkEnd w:id="142"/>
      <w:bookmarkEnd w:id="143"/>
      <w:bookmarkEnd w:id="144"/>
      <w:bookmarkEnd w:id="145"/>
    </w:p>
    <w:p w14:paraId="5BD90BF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在当前国家大力弘扬中华优秀传统文化、职业教育强调“德技并修”的背景下，</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14:textFill>
            <w14:solidFill>
              <w14:schemeClr w14:val="tx1"/>
            </w14:solidFill>
          </w14:textFill>
        </w:rPr>
        <w:t>积极探索将非物质文化遗产传承与创新创业教育相融合的育人新路径。“古法蓝染”项目应运而生，其核心理念是：以非遗技艺为育人载体，超越单纯的手工传承，培育学生的文化自信、工匠精神、创新思维与商业素养，使之成为高素质技术技能人才的孵化地。</w:t>
      </w:r>
    </w:p>
    <w:p w14:paraId="49A83A5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项目以学生社团为主体，构建了“三维一体”的实施体系。在文化维度，开设工作坊与非遗传承人讲座，引导学生深入理解蓝染的历史脉络与文化象征，筑牢传承的根基</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在技艺维度，建立校内工坊，实行“老生带新生”的梯队培养模式，学生从图样设计、布料处理、浸染氧化到后期加工，全程实操，锤炼精益求精的工匠精神</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在创新创业维度，鼓励学生进行产品创新（如开发文创饰品、家居用品系列），并组建运营团队，负责品牌建设。</w:t>
      </w:r>
    </w:p>
    <w:p w14:paraId="2AFC10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楷体_GB2312" w:hAnsi="方正楷体_GB2312" w:eastAsia="方正楷体_GB2312" w:cs="方正楷体_GB2312"/>
          <w:snapToGrid w:val="0"/>
          <w:color w:val="000000"/>
          <w:kern w:val="0"/>
          <w:sz w:val="24"/>
          <w:szCs w:val="24"/>
          <w:lang w:val="en-US" w:eastAsia="zh-CN" w:bidi="ar"/>
        </w:rPr>
      </w:pPr>
      <w:r>
        <w:rPr>
          <w:rFonts w:hint="eastAsia" w:ascii="方正楷体_GB2312" w:hAnsi="方正楷体_GB2312" w:eastAsia="方正楷体_GB2312" w:cs="方正楷体_GB2312"/>
          <w:snapToGrid w:val="0"/>
          <w:color w:val="000000"/>
          <w:kern w:val="0"/>
          <w:sz w:val="24"/>
          <w:szCs w:val="24"/>
          <w:lang w:val="en-US" w:eastAsia="zh-CN" w:bidi="ar"/>
        </w:rPr>
        <w:drawing>
          <wp:inline distT="0" distB="0" distL="114300" distR="114300">
            <wp:extent cx="2874645" cy="2160270"/>
            <wp:effectExtent l="0" t="0" r="8255" b="11430"/>
            <wp:docPr id="80" name="图片 80" descr="baf682d24abbf5bd323a21fc013a7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af682d24abbf5bd323a21fc013a7d88"/>
                    <pic:cNvPicPr>
                      <a:picLocks noChangeAspect="1"/>
                    </pic:cNvPicPr>
                  </pic:nvPicPr>
                  <pic:blipFill>
                    <a:blip r:embed="rId30"/>
                    <a:stretch>
                      <a:fillRect/>
                    </a:stretch>
                  </pic:blipFill>
                  <pic:spPr>
                    <a:xfrm>
                      <a:off x="0" y="0"/>
                      <a:ext cx="2874645" cy="2160270"/>
                    </a:xfrm>
                    <a:prstGeom prst="rect">
                      <a:avLst/>
                    </a:prstGeom>
                  </pic:spPr>
                </pic:pic>
              </a:graphicData>
            </a:graphic>
          </wp:inline>
        </w:drawing>
      </w:r>
    </w:p>
    <w:p w14:paraId="144A884A">
      <w:pPr>
        <w:pStyle w:val="6"/>
        <w:jc w:val="center"/>
        <w:rPr>
          <w:rFonts w:hint="eastAsia" w:ascii="方正楷体_GB2312" w:hAnsi="方正楷体_GB2312" w:eastAsia="方正楷体_GB2312" w:cs="方正楷体_GB2312"/>
          <w:snapToGrid w:val="0"/>
          <w:color w:val="000000"/>
          <w:kern w:val="0"/>
          <w:sz w:val="24"/>
          <w:szCs w:val="24"/>
          <w:lang w:val="en-US" w:eastAsia="zh-CN" w:bidi="ar"/>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0</w:t>
      </w:r>
      <w:r>
        <w:rPr>
          <w:rFonts w:hint="eastAsia" w:ascii="楷体_GB2312" w:hAnsi="楷体_GB2312" w:eastAsia="楷体_GB2312" w:cs="楷体_GB2312"/>
          <w:sz w:val="24"/>
        </w:rPr>
        <w:fldChar w:fldCharType="end"/>
      </w:r>
      <w:bookmarkStart w:id="146" w:name="_Toc25207"/>
      <w:r>
        <w:rPr>
          <w:rFonts w:hint="eastAsia" w:ascii="楷体_GB2312" w:hAnsi="楷体_GB2312" w:eastAsia="楷体_GB2312" w:cs="楷体_GB2312"/>
          <w:sz w:val="24"/>
        </w:rPr>
        <w:t xml:space="preserve"> 学生团队参加市大学生夜市</w:t>
      </w:r>
      <w:bookmarkEnd w:id="146"/>
    </w:p>
    <w:p w14:paraId="726B379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项目的实施取得了很好的育人成果与社会反响。在竞赛方面，学生团队项目《巧手成韵 由染而生》，在市级创新创业大赛中获一等奖</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在影响力方面，项目多次参加职业教育成果展、非遗展示活动，被地方主流媒体报道，成为学校的一张文化名片。项目的成功将一名普通中职生，培养为兼具文化传承者、技艺持有者与商业探索者的复合型人才，充分彰显了职业教育在服务文化传承与产业创新中的独特价值。</w:t>
      </w:r>
    </w:p>
    <w:p w14:paraId="63939E7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2.技能大赛推进</w:t>
      </w:r>
      <w:r>
        <w:rPr>
          <w:rFonts w:hint="eastAsia" w:ascii="楷体_GB2312" w:hAnsi="楷体_GB2312" w:eastAsia="楷体_GB2312" w:cs="楷体_GB2312"/>
          <w:color w:val="000000" w:themeColor="text1"/>
          <w:sz w:val="28"/>
          <w:szCs w:val="28"/>
          <w14:textFill>
            <w14:solidFill>
              <w14:schemeClr w14:val="tx1"/>
            </w14:solidFill>
          </w14:textFill>
        </w:rPr>
        <w:t>教学改革与人才培养模式创新</w:t>
      </w:r>
    </w:p>
    <w:p w14:paraId="3507E1D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持续深化“以赛促教、以赛促学、以赛促改、以赛促建”的理念，通过建立常态化的梯队训练与选拔机制，紧密对接产业需求与岗位标准，推动“课赛融通、训赛结合”，使技能训练深度融入专业教学全过程。本年度，学生在各级比赛中展现出优秀的专业素养与实践能力，在2024年第十七届山东省职业院校技能大赛中，学生荣获三等奖6项。承办2024年淄博市“技能兴淄”陶瓷职业技能竞赛陶瓷彩绘和雕塑项目，参加会计综合技能、新能源汽车技术等项目，师生表现突出，共获7个一等奖，5个二等奖，3个三等奖。参加各类技能大赛已成为激发师生潜能、锤炼工匠精神、赋能未来职业发展的关键平台。</w:t>
      </w:r>
    </w:p>
    <w:p w14:paraId="2CBB7A4C">
      <w:pPr>
        <w:ind w:left="560" w:hanging="420" w:hangingChars="200"/>
        <w:jc w:val="center"/>
      </w:pPr>
      <w:r>
        <w:rPr>
          <w:rFonts w:hint="eastAsia" w:eastAsia="宋体"/>
          <w:lang w:eastAsia="zh-CN"/>
        </w:rPr>
        <w:drawing>
          <wp:inline distT="0" distB="0" distL="114300" distR="114300">
            <wp:extent cx="3239770" cy="2160270"/>
            <wp:effectExtent l="0" t="0" r="6350" b="3810"/>
            <wp:docPr id="2" name="图片 2" descr="547eb36b6287aaa097cadf09b967af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47eb36b6287aaa097cadf09b967af53"/>
                    <pic:cNvPicPr>
                      <a:picLocks noChangeAspect="1"/>
                    </pic:cNvPicPr>
                  </pic:nvPicPr>
                  <pic:blipFill>
                    <a:blip r:embed="rId31"/>
                    <a:stretch>
                      <a:fillRect/>
                    </a:stretch>
                  </pic:blipFill>
                  <pic:spPr>
                    <a:xfrm>
                      <a:off x="0" y="0"/>
                      <a:ext cx="3239770" cy="2160270"/>
                    </a:xfrm>
                    <a:prstGeom prst="rect">
                      <a:avLst/>
                    </a:prstGeom>
                  </pic:spPr>
                </pic:pic>
              </a:graphicData>
            </a:graphic>
          </wp:inline>
        </w:drawing>
      </w:r>
    </w:p>
    <w:p w14:paraId="283C9CD4">
      <w:pPr>
        <w:pStyle w:val="6"/>
        <w:ind w:firstLine="2160" w:firstLineChars="900"/>
        <w:rPr>
          <w:rFonts w:ascii="楷体_GB2312" w:hAnsi="楷体_GB2312" w:eastAsia="楷体_GB2312" w:cs="楷体_GB2312"/>
          <w:color w:val="000000" w:themeColor="text1"/>
          <w:sz w:val="24"/>
          <w14:textFill>
            <w14:solidFill>
              <w14:schemeClr w14:val="tx1"/>
            </w14:solidFill>
          </w14:textFill>
        </w:rPr>
      </w:pPr>
      <w:bookmarkStart w:id="147" w:name="_Toc3470"/>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end"/>
      </w:r>
      <w:bookmarkStart w:id="148" w:name="_Toc26640"/>
      <w:bookmarkStart w:id="149" w:name="_Toc22850"/>
      <w:bookmarkStart w:id="150" w:name="_Toc15796"/>
      <w:bookmarkStart w:id="151" w:name="_Toc21258"/>
      <w:r>
        <w:rPr>
          <w:rFonts w:hint="eastAsia" w:ascii="楷体_GB2312" w:hAnsi="楷体_GB2312" w:eastAsia="楷体_GB2312" w:cs="楷体_GB2312"/>
          <w:sz w:val="24"/>
        </w:rPr>
        <w:t xml:space="preserve"> </w:t>
      </w:r>
      <w:bookmarkEnd w:id="147"/>
      <w:bookmarkEnd w:id="148"/>
      <w:bookmarkEnd w:id="149"/>
      <w:bookmarkEnd w:id="150"/>
      <w:r>
        <w:rPr>
          <w:rFonts w:hint="eastAsia" w:ascii="楷体_GB2312" w:hAnsi="楷体_GB2312" w:eastAsia="楷体_GB2312" w:cs="楷体_GB2312"/>
          <w:sz w:val="24"/>
          <w:szCs w:val="24"/>
        </w:rPr>
        <w:t>2024年淄博市“技能兴淄”陶瓷职业技能竞赛</w:t>
      </w:r>
      <w:bookmarkEnd w:id="151"/>
    </w:p>
    <w:p w14:paraId="78BF104A">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152" w:name="_Toc621"/>
      <w:bookmarkStart w:id="153" w:name="_Toc22907"/>
      <w:bookmarkStart w:id="154" w:name="_Toc21632"/>
      <w:bookmarkStart w:id="155" w:name="_Toc24466"/>
      <w:bookmarkStart w:id="156" w:name="_Toc6661"/>
      <w:bookmarkStart w:id="157" w:name="_Toc8880"/>
      <w:bookmarkStart w:id="158" w:name="_Toc7003"/>
      <w:bookmarkStart w:id="159" w:name="_Toc3778"/>
      <w:bookmarkStart w:id="160" w:name="_Toc17391"/>
      <w:bookmarkStart w:id="161" w:name="_Toc8782"/>
      <w:bookmarkStart w:id="162" w:name="_Toc32633"/>
      <w:bookmarkStart w:id="163" w:name="_Toc11075"/>
      <w:bookmarkStart w:id="164" w:name="_Toc11618"/>
      <w:bookmarkStart w:id="165" w:name="_Toc10062"/>
      <w:bookmarkStart w:id="166" w:name="_Toc17558"/>
      <w:bookmarkStart w:id="167" w:name="_Toc21787"/>
      <w:bookmarkStart w:id="168" w:name="_Toc8373"/>
      <w:bookmarkStart w:id="169" w:name="_Toc20826"/>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1-8</w:t>
      </w:r>
      <w:r>
        <w:rPr>
          <w:rFonts w:hint="eastAsia" w:ascii="楷体_GB2312" w:hAnsi="楷体_GB2312" w:eastAsia="楷体_GB2312" w:cs="楷体_GB2312"/>
          <w:sz w:val="30"/>
          <w:szCs w:val="30"/>
        </w:rPr>
        <w:t>：</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Pr>
          <w:rFonts w:hint="eastAsia" w:ascii="楷体_GB2312" w:hAnsi="楷体_GB2312" w:eastAsia="楷体_GB2312" w:cs="楷体_GB2312"/>
          <w:sz w:val="30"/>
          <w:szCs w:val="30"/>
        </w:rPr>
        <w:t>“三维赋能”技能大赛育人模式创新实践</w:t>
      </w:r>
      <w:bookmarkEnd w:id="167"/>
      <w:bookmarkEnd w:id="168"/>
      <w:bookmarkEnd w:id="169"/>
    </w:p>
    <w:p w14:paraId="39F1EE6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为有效破解在技能大赛中长期存在的“赛事与教学脱节”“资源投入不均”“成果转化不足”三大难题，</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14:textFill>
            <w14:solidFill>
              <w14:schemeClr w14:val="tx1"/>
            </w14:solidFill>
          </w14:textFill>
        </w:rPr>
        <w:t>坚持以“以赛促教、以赛促学、以赛促改、以赛促建”为核心导向，创新构建了“三维赋能”技能大赛育人模式。该模式旨在实现学生成长、教师发展与专业建设三个维度协同共进：学生维度培养一批竞赛尖兵，带动整体技能水平提升；教师维度打造双师型教学创新团队；专业维度推动课程体系与产业需求动态对接。</w:t>
      </w:r>
    </w:p>
    <w:p w14:paraId="43EE0FA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构建</w:t>
      </w:r>
      <w:r>
        <w:rPr>
          <w:rFonts w:hint="eastAsia" w:ascii="仿宋_GB2312" w:hAnsi="仿宋" w:eastAsia="仿宋_GB2312"/>
          <w:color w:val="000000" w:themeColor="text1"/>
          <w:sz w:val="28"/>
          <w:szCs w:val="28"/>
          <w:lang w:eastAsia="zh-CN"/>
          <w14:textFill>
            <w14:solidFill>
              <w14:schemeClr w14:val="tx1"/>
            </w14:solidFill>
          </w14:textFill>
        </w:rPr>
        <w:t>了</w:t>
      </w:r>
      <w:r>
        <w:rPr>
          <w:rFonts w:hint="eastAsia" w:ascii="仿宋_GB2312" w:hAnsi="仿宋" w:eastAsia="仿宋_GB2312"/>
          <w:color w:val="000000" w:themeColor="text1"/>
          <w:sz w:val="28"/>
          <w:szCs w:val="28"/>
          <w14:textFill>
            <w14:solidFill>
              <w14:schemeClr w14:val="tx1"/>
            </w14:solidFill>
          </w14:textFill>
        </w:rPr>
        <w:t>“金字塔式”全员参与、梯队递进体系。夯实塔基，实现全员覆盖</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将市级及以上技能大赛标准、规程与评价要求融入各专业人才培养方案与课程教学，面向一年级学生开设必修课程，激发学生兴趣；组织二年级学生参与“校级技能节”，营造“人人练技能、层层有选拔”的浓厚氛围。筑强塔身，实施梯队培养：建立健全“兴趣小组——校级集训队——市/省级参赛队”三级递进式培养梯队。实施科学化、动态化管理机制，每年进行考核与人员更新，确保梯队活力与水平持续提升</w:t>
      </w:r>
      <w:r>
        <w:rPr>
          <w:rFonts w:hint="eastAsia" w:ascii="仿宋_GB2312" w:hAnsi="仿宋" w:eastAsia="仿宋_GB2312"/>
          <w:color w:val="000000" w:themeColor="text1"/>
          <w:sz w:val="28"/>
          <w:szCs w:val="28"/>
          <w:lang w:eastAsia="zh-CN"/>
          <w14:textFill>
            <w14:solidFill>
              <w14:schemeClr w14:val="tx1"/>
            </w14:solidFill>
          </w14:textFill>
        </w:rPr>
        <w:t>。</w:t>
      </w:r>
    </w:p>
    <w:p w14:paraId="10AF9097">
      <w:pPr>
        <w:jc w:val="center"/>
      </w:pPr>
      <w:r>
        <w:rPr>
          <w:rFonts w:hint="eastAsia" w:ascii="仿宋_GB2312" w:hAnsi="仿宋_GB2312" w:eastAsia="仿宋_GB2312" w:cs="仿宋_GB2312"/>
          <w:sz w:val="28"/>
          <w:szCs w:val="28"/>
          <w:lang w:val="en-US" w:eastAsia="zh-CN"/>
        </w:rPr>
        <w:drawing>
          <wp:inline distT="0" distB="0" distL="114300" distR="114300">
            <wp:extent cx="2881630" cy="2160270"/>
            <wp:effectExtent l="0" t="0" r="13970" b="3810"/>
            <wp:docPr id="83" name="图片 83" descr="451a9bd2dd55058c783a5f26f73141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451a9bd2dd55058c783a5f26f73141f3"/>
                    <pic:cNvPicPr>
                      <a:picLocks noChangeAspect="1"/>
                    </pic:cNvPicPr>
                  </pic:nvPicPr>
                  <pic:blipFill>
                    <a:blip r:embed="rId32"/>
                    <a:stretch>
                      <a:fillRect/>
                    </a:stretch>
                  </pic:blipFill>
                  <pic:spPr>
                    <a:xfrm>
                      <a:off x="0" y="0"/>
                      <a:ext cx="2881630" cy="2160270"/>
                    </a:xfrm>
                    <a:prstGeom prst="rect">
                      <a:avLst/>
                    </a:prstGeom>
                  </pic:spPr>
                </pic:pic>
              </a:graphicData>
            </a:graphic>
          </wp:inline>
        </w:drawing>
      </w:r>
    </w:p>
    <w:p w14:paraId="6F2064D7">
      <w:pPr>
        <w:pStyle w:val="6"/>
        <w:jc w:val="center"/>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2</w:t>
      </w:r>
      <w:r>
        <w:rPr>
          <w:rFonts w:hint="eastAsia" w:ascii="楷体_GB2312" w:hAnsi="楷体_GB2312" w:eastAsia="楷体_GB2312" w:cs="楷体_GB2312"/>
          <w:sz w:val="24"/>
        </w:rPr>
        <w:fldChar w:fldCharType="end"/>
      </w:r>
      <w:bookmarkStart w:id="170" w:name="_Toc16380"/>
      <w:r>
        <w:rPr>
          <w:rFonts w:hint="eastAsia" w:ascii="楷体_GB2312" w:hAnsi="楷体_GB2312" w:eastAsia="楷体_GB2312" w:cs="楷体_GB2312"/>
          <w:sz w:val="24"/>
        </w:rPr>
        <w:t xml:space="preserve"> 技能大赛学生集训</w:t>
      </w:r>
      <w:bookmarkEnd w:id="170"/>
    </w:p>
    <w:p w14:paraId="4F6CFA4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淬炼塔尖，聚焦精英攻坚</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集中优势资源，为重点赛项配备精锐师资。一是打造高水平“教练型”教学团队。成立由国赛、省赛、市赛获奖教师组成的“技能大师工作室”，聚焦赛项难点开展协同攻关。二是创新教师发展机制。推行“训、赛、研”一体化教师专业发展模式，明确将指导技能大赛的业绩与经历纳入教师职称评聘、评优评先的重要依据</w:t>
      </w:r>
      <w:r>
        <w:rPr>
          <w:rFonts w:hint="eastAsia" w:ascii="仿宋_GB2312" w:hAnsi="仿宋" w:eastAsia="仿宋_GB2312"/>
          <w:color w:val="000000" w:themeColor="text1"/>
          <w:sz w:val="28"/>
          <w:szCs w:val="28"/>
          <w:lang w:eastAsia="zh-CN"/>
          <w14:textFill>
            <w14:solidFill>
              <w14:schemeClr w14:val="tx1"/>
            </w14:solidFill>
          </w14:textFill>
        </w:rPr>
        <w:t>。</w:t>
      </w:r>
    </w:p>
    <w:p w14:paraId="200FCF64">
      <w:pPr>
        <w:jc w:val="center"/>
      </w:pPr>
      <w:r>
        <w:rPr>
          <w:rFonts w:hint="eastAsia" w:ascii="仿宋_GB2312" w:hAnsi="仿宋_GB2312" w:eastAsia="仿宋_GB2312" w:cs="仿宋_GB2312"/>
          <w:sz w:val="28"/>
          <w:szCs w:val="28"/>
          <w:lang w:val="en-US" w:eastAsia="zh-CN"/>
        </w:rPr>
        <w:drawing>
          <wp:inline distT="0" distB="0" distL="114300" distR="114300">
            <wp:extent cx="3241040" cy="2160270"/>
            <wp:effectExtent l="0" t="0" r="5080" b="3810"/>
            <wp:docPr id="85" name="图片 85" descr="f42db5908763442f0376be17ab188c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42db5908763442f0376be17ab188c46"/>
                    <pic:cNvPicPr>
                      <a:picLocks noChangeAspect="1"/>
                    </pic:cNvPicPr>
                  </pic:nvPicPr>
                  <pic:blipFill>
                    <a:blip r:embed="rId33"/>
                    <a:stretch>
                      <a:fillRect/>
                    </a:stretch>
                  </pic:blipFill>
                  <pic:spPr>
                    <a:xfrm>
                      <a:off x="0" y="0"/>
                      <a:ext cx="3241040" cy="2160270"/>
                    </a:xfrm>
                    <a:prstGeom prst="rect">
                      <a:avLst/>
                    </a:prstGeom>
                  </pic:spPr>
                </pic:pic>
              </a:graphicData>
            </a:graphic>
          </wp:inline>
        </w:drawing>
      </w:r>
    </w:p>
    <w:p w14:paraId="796D14E6">
      <w:pPr>
        <w:pStyle w:val="6"/>
        <w:jc w:val="center"/>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3</w:t>
      </w:r>
      <w:r>
        <w:rPr>
          <w:rFonts w:hint="eastAsia" w:ascii="楷体_GB2312" w:hAnsi="楷体_GB2312" w:eastAsia="楷体_GB2312" w:cs="楷体_GB2312"/>
          <w:sz w:val="24"/>
        </w:rPr>
        <w:fldChar w:fldCharType="end"/>
      </w:r>
      <w:bookmarkStart w:id="171" w:name="_Toc7956"/>
      <w:r>
        <w:rPr>
          <w:rFonts w:hint="eastAsia" w:ascii="楷体_GB2312" w:hAnsi="楷体_GB2312" w:eastAsia="楷体_GB2312" w:cs="楷体_GB2312"/>
          <w:sz w:val="24"/>
        </w:rPr>
        <w:t xml:space="preserve"> 学生参加淄博市技能大赛</w:t>
      </w:r>
      <w:bookmarkEnd w:id="171"/>
    </w:p>
    <w:p w14:paraId="52EED88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本年度，通过“三维赋能”模式的深入实施，学校技能大赛工作实现了从“点上突破”到“面上开花”、从“赛绩提升”到“育人提质”的深刻转变。师生在各级各类技能大赛中屡创佳绩，不仅彰显了学校的办学实力与人才培养质量，更有力地反哺了日常教学、促进了产教融合，为学校高质量发展注入了强劲动力，持续贡献着不可或缺的“大赛力量。</w:t>
      </w:r>
    </w:p>
    <w:p w14:paraId="0C6442BD">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172" w:name="_Toc3407"/>
      <w:r>
        <w:rPr>
          <w:rFonts w:hint="eastAsia" w:ascii="黑体" w:hAnsi="黑体" w:eastAsia="黑体" w:cs="黑体"/>
          <w:b w:val="0"/>
          <w:bCs w:val="0"/>
          <w:sz w:val="30"/>
          <w:szCs w:val="30"/>
          <w:lang w:val="en-US" w:eastAsia="zh-CN"/>
        </w:rPr>
        <w:t>（四）</w:t>
      </w:r>
      <w:r>
        <w:rPr>
          <w:rFonts w:hint="eastAsia" w:ascii="黑体" w:hAnsi="黑体" w:eastAsia="黑体" w:cs="黑体"/>
          <w:b w:val="0"/>
          <w:bCs w:val="0"/>
          <w:sz w:val="30"/>
          <w:szCs w:val="30"/>
        </w:rPr>
        <w:t>专业</w:t>
      </w:r>
      <w:r>
        <w:rPr>
          <w:rFonts w:hint="eastAsia" w:ascii="黑体" w:hAnsi="黑体" w:eastAsia="黑体" w:cs="黑体"/>
          <w:b w:val="0"/>
          <w:bCs w:val="0"/>
          <w:sz w:val="30"/>
          <w:szCs w:val="30"/>
          <w:lang w:val="en-US" w:eastAsia="zh-CN"/>
        </w:rPr>
        <w:t>与课程</w:t>
      </w:r>
      <w:r>
        <w:rPr>
          <w:rFonts w:hint="eastAsia" w:ascii="黑体" w:hAnsi="黑体" w:eastAsia="黑体" w:cs="黑体"/>
          <w:b w:val="0"/>
          <w:bCs w:val="0"/>
          <w:sz w:val="30"/>
          <w:szCs w:val="30"/>
        </w:rPr>
        <w:t>建设</w:t>
      </w:r>
      <w:bookmarkEnd w:id="172"/>
    </w:p>
    <w:p w14:paraId="357EF1A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1.动态调整专业设置</w:t>
      </w:r>
    </w:p>
    <w:p w14:paraId="2D4AAE4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紧密围绕区域经济发展与产业转型升级需求，坚持以服务发展为宗旨，以促进就业为导向，持续完善专业动态调整与优化机制。本年度，学校进一步明确了高水平专业群建设目标，在升级传统优势专业的同时，积极布局新兴领域，增设了“虚拟现实技术与应用”专业，旨在培养适应数字经济发展所需的复合型技术技能人才。该专业聚焦虚拟现实内容制作、交互开发与应用维护等核心能力，深度对接文化创意、智能制造、数字营销等本地重点产业，为学生开辟了新的成长通道。</w:t>
      </w:r>
    </w:p>
    <w:p w14:paraId="318BBD5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目前，学校构建了涵盖智能制造、现代服务、数字艺术等多领域的专业体系，开设专业共计16个，其中9个专业为五年制高职专业。包括山东省品牌专业4个、山东省高水平中等职业学校建设计划重点建设专业2个、淄博市特色化专业6个、山东省现代学徒制试点建设专业1个。所有专业与区域重点产业的对接匹配度持续保持较高水平，形成了结构合理、优势互补、特色鲜明的专业布局，有效满足了学生多样化学习与长远职业发展的需求，实现了人才培养与产业需求的高质量对接。</w:t>
      </w:r>
    </w:p>
    <w:p w14:paraId="65D1BEA6">
      <w:pPr>
        <w:pStyle w:val="6"/>
        <w:jc w:val="center"/>
        <w:rPr>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表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4</w:t>
      </w:r>
      <w:r>
        <w:rPr>
          <w:rFonts w:hint="eastAsia" w:ascii="楷体_GB2312" w:hAnsi="楷体_GB2312" w:eastAsia="楷体_GB2312" w:cs="楷体_GB2312"/>
          <w:sz w:val="24"/>
        </w:rPr>
        <w:fldChar w:fldCharType="end"/>
      </w:r>
      <w:bookmarkStart w:id="173" w:name="_Toc7276"/>
      <w:r>
        <w:rPr>
          <w:rFonts w:hint="eastAsia" w:ascii="楷体_GB2312" w:hAnsi="楷体_GB2312" w:eastAsia="楷体_GB2312" w:cs="楷体_GB2312"/>
          <w:sz w:val="24"/>
        </w:rPr>
        <w:t xml:space="preserve"> 淄博理工学校专业设置目录</w:t>
      </w:r>
      <w:bookmarkEnd w:id="173"/>
    </w:p>
    <w:tbl>
      <w:tblPr>
        <w:tblStyle w:val="18"/>
        <w:tblW w:w="87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229"/>
        <w:gridCol w:w="1800"/>
        <w:gridCol w:w="2515"/>
        <w:gridCol w:w="2400"/>
      </w:tblGrid>
      <w:tr w14:paraId="0F71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90" w:type="dxa"/>
            <w:noWrap w:val="0"/>
            <w:vAlign w:val="center"/>
          </w:tcPr>
          <w:p w14:paraId="204C391A">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b/>
                <w:bCs/>
                <w:kern w:val="2"/>
                <w:sz w:val="21"/>
                <w:szCs w:val="21"/>
                <w:lang w:val="en-US" w:eastAsia="zh-CN" w:bidi="ar-SA"/>
              </w:rPr>
            </w:pPr>
            <w:r>
              <w:rPr>
                <w:rFonts w:hint="eastAsia" w:ascii="仿宋_GB2312" w:hAnsi="仿宋_GB2312" w:eastAsia="仿宋_GB2312" w:cs="仿宋_GB2312"/>
                <w:b/>
                <w:bCs/>
                <w:kern w:val="2"/>
                <w:sz w:val="21"/>
                <w:szCs w:val="21"/>
                <w:lang w:val="en-US" w:eastAsia="zh-CN" w:bidi="ar-SA"/>
              </w:rPr>
              <w:t>序号</w:t>
            </w:r>
          </w:p>
        </w:tc>
        <w:tc>
          <w:tcPr>
            <w:tcW w:w="1229" w:type="dxa"/>
            <w:noWrap w:val="0"/>
            <w:vAlign w:val="center"/>
          </w:tcPr>
          <w:p w14:paraId="525D0C81">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b/>
                <w:bCs/>
                <w:kern w:val="2"/>
                <w:sz w:val="21"/>
                <w:szCs w:val="21"/>
                <w:lang w:val="en-US" w:eastAsia="zh-CN" w:bidi="ar-SA"/>
              </w:rPr>
            </w:pPr>
            <w:r>
              <w:rPr>
                <w:rFonts w:hint="eastAsia" w:ascii="仿宋_GB2312" w:hAnsi="仿宋_GB2312" w:eastAsia="仿宋_GB2312" w:cs="仿宋_GB2312"/>
                <w:b/>
                <w:bCs/>
                <w:kern w:val="2"/>
                <w:sz w:val="21"/>
                <w:szCs w:val="21"/>
                <w:lang w:val="en-US" w:eastAsia="zh-CN" w:bidi="ar-SA"/>
              </w:rPr>
              <w:t>专业代码</w:t>
            </w:r>
          </w:p>
        </w:tc>
        <w:tc>
          <w:tcPr>
            <w:tcW w:w="1800" w:type="dxa"/>
            <w:noWrap w:val="0"/>
            <w:vAlign w:val="center"/>
          </w:tcPr>
          <w:p w14:paraId="22E59C00">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b/>
                <w:bCs/>
                <w:kern w:val="2"/>
                <w:sz w:val="21"/>
                <w:szCs w:val="21"/>
                <w:lang w:val="en-US" w:eastAsia="zh-CN" w:bidi="ar-SA"/>
              </w:rPr>
            </w:pPr>
            <w:r>
              <w:rPr>
                <w:rFonts w:hint="eastAsia" w:ascii="仿宋_GB2312" w:hAnsi="仿宋_GB2312" w:eastAsia="仿宋_GB2312" w:cs="仿宋_GB2312"/>
                <w:b/>
                <w:bCs/>
                <w:kern w:val="2"/>
                <w:sz w:val="21"/>
                <w:szCs w:val="21"/>
                <w:lang w:val="en-US" w:eastAsia="zh-CN" w:bidi="ar-SA"/>
              </w:rPr>
              <w:t>专业大类</w:t>
            </w:r>
          </w:p>
        </w:tc>
        <w:tc>
          <w:tcPr>
            <w:tcW w:w="2515" w:type="dxa"/>
            <w:noWrap w:val="0"/>
            <w:vAlign w:val="center"/>
          </w:tcPr>
          <w:p w14:paraId="6A9EF145">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b/>
                <w:bCs/>
                <w:kern w:val="2"/>
                <w:sz w:val="21"/>
                <w:szCs w:val="21"/>
                <w:lang w:val="en-US" w:eastAsia="zh-CN" w:bidi="ar-SA"/>
              </w:rPr>
            </w:pPr>
            <w:r>
              <w:rPr>
                <w:rFonts w:hint="eastAsia" w:ascii="仿宋_GB2312" w:hAnsi="仿宋_GB2312" w:eastAsia="仿宋_GB2312" w:cs="仿宋_GB2312"/>
                <w:b/>
                <w:bCs/>
                <w:kern w:val="2"/>
                <w:sz w:val="21"/>
                <w:szCs w:val="21"/>
                <w:lang w:val="en-US" w:eastAsia="zh-CN" w:bidi="ar-SA"/>
              </w:rPr>
              <w:t>专业名称</w:t>
            </w:r>
          </w:p>
        </w:tc>
        <w:tc>
          <w:tcPr>
            <w:tcW w:w="2400" w:type="dxa"/>
            <w:noWrap w:val="0"/>
            <w:vAlign w:val="center"/>
          </w:tcPr>
          <w:p w14:paraId="22552232">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b/>
                <w:bCs/>
                <w:kern w:val="2"/>
                <w:sz w:val="21"/>
                <w:szCs w:val="21"/>
                <w:lang w:val="en-US" w:eastAsia="zh-CN" w:bidi="ar-SA"/>
              </w:rPr>
            </w:pPr>
            <w:r>
              <w:rPr>
                <w:rFonts w:hint="eastAsia" w:ascii="仿宋_GB2312" w:hAnsi="仿宋_GB2312" w:eastAsia="仿宋_GB2312" w:cs="仿宋_GB2312"/>
                <w:b/>
                <w:bCs/>
                <w:kern w:val="2"/>
                <w:sz w:val="21"/>
                <w:szCs w:val="21"/>
                <w:lang w:val="en-US" w:eastAsia="zh-CN" w:bidi="ar-SA"/>
              </w:rPr>
              <w:t>建设水平</w:t>
            </w:r>
          </w:p>
        </w:tc>
      </w:tr>
      <w:tr w14:paraId="3AA19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7" w:hRule="atLeast"/>
          <w:jc w:val="center"/>
        </w:trPr>
        <w:tc>
          <w:tcPr>
            <w:tcW w:w="790" w:type="dxa"/>
            <w:noWrap w:val="0"/>
            <w:vAlign w:val="center"/>
          </w:tcPr>
          <w:p w14:paraId="75E2BD6F">
            <w:pPr>
              <w:pStyle w:val="33"/>
              <w:keepNext w:val="0"/>
              <w:keepLines w:val="0"/>
              <w:pageBreakBefore w:val="0"/>
              <w:widowControl w:val="0"/>
              <w:kinsoku/>
              <w:wordWrap/>
              <w:overflowPunct/>
              <w:topLinePunct w:val="0"/>
              <w:autoSpaceDE/>
              <w:autoSpaceDN/>
              <w:bidi w:val="0"/>
              <w:adjustRightInd/>
              <w:snapToGrid/>
              <w:spacing w:before="147"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1</w:t>
            </w:r>
          </w:p>
        </w:tc>
        <w:tc>
          <w:tcPr>
            <w:tcW w:w="1229" w:type="dxa"/>
            <w:noWrap w:val="0"/>
            <w:vAlign w:val="center"/>
          </w:tcPr>
          <w:p w14:paraId="3C968B44">
            <w:pPr>
              <w:keepNext w:val="0"/>
              <w:keepLines w:val="0"/>
              <w:pageBreakBefore w:val="0"/>
              <w:widowControl w:val="0"/>
              <w:kinsoku/>
              <w:wordWrap/>
              <w:overflowPunct/>
              <w:topLinePunct w:val="0"/>
              <w:autoSpaceDE/>
              <w:autoSpaceDN/>
              <w:bidi w:val="0"/>
              <w:adjustRightInd/>
              <w:snapToGrid/>
              <w:spacing w:before="118" w:line="240" w:lineRule="auto"/>
              <w:ind w:left="116"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680402</w:t>
            </w:r>
          </w:p>
        </w:tc>
        <w:tc>
          <w:tcPr>
            <w:tcW w:w="1800" w:type="dxa"/>
            <w:noWrap w:val="0"/>
            <w:vAlign w:val="center"/>
          </w:tcPr>
          <w:p w14:paraId="55409D5A">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轻工纺织类</w:t>
            </w:r>
          </w:p>
        </w:tc>
        <w:tc>
          <w:tcPr>
            <w:tcW w:w="2515" w:type="dxa"/>
            <w:noWrap w:val="0"/>
            <w:vAlign w:val="center"/>
          </w:tcPr>
          <w:p w14:paraId="367464B7">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服装设计与工艺</w:t>
            </w:r>
          </w:p>
        </w:tc>
        <w:tc>
          <w:tcPr>
            <w:tcW w:w="2400" w:type="dxa"/>
            <w:noWrap w:val="0"/>
            <w:vAlign w:val="center"/>
          </w:tcPr>
          <w:p w14:paraId="7C75FB98">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省品牌专业</w:t>
            </w:r>
          </w:p>
          <w:p w14:paraId="3B1A46B3">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省高水平重点建设专业</w:t>
            </w:r>
          </w:p>
          <w:p w14:paraId="7F0CA355">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6E97030F">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77022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5F771B83">
            <w:pPr>
              <w:pStyle w:val="33"/>
              <w:keepNext w:val="0"/>
              <w:keepLines w:val="0"/>
              <w:pageBreakBefore w:val="0"/>
              <w:widowControl w:val="0"/>
              <w:kinsoku/>
              <w:wordWrap/>
              <w:overflowPunct/>
              <w:topLinePunct w:val="0"/>
              <w:autoSpaceDE/>
              <w:autoSpaceDN/>
              <w:bidi w:val="0"/>
              <w:adjustRightInd/>
              <w:snapToGrid/>
              <w:spacing w:before="149"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2</w:t>
            </w:r>
          </w:p>
        </w:tc>
        <w:tc>
          <w:tcPr>
            <w:tcW w:w="1229" w:type="dxa"/>
            <w:shd w:val="clear" w:color="auto" w:fill="auto"/>
            <w:noWrap w:val="0"/>
            <w:vAlign w:val="center"/>
          </w:tcPr>
          <w:p w14:paraId="75B457A5">
            <w:pPr>
              <w:keepNext w:val="0"/>
              <w:keepLines w:val="0"/>
              <w:pageBreakBefore w:val="0"/>
              <w:widowControl w:val="0"/>
              <w:kinsoku/>
              <w:wordWrap/>
              <w:overflowPunct/>
              <w:topLinePunct w:val="0"/>
              <w:autoSpaceDE/>
              <w:autoSpaceDN/>
              <w:bidi w:val="0"/>
              <w:adjustRightInd/>
              <w:snapToGrid/>
              <w:spacing w:before="119" w:line="240" w:lineRule="auto"/>
              <w:ind w:left="118"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680401</w:t>
            </w:r>
          </w:p>
        </w:tc>
        <w:tc>
          <w:tcPr>
            <w:tcW w:w="1800" w:type="dxa"/>
            <w:shd w:val="clear" w:color="auto" w:fill="auto"/>
            <w:noWrap w:val="0"/>
            <w:vAlign w:val="center"/>
          </w:tcPr>
          <w:p w14:paraId="2337AD94">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轻工纺织类</w:t>
            </w:r>
          </w:p>
        </w:tc>
        <w:tc>
          <w:tcPr>
            <w:tcW w:w="2515" w:type="dxa"/>
            <w:shd w:val="clear" w:color="auto" w:fill="auto"/>
            <w:noWrap w:val="0"/>
            <w:vAlign w:val="center"/>
          </w:tcPr>
          <w:p w14:paraId="3CEBBCAA">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纺织技术与服务</w:t>
            </w:r>
          </w:p>
        </w:tc>
        <w:tc>
          <w:tcPr>
            <w:tcW w:w="2400" w:type="dxa"/>
            <w:shd w:val="clear" w:color="auto" w:fill="auto"/>
            <w:noWrap w:val="0"/>
            <w:vAlign w:val="center"/>
          </w:tcPr>
          <w:p w14:paraId="08758B9D">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省品牌专业</w:t>
            </w:r>
          </w:p>
          <w:p w14:paraId="164E0950">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省现代学徒制试点专业</w:t>
            </w:r>
          </w:p>
          <w:p w14:paraId="34411B72">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01F328B0">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24FD0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566FBCD7">
            <w:pPr>
              <w:pStyle w:val="33"/>
              <w:keepNext w:val="0"/>
              <w:keepLines w:val="0"/>
              <w:pageBreakBefore w:val="0"/>
              <w:widowControl w:val="0"/>
              <w:kinsoku/>
              <w:wordWrap/>
              <w:overflowPunct/>
              <w:topLinePunct w:val="0"/>
              <w:autoSpaceDE/>
              <w:autoSpaceDN/>
              <w:bidi w:val="0"/>
              <w:adjustRightInd/>
              <w:snapToGrid/>
              <w:spacing w:before="148"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3</w:t>
            </w:r>
          </w:p>
        </w:tc>
        <w:tc>
          <w:tcPr>
            <w:tcW w:w="1229" w:type="dxa"/>
            <w:shd w:val="clear" w:color="auto" w:fill="auto"/>
            <w:noWrap w:val="0"/>
            <w:vAlign w:val="center"/>
          </w:tcPr>
          <w:p w14:paraId="6D2BBD68">
            <w:pPr>
              <w:keepNext w:val="0"/>
              <w:keepLines w:val="0"/>
              <w:pageBreakBefore w:val="0"/>
              <w:widowControl w:val="0"/>
              <w:kinsoku/>
              <w:wordWrap/>
              <w:overflowPunct/>
              <w:topLinePunct w:val="0"/>
              <w:autoSpaceDE/>
              <w:autoSpaceDN/>
              <w:bidi w:val="0"/>
              <w:adjustRightInd/>
              <w:snapToGrid/>
              <w:spacing w:before="118" w:line="240" w:lineRule="auto"/>
              <w:ind w:left="124"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660103</w:t>
            </w:r>
          </w:p>
        </w:tc>
        <w:tc>
          <w:tcPr>
            <w:tcW w:w="1800" w:type="dxa"/>
            <w:shd w:val="clear" w:color="auto" w:fill="auto"/>
            <w:noWrap w:val="0"/>
            <w:vAlign w:val="center"/>
          </w:tcPr>
          <w:p w14:paraId="0F2DCF72">
            <w:pPr>
              <w:keepNext w:val="0"/>
              <w:keepLines w:val="0"/>
              <w:pageBreakBefore w:val="0"/>
              <w:widowControl w:val="0"/>
              <w:kinsoku/>
              <w:wordWrap/>
              <w:overflowPunct/>
              <w:topLinePunct w:val="0"/>
              <w:autoSpaceDE/>
              <w:autoSpaceDN/>
              <w:bidi w:val="0"/>
              <w:adjustRightInd/>
              <w:snapToGrid/>
              <w:spacing w:before="119" w:line="240" w:lineRule="auto"/>
              <w:ind w:left="118"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装备制造大类</w:t>
            </w:r>
          </w:p>
        </w:tc>
        <w:tc>
          <w:tcPr>
            <w:tcW w:w="2515" w:type="dxa"/>
            <w:shd w:val="clear" w:color="auto" w:fill="auto"/>
            <w:noWrap w:val="0"/>
            <w:vAlign w:val="center"/>
          </w:tcPr>
          <w:p w14:paraId="10C20524">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数控技术应用</w:t>
            </w:r>
          </w:p>
        </w:tc>
        <w:tc>
          <w:tcPr>
            <w:tcW w:w="2400" w:type="dxa"/>
            <w:shd w:val="clear" w:color="auto" w:fill="auto"/>
            <w:noWrap w:val="0"/>
            <w:vAlign w:val="center"/>
          </w:tcPr>
          <w:p w14:paraId="346493B5">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省品牌专业</w:t>
            </w:r>
          </w:p>
          <w:p w14:paraId="5080343A">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省高水平重点建设专业</w:t>
            </w:r>
          </w:p>
          <w:p w14:paraId="7AF8DF5F">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27082D39">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63D90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52F354AB">
            <w:pPr>
              <w:pStyle w:val="33"/>
              <w:keepNext w:val="0"/>
              <w:keepLines w:val="0"/>
              <w:pageBreakBefore w:val="0"/>
              <w:widowControl w:val="0"/>
              <w:kinsoku/>
              <w:wordWrap/>
              <w:overflowPunct/>
              <w:topLinePunct w:val="0"/>
              <w:autoSpaceDE/>
              <w:autoSpaceDN/>
              <w:bidi w:val="0"/>
              <w:adjustRightInd/>
              <w:snapToGrid/>
              <w:spacing w:before="148"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4</w:t>
            </w:r>
          </w:p>
        </w:tc>
        <w:tc>
          <w:tcPr>
            <w:tcW w:w="1229" w:type="dxa"/>
            <w:shd w:val="clear" w:color="auto" w:fill="auto"/>
            <w:noWrap w:val="0"/>
            <w:vAlign w:val="center"/>
          </w:tcPr>
          <w:p w14:paraId="658CADE7">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660202</w:t>
            </w:r>
          </w:p>
        </w:tc>
        <w:tc>
          <w:tcPr>
            <w:tcW w:w="1800" w:type="dxa"/>
            <w:shd w:val="clear" w:color="auto" w:fill="auto"/>
            <w:noWrap w:val="0"/>
            <w:vAlign w:val="center"/>
          </w:tcPr>
          <w:p w14:paraId="5B875AE2">
            <w:pPr>
              <w:keepNext w:val="0"/>
              <w:keepLines w:val="0"/>
              <w:pageBreakBefore w:val="0"/>
              <w:widowControl w:val="0"/>
              <w:kinsoku/>
              <w:wordWrap/>
              <w:overflowPunct/>
              <w:topLinePunct w:val="0"/>
              <w:autoSpaceDE/>
              <w:autoSpaceDN/>
              <w:bidi w:val="0"/>
              <w:adjustRightInd/>
              <w:snapToGrid/>
              <w:spacing w:before="119" w:line="240" w:lineRule="auto"/>
              <w:ind w:left="118"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装备制造大类</w:t>
            </w:r>
          </w:p>
        </w:tc>
        <w:tc>
          <w:tcPr>
            <w:tcW w:w="2515" w:type="dxa"/>
            <w:shd w:val="clear" w:color="auto" w:fill="auto"/>
            <w:noWrap w:val="0"/>
            <w:vAlign w:val="center"/>
          </w:tcPr>
          <w:p w14:paraId="02077044">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智能设备运行与维护</w:t>
            </w:r>
          </w:p>
        </w:tc>
        <w:tc>
          <w:tcPr>
            <w:tcW w:w="2400" w:type="dxa"/>
            <w:shd w:val="clear" w:color="auto" w:fill="auto"/>
            <w:noWrap w:val="0"/>
            <w:vAlign w:val="center"/>
          </w:tcPr>
          <w:p w14:paraId="385626D9">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59CF1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7BAE9708">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5</w:t>
            </w:r>
          </w:p>
        </w:tc>
        <w:tc>
          <w:tcPr>
            <w:tcW w:w="1229" w:type="dxa"/>
            <w:noWrap w:val="0"/>
            <w:vAlign w:val="center"/>
          </w:tcPr>
          <w:p w14:paraId="75BD20FC">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750106</w:t>
            </w:r>
          </w:p>
        </w:tc>
        <w:tc>
          <w:tcPr>
            <w:tcW w:w="1800" w:type="dxa"/>
            <w:noWrap w:val="0"/>
            <w:vAlign w:val="center"/>
          </w:tcPr>
          <w:p w14:paraId="2687537E">
            <w:pPr>
              <w:keepNext w:val="0"/>
              <w:keepLines w:val="0"/>
              <w:pageBreakBefore w:val="0"/>
              <w:widowControl w:val="0"/>
              <w:kinsoku/>
              <w:wordWrap/>
              <w:overflowPunct/>
              <w:topLinePunct w:val="0"/>
              <w:autoSpaceDE/>
              <w:autoSpaceDN/>
              <w:bidi w:val="0"/>
              <w:adjustRightInd/>
              <w:snapToGrid/>
              <w:spacing w:before="120" w:line="240" w:lineRule="auto"/>
              <w:ind w:left="115"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文化艺术大类</w:t>
            </w:r>
          </w:p>
        </w:tc>
        <w:tc>
          <w:tcPr>
            <w:tcW w:w="2515" w:type="dxa"/>
            <w:noWrap w:val="0"/>
            <w:vAlign w:val="center"/>
          </w:tcPr>
          <w:p w14:paraId="0845D690">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工艺美术</w:t>
            </w:r>
          </w:p>
        </w:tc>
        <w:tc>
          <w:tcPr>
            <w:tcW w:w="2400" w:type="dxa"/>
            <w:noWrap w:val="0"/>
            <w:vAlign w:val="center"/>
          </w:tcPr>
          <w:p w14:paraId="53FDC19A">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省品牌专业</w:t>
            </w:r>
          </w:p>
          <w:p w14:paraId="26A84A88">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78C832E5">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11817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521CFC4E">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w:t>
            </w:r>
          </w:p>
        </w:tc>
        <w:tc>
          <w:tcPr>
            <w:tcW w:w="1229" w:type="dxa"/>
            <w:noWrap w:val="0"/>
            <w:vAlign w:val="center"/>
          </w:tcPr>
          <w:p w14:paraId="1C6B0E3A">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700206</w:t>
            </w:r>
          </w:p>
        </w:tc>
        <w:tc>
          <w:tcPr>
            <w:tcW w:w="1800" w:type="dxa"/>
            <w:noWrap w:val="0"/>
            <w:vAlign w:val="center"/>
          </w:tcPr>
          <w:p w14:paraId="6531DAF8">
            <w:pPr>
              <w:keepNext w:val="0"/>
              <w:keepLines w:val="0"/>
              <w:pageBreakBefore w:val="0"/>
              <w:widowControl w:val="0"/>
              <w:kinsoku/>
              <w:wordWrap/>
              <w:overflowPunct/>
              <w:topLinePunct w:val="0"/>
              <w:autoSpaceDE/>
              <w:autoSpaceDN/>
              <w:bidi w:val="0"/>
              <w:adjustRightInd/>
              <w:snapToGrid/>
              <w:spacing w:before="119" w:line="240" w:lineRule="auto"/>
              <w:ind w:left="115"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交通运输大类</w:t>
            </w:r>
          </w:p>
        </w:tc>
        <w:tc>
          <w:tcPr>
            <w:tcW w:w="2515" w:type="dxa"/>
            <w:noWrap w:val="0"/>
            <w:vAlign w:val="center"/>
          </w:tcPr>
          <w:p w14:paraId="03B5EF3F">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汽车运用与维修</w:t>
            </w:r>
          </w:p>
        </w:tc>
        <w:tc>
          <w:tcPr>
            <w:tcW w:w="2400" w:type="dxa"/>
            <w:noWrap w:val="0"/>
            <w:vAlign w:val="center"/>
          </w:tcPr>
          <w:p w14:paraId="4E17C7FA">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4F06CD9B">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1A750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noWrap w:val="0"/>
            <w:vAlign w:val="center"/>
          </w:tcPr>
          <w:p w14:paraId="5639DD15">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w:t>
            </w:r>
          </w:p>
        </w:tc>
        <w:tc>
          <w:tcPr>
            <w:tcW w:w="1229" w:type="dxa"/>
            <w:shd w:val="clear" w:color="auto" w:fill="auto"/>
            <w:noWrap w:val="0"/>
            <w:vAlign w:val="center"/>
          </w:tcPr>
          <w:p w14:paraId="23EE5DED">
            <w:pPr>
              <w:keepNext w:val="0"/>
              <w:keepLines w:val="0"/>
              <w:pageBreakBefore w:val="0"/>
              <w:widowControl w:val="0"/>
              <w:kinsoku/>
              <w:wordWrap/>
              <w:overflowPunct/>
              <w:topLinePunct w:val="0"/>
              <w:autoSpaceDE/>
              <w:autoSpaceDN/>
              <w:bidi w:val="0"/>
              <w:adjustRightInd/>
              <w:snapToGrid/>
              <w:spacing w:before="119" w:line="240" w:lineRule="auto"/>
              <w:ind w:left="115"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700209</w:t>
            </w:r>
          </w:p>
        </w:tc>
        <w:tc>
          <w:tcPr>
            <w:tcW w:w="1800" w:type="dxa"/>
            <w:shd w:val="clear" w:color="auto" w:fill="auto"/>
            <w:noWrap w:val="0"/>
            <w:vAlign w:val="center"/>
          </w:tcPr>
          <w:p w14:paraId="0DD684BC">
            <w:pPr>
              <w:keepNext w:val="0"/>
              <w:keepLines w:val="0"/>
              <w:pageBreakBefore w:val="0"/>
              <w:widowControl w:val="0"/>
              <w:kinsoku/>
              <w:wordWrap/>
              <w:overflowPunct/>
              <w:topLinePunct w:val="0"/>
              <w:autoSpaceDE/>
              <w:autoSpaceDN/>
              <w:bidi w:val="0"/>
              <w:adjustRightInd/>
              <w:snapToGrid/>
              <w:spacing w:before="119" w:line="240" w:lineRule="auto"/>
              <w:ind w:left="115"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交通运输大类</w:t>
            </w:r>
          </w:p>
        </w:tc>
        <w:tc>
          <w:tcPr>
            <w:tcW w:w="2515" w:type="dxa"/>
            <w:shd w:val="clear" w:color="auto" w:fill="auto"/>
            <w:noWrap w:val="0"/>
            <w:vAlign w:val="center"/>
          </w:tcPr>
          <w:p w14:paraId="5E825917">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新能源汽车运用与维修</w:t>
            </w:r>
          </w:p>
        </w:tc>
        <w:tc>
          <w:tcPr>
            <w:tcW w:w="2400" w:type="dxa"/>
            <w:shd w:val="clear" w:color="auto" w:fill="auto"/>
            <w:noWrap w:val="0"/>
            <w:vAlign w:val="center"/>
          </w:tcPr>
          <w:p w14:paraId="77A21E82">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538F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30275B46">
            <w:pPr>
              <w:pStyle w:val="33"/>
              <w:keepNext w:val="0"/>
              <w:keepLines w:val="0"/>
              <w:pageBreakBefore w:val="0"/>
              <w:widowControl w:val="0"/>
              <w:kinsoku/>
              <w:wordWrap/>
              <w:overflowPunct/>
              <w:topLinePunct w:val="0"/>
              <w:autoSpaceDE/>
              <w:autoSpaceDN/>
              <w:bidi w:val="0"/>
              <w:adjustRightInd/>
              <w:snapToGrid/>
              <w:spacing w:before="15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8</w:t>
            </w:r>
          </w:p>
        </w:tc>
        <w:tc>
          <w:tcPr>
            <w:tcW w:w="1229" w:type="dxa"/>
            <w:shd w:val="clear" w:color="auto" w:fill="auto"/>
            <w:noWrap w:val="0"/>
            <w:vAlign w:val="center"/>
          </w:tcPr>
          <w:p w14:paraId="5ADB85A9">
            <w:pPr>
              <w:keepNext w:val="0"/>
              <w:keepLines w:val="0"/>
              <w:pageBreakBefore w:val="0"/>
              <w:widowControl w:val="0"/>
              <w:kinsoku/>
              <w:wordWrap/>
              <w:overflowPunct/>
              <w:topLinePunct w:val="0"/>
              <w:autoSpaceDE/>
              <w:autoSpaceDN/>
              <w:bidi w:val="0"/>
              <w:adjustRightInd/>
              <w:snapToGrid/>
              <w:spacing w:before="119" w:line="240" w:lineRule="auto"/>
              <w:ind w:left="118"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710204</w:t>
            </w:r>
          </w:p>
        </w:tc>
        <w:tc>
          <w:tcPr>
            <w:tcW w:w="1800" w:type="dxa"/>
            <w:shd w:val="clear" w:color="auto" w:fill="auto"/>
            <w:noWrap w:val="0"/>
            <w:vAlign w:val="center"/>
          </w:tcPr>
          <w:p w14:paraId="2ABDA02D">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电子与信息大类</w:t>
            </w:r>
          </w:p>
        </w:tc>
        <w:tc>
          <w:tcPr>
            <w:tcW w:w="2515" w:type="dxa"/>
            <w:shd w:val="clear" w:color="auto" w:fill="auto"/>
            <w:noWrap w:val="0"/>
            <w:vAlign w:val="center"/>
          </w:tcPr>
          <w:p w14:paraId="5ABEE675">
            <w:pPr>
              <w:pStyle w:val="8"/>
              <w:keepNext w:val="0"/>
              <w:keepLines w:val="0"/>
              <w:pageBreakBefore w:val="0"/>
              <w:widowControl w:val="0"/>
              <w:tabs>
                <w:tab w:val="left" w:pos="504"/>
              </w:tabs>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数字媒体技术应用</w:t>
            </w:r>
          </w:p>
        </w:tc>
        <w:tc>
          <w:tcPr>
            <w:tcW w:w="2400" w:type="dxa"/>
            <w:shd w:val="clear" w:color="auto" w:fill="auto"/>
            <w:noWrap w:val="0"/>
            <w:vAlign w:val="center"/>
          </w:tcPr>
          <w:p w14:paraId="04696BB7">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市级特色化专业</w:t>
            </w:r>
          </w:p>
          <w:p w14:paraId="6A952718">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4A708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3CCCF7F4">
            <w:pPr>
              <w:pStyle w:val="33"/>
              <w:keepNext w:val="0"/>
              <w:keepLines w:val="0"/>
              <w:pageBreakBefore w:val="0"/>
              <w:widowControl w:val="0"/>
              <w:kinsoku/>
              <w:wordWrap/>
              <w:overflowPunct/>
              <w:topLinePunct w:val="0"/>
              <w:autoSpaceDE/>
              <w:autoSpaceDN/>
              <w:bidi w:val="0"/>
              <w:adjustRightInd/>
              <w:snapToGrid/>
              <w:spacing w:before="15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9</w:t>
            </w:r>
          </w:p>
        </w:tc>
        <w:tc>
          <w:tcPr>
            <w:tcW w:w="1229" w:type="dxa"/>
            <w:shd w:val="clear" w:color="auto" w:fill="auto"/>
            <w:noWrap w:val="0"/>
            <w:vAlign w:val="center"/>
          </w:tcPr>
          <w:p w14:paraId="2A57B269">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710205</w:t>
            </w:r>
          </w:p>
        </w:tc>
        <w:tc>
          <w:tcPr>
            <w:tcW w:w="1800" w:type="dxa"/>
            <w:shd w:val="clear" w:color="auto" w:fill="auto"/>
            <w:noWrap w:val="0"/>
            <w:vAlign w:val="center"/>
          </w:tcPr>
          <w:p w14:paraId="454E058A">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电子与信息大类</w:t>
            </w:r>
          </w:p>
        </w:tc>
        <w:tc>
          <w:tcPr>
            <w:tcW w:w="2515" w:type="dxa"/>
            <w:shd w:val="clear" w:color="auto" w:fill="auto"/>
            <w:noWrap w:val="0"/>
            <w:vAlign w:val="center"/>
          </w:tcPr>
          <w:p w14:paraId="61F49254">
            <w:pPr>
              <w:pStyle w:val="8"/>
              <w:keepNext w:val="0"/>
              <w:keepLines w:val="0"/>
              <w:pageBreakBefore w:val="0"/>
              <w:widowControl w:val="0"/>
              <w:tabs>
                <w:tab w:val="left" w:pos="504"/>
              </w:tabs>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大数据技术应用</w:t>
            </w:r>
          </w:p>
        </w:tc>
        <w:tc>
          <w:tcPr>
            <w:tcW w:w="2400" w:type="dxa"/>
            <w:shd w:val="clear" w:color="auto" w:fill="auto"/>
            <w:noWrap w:val="0"/>
            <w:vAlign w:val="center"/>
          </w:tcPr>
          <w:p w14:paraId="427E39D1">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79023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18958595">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10</w:t>
            </w:r>
          </w:p>
        </w:tc>
        <w:tc>
          <w:tcPr>
            <w:tcW w:w="1229" w:type="dxa"/>
            <w:noWrap w:val="0"/>
            <w:vAlign w:val="center"/>
          </w:tcPr>
          <w:p w14:paraId="1F236974">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710201</w:t>
            </w:r>
          </w:p>
        </w:tc>
        <w:tc>
          <w:tcPr>
            <w:tcW w:w="1800" w:type="dxa"/>
            <w:noWrap w:val="0"/>
            <w:vAlign w:val="center"/>
          </w:tcPr>
          <w:p w14:paraId="3AF90100">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电子与信息大类</w:t>
            </w:r>
          </w:p>
        </w:tc>
        <w:tc>
          <w:tcPr>
            <w:tcW w:w="2515" w:type="dxa"/>
            <w:noWrap w:val="0"/>
            <w:vAlign w:val="center"/>
          </w:tcPr>
          <w:p w14:paraId="286DF2AA">
            <w:pPr>
              <w:pStyle w:val="8"/>
              <w:keepNext w:val="0"/>
              <w:keepLines w:val="0"/>
              <w:pageBreakBefore w:val="0"/>
              <w:widowControl w:val="0"/>
              <w:tabs>
                <w:tab w:val="left" w:pos="504"/>
              </w:tabs>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计算机应用</w:t>
            </w:r>
          </w:p>
        </w:tc>
        <w:tc>
          <w:tcPr>
            <w:tcW w:w="2400" w:type="dxa"/>
            <w:noWrap w:val="0"/>
            <w:vAlign w:val="center"/>
          </w:tcPr>
          <w:p w14:paraId="5CE00F67">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09E65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277EE90D">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11</w:t>
            </w:r>
          </w:p>
        </w:tc>
        <w:tc>
          <w:tcPr>
            <w:tcW w:w="1229" w:type="dxa"/>
            <w:noWrap w:val="0"/>
            <w:vAlign w:val="center"/>
          </w:tcPr>
          <w:p w14:paraId="34906FAA">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510208</w:t>
            </w:r>
          </w:p>
        </w:tc>
        <w:tc>
          <w:tcPr>
            <w:tcW w:w="1800" w:type="dxa"/>
            <w:noWrap w:val="0"/>
            <w:vAlign w:val="center"/>
          </w:tcPr>
          <w:p w14:paraId="10FA2E9A">
            <w:pPr>
              <w:keepNext w:val="0"/>
              <w:keepLines w:val="0"/>
              <w:pageBreakBefore w:val="0"/>
              <w:widowControl w:val="0"/>
              <w:kinsoku/>
              <w:wordWrap/>
              <w:overflowPunct/>
              <w:topLinePunct w:val="0"/>
              <w:autoSpaceDE/>
              <w:autoSpaceDN/>
              <w:bidi w:val="0"/>
              <w:adjustRightInd/>
              <w:snapToGrid/>
              <w:spacing w:before="119" w:line="240" w:lineRule="auto"/>
              <w:ind w:left="126"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电子与信息大类</w:t>
            </w:r>
          </w:p>
        </w:tc>
        <w:tc>
          <w:tcPr>
            <w:tcW w:w="2515" w:type="dxa"/>
            <w:noWrap w:val="0"/>
            <w:vAlign w:val="center"/>
          </w:tcPr>
          <w:p w14:paraId="6C190AFB">
            <w:pPr>
              <w:pStyle w:val="8"/>
              <w:keepNext w:val="0"/>
              <w:keepLines w:val="0"/>
              <w:pageBreakBefore w:val="0"/>
              <w:widowControl w:val="0"/>
              <w:tabs>
                <w:tab w:val="left" w:pos="504"/>
              </w:tabs>
              <w:kinsoku/>
              <w:wordWrap/>
              <w:overflowPunct/>
              <w:topLinePunct w:val="0"/>
              <w:autoSpaceDE/>
              <w:autoSpaceDN/>
              <w:bidi w:val="0"/>
              <w:adjustRightInd/>
              <w:snapToGrid/>
              <w:spacing w:before="72"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虚拟现实技术与应用</w:t>
            </w:r>
          </w:p>
        </w:tc>
        <w:tc>
          <w:tcPr>
            <w:tcW w:w="2400" w:type="dxa"/>
            <w:noWrap w:val="0"/>
            <w:vAlign w:val="center"/>
          </w:tcPr>
          <w:p w14:paraId="56DBF85F">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0623D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3C9D5EDC">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12</w:t>
            </w:r>
          </w:p>
        </w:tc>
        <w:tc>
          <w:tcPr>
            <w:tcW w:w="1229" w:type="dxa"/>
            <w:noWrap w:val="0"/>
            <w:vAlign w:val="center"/>
          </w:tcPr>
          <w:p w14:paraId="7277412B">
            <w:pPr>
              <w:keepNext w:val="0"/>
              <w:keepLines w:val="0"/>
              <w:pageBreakBefore w:val="0"/>
              <w:widowControl w:val="0"/>
              <w:kinsoku/>
              <w:wordWrap/>
              <w:overflowPunct/>
              <w:topLinePunct w:val="0"/>
              <w:autoSpaceDE/>
              <w:autoSpaceDN/>
              <w:bidi w:val="0"/>
              <w:adjustRightInd/>
              <w:snapToGrid/>
              <w:spacing w:before="119" w:line="240" w:lineRule="auto"/>
              <w:ind w:left="115"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640301</w:t>
            </w:r>
          </w:p>
        </w:tc>
        <w:tc>
          <w:tcPr>
            <w:tcW w:w="1800" w:type="dxa"/>
            <w:noWrap w:val="0"/>
            <w:vAlign w:val="center"/>
          </w:tcPr>
          <w:p w14:paraId="57B85841">
            <w:pPr>
              <w:keepNext w:val="0"/>
              <w:keepLines w:val="0"/>
              <w:pageBreakBefore w:val="0"/>
              <w:widowControl w:val="0"/>
              <w:kinsoku/>
              <w:wordWrap/>
              <w:overflowPunct/>
              <w:topLinePunct w:val="0"/>
              <w:autoSpaceDE/>
              <w:autoSpaceDN/>
              <w:bidi w:val="0"/>
              <w:adjustRightInd/>
              <w:snapToGrid/>
              <w:spacing w:before="118" w:line="240" w:lineRule="auto"/>
              <w:ind w:left="116"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土木建筑大类</w:t>
            </w:r>
          </w:p>
        </w:tc>
        <w:tc>
          <w:tcPr>
            <w:tcW w:w="2515" w:type="dxa"/>
            <w:noWrap w:val="0"/>
            <w:vAlign w:val="center"/>
          </w:tcPr>
          <w:p w14:paraId="06158309">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建筑工程施工</w:t>
            </w:r>
          </w:p>
        </w:tc>
        <w:tc>
          <w:tcPr>
            <w:tcW w:w="2400" w:type="dxa"/>
            <w:noWrap w:val="0"/>
            <w:vAlign w:val="center"/>
          </w:tcPr>
          <w:p w14:paraId="2121ADB5">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7E4F5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798CB7B0">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1"/>
                <w:szCs w:val="21"/>
                <w:lang w:val="en-US" w:eastAsia="zh-CN" w:bidi="ar-SA"/>
              </w:rPr>
              <w:t>13</w:t>
            </w:r>
          </w:p>
        </w:tc>
        <w:tc>
          <w:tcPr>
            <w:tcW w:w="1229" w:type="dxa"/>
            <w:noWrap w:val="0"/>
            <w:vAlign w:val="center"/>
          </w:tcPr>
          <w:p w14:paraId="277EFCFC">
            <w:pPr>
              <w:keepNext w:val="0"/>
              <w:keepLines w:val="0"/>
              <w:pageBreakBefore w:val="0"/>
              <w:widowControl w:val="0"/>
              <w:kinsoku/>
              <w:wordWrap/>
              <w:overflowPunct/>
              <w:topLinePunct w:val="0"/>
              <w:autoSpaceDE/>
              <w:autoSpaceDN/>
              <w:bidi w:val="0"/>
              <w:adjustRightInd/>
              <w:snapToGrid/>
              <w:spacing w:before="119" w:line="240" w:lineRule="auto"/>
              <w:ind w:left="117" w:leftChars="0"/>
              <w:jc w:val="center"/>
              <w:textAlignment w:val="auto"/>
              <w:rPr>
                <w:rFonts w:hint="default"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2"/>
                <w:szCs w:val="22"/>
                <w:lang w:val="en-US" w:eastAsia="zh-CN" w:bidi="ar-SA"/>
              </w:rPr>
              <w:t>730301</w:t>
            </w:r>
          </w:p>
        </w:tc>
        <w:tc>
          <w:tcPr>
            <w:tcW w:w="1800" w:type="dxa"/>
            <w:noWrap w:val="0"/>
            <w:vAlign w:val="center"/>
          </w:tcPr>
          <w:p w14:paraId="11AC0DD9">
            <w:pPr>
              <w:keepNext w:val="0"/>
              <w:keepLines w:val="0"/>
              <w:pageBreakBefore w:val="0"/>
              <w:widowControl w:val="0"/>
              <w:kinsoku/>
              <w:wordWrap/>
              <w:overflowPunct/>
              <w:topLinePunct w:val="0"/>
              <w:autoSpaceDE/>
              <w:autoSpaceDN/>
              <w:bidi w:val="0"/>
              <w:adjustRightInd/>
              <w:snapToGrid/>
              <w:spacing w:before="119" w:line="240" w:lineRule="auto"/>
              <w:ind w:left="117" w:leftChars="0"/>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2"/>
                <w:szCs w:val="22"/>
                <w:lang w:val="en-US" w:eastAsia="zh-CN" w:bidi="ar-SA"/>
              </w:rPr>
              <w:t>财经商贸大类</w:t>
            </w:r>
          </w:p>
        </w:tc>
        <w:tc>
          <w:tcPr>
            <w:tcW w:w="2515" w:type="dxa"/>
            <w:noWrap w:val="0"/>
            <w:vAlign w:val="center"/>
          </w:tcPr>
          <w:p w14:paraId="4BB55DD6">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r>
              <w:rPr>
                <w:rFonts w:hint="eastAsia" w:ascii="仿宋_GB2312" w:hAnsi="仿宋_GB2312" w:eastAsia="仿宋_GB2312" w:cs="仿宋_GB2312"/>
                <w:kern w:val="2"/>
                <w:sz w:val="22"/>
                <w:szCs w:val="22"/>
                <w:lang w:val="en-US" w:eastAsia="zh-CN" w:bidi="ar-SA"/>
              </w:rPr>
              <w:t>会计事务</w:t>
            </w:r>
          </w:p>
        </w:tc>
        <w:tc>
          <w:tcPr>
            <w:tcW w:w="2400" w:type="dxa"/>
            <w:noWrap w:val="0"/>
            <w:vAlign w:val="center"/>
          </w:tcPr>
          <w:p w14:paraId="394FB25E">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105D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15017A30">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14</w:t>
            </w:r>
          </w:p>
        </w:tc>
        <w:tc>
          <w:tcPr>
            <w:tcW w:w="1229" w:type="dxa"/>
            <w:noWrap w:val="0"/>
            <w:vAlign w:val="center"/>
          </w:tcPr>
          <w:p w14:paraId="1F9CC2A5">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740101</w:t>
            </w:r>
          </w:p>
        </w:tc>
        <w:tc>
          <w:tcPr>
            <w:tcW w:w="1800" w:type="dxa"/>
            <w:noWrap w:val="0"/>
            <w:vAlign w:val="center"/>
          </w:tcPr>
          <w:p w14:paraId="04345153">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旅游大类</w:t>
            </w:r>
          </w:p>
        </w:tc>
        <w:tc>
          <w:tcPr>
            <w:tcW w:w="2515" w:type="dxa"/>
            <w:noWrap w:val="0"/>
            <w:vAlign w:val="center"/>
          </w:tcPr>
          <w:p w14:paraId="4D7A22AF">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旅游服务与管理</w:t>
            </w:r>
          </w:p>
        </w:tc>
        <w:tc>
          <w:tcPr>
            <w:tcW w:w="2400" w:type="dxa"/>
            <w:noWrap w:val="0"/>
            <w:vAlign w:val="center"/>
          </w:tcPr>
          <w:p w14:paraId="6A2AC2CC">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r w14:paraId="2B49D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4BDF96B8">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15</w:t>
            </w:r>
          </w:p>
        </w:tc>
        <w:tc>
          <w:tcPr>
            <w:tcW w:w="1229" w:type="dxa"/>
            <w:noWrap w:val="0"/>
            <w:vAlign w:val="center"/>
          </w:tcPr>
          <w:p w14:paraId="00AEC5D0">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130100</w:t>
            </w:r>
          </w:p>
        </w:tc>
        <w:tc>
          <w:tcPr>
            <w:tcW w:w="1800" w:type="dxa"/>
            <w:noWrap w:val="0"/>
            <w:vAlign w:val="center"/>
          </w:tcPr>
          <w:p w14:paraId="4A68E961">
            <w:pPr>
              <w:keepNext w:val="0"/>
              <w:keepLines w:val="0"/>
              <w:pageBreakBefore w:val="0"/>
              <w:widowControl w:val="0"/>
              <w:kinsoku/>
              <w:wordWrap/>
              <w:overflowPunct/>
              <w:topLinePunct w:val="0"/>
              <w:autoSpaceDE/>
              <w:autoSpaceDN/>
              <w:bidi w:val="0"/>
              <w:adjustRightInd/>
              <w:snapToGrid/>
              <w:spacing w:before="120" w:line="240" w:lineRule="auto"/>
              <w:ind w:left="114" w:leftChars="0"/>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旅游大类</w:t>
            </w:r>
          </w:p>
        </w:tc>
        <w:tc>
          <w:tcPr>
            <w:tcW w:w="2515" w:type="dxa"/>
            <w:noWrap w:val="0"/>
            <w:vAlign w:val="center"/>
          </w:tcPr>
          <w:p w14:paraId="7FE2C9C9">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高星级饭店运营与管理</w:t>
            </w:r>
          </w:p>
        </w:tc>
        <w:tc>
          <w:tcPr>
            <w:tcW w:w="2400" w:type="dxa"/>
            <w:noWrap w:val="0"/>
            <w:vAlign w:val="center"/>
          </w:tcPr>
          <w:p w14:paraId="129B4742">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1"/>
                <w:szCs w:val="21"/>
                <w:lang w:val="en-US" w:eastAsia="zh-CN" w:bidi="ar-SA"/>
              </w:rPr>
            </w:pPr>
          </w:p>
        </w:tc>
      </w:tr>
      <w:tr w14:paraId="4BBF7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shd w:val="clear" w:color="auto" w:fill="auto"/>
            <w:noWrap w:val="0"/>
            <w:vAlign w:val="center"/>
          </w:tcPr>
          <w:p w14:paraId="097FC3B2">
            <w:pPr>
              <w:pStyle w:val="33"/>
              <w:keepNext w:val="0"/>
              <w:keepLines w:val="0"/>
              <w:pageBreakBefore w:val="0"/>
              <w:widowControl w:val="0"/>
              <w:kinsoku/>
              <w:wordWrap/>
              <w:overflowPunct/>
              <w:topLinePunct w:val="0"/>
              <w:autoSpaceDE/>
              <w:autoSpaceDN/>
              <w:bidi w:val="0"/>
              <w:adjustRightInd/>
              <w:snapToGrid/>
              <w:spacing w:before="150" w:line="240" w:lineRule="auto"/>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16</w:t>
            </w:r>
          </w:p>
        </w:tc>
        <w:tc>
          <w:tcPr>
            <w:tcW w:w="1229" w:type="dxa"/>
            <w:noWrap w:val="0"/>
            <w:vAlign w:val="center"/>
          </w:tcPr>
          <w:p w14:paraId="45C02C7A">
            <w:pPr>
              <w:keepNext w:val="0"/>
              <w:keepLines w:val="0"/>
              <w:pageBreakBefore w:val="0"/>
              <w:widowControl w:val="0"/>
              <w:kinsoku/>
              <w:wordWrap/>
              <w:overflowPunct/>
              <w:topLinePunct w:val="0"/>
              <w:autoSpaceDE/>
              <w:autoSpaceDN/>
              <w:bidi w:val="0"/>
              <w:adjustRightInd/>
              <w:snapToGrid/>
              <w:spacing w:before="120" w:line="240" w:lineRule="auto"/>
              <w:ind w:left="115" w:leftChars="0"/>
              <w:jc w:val="center"/>
              <w:textAlignment w:val="auto"/>
              <w:rPr>
                <w:rFonts w:hint="default"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770101</w:t>
            </w:r>
          </w:p>
        </w:tc>
        <w:tc>
          <w:tcPr>
            <w:tcW w:w="1800" w:type="dxa"/>
            <w:noWrap w:val="0"/>
            <w:vAlign w:val="center"/>
          </w:tcPr>
          <w:p w14:paraId="6BB3D611">
            <w:pPr>
              <w:keepNext w:val="0"/>
              <w:keepLines w:val="0"/>
              <w:pageBreakBefore w:val="0"/>
              <w:widowControl w:val="0"/>
              <w:kinsoku/>
              <w:wordWrap/>
              <w:overflowPunct/>
              <w:topLinePunct w:val="0"/>
              <w:autoSpaceDE/>
              <w:autoSpaceDN/>
              <w:bidi w:val="0"/>
              <w:adjustRightInd/>
              <w:snapToGrid/>
              <w:spacing w:before="118" w:line="240" w:lineRule="auto"/>
              <w:ind w:left="124" w:leftChars="0"/>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教育与体育大类</w:t>
            </w:r>
          </w:p>
        </w:tc>
        <w:tc>
          <w:tcPr>
            <w:tcW w:w="2515" w:type="dxa"/>
            <w:noWrap w:val="0"/>
            <w:vAlign w:val="center"/>
          </w:tcPr>
          <w:p w14:paraId="6A081D96">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2"/>
                <w:szCs w:val="22"/>
                <w:lang w:val="en-US" w:eastAsia="zh-CN" w:bidi="ar-SA"/>
              </w:rPr>
              <w:t>幼儿保育</w:t>
            </w:r>
          </w:p>
        </w:tc>
        <w:tc>
          <w:tcPr>
            <w:tcW w:w="2400" w:type="dxa"/>
            <w:noWrap w:val="0"/>
            <w:vAlign w:val="center"/>
          </w:tcPr>
          <w:p w14:paraId="53339F0C">
            <w:pPr>
              <w:pStyle w:val="8"/>
              <w:keepNext w:val="0"/>
              <w:keepLines w:val="0"/>
              <w:pageBreakBefore w:val="0"/>
              <w:widowControl w:val="0"/>
              <w:kinsoku/>
              <w:wordWrap/>
              <w:overflowPunct/>
              <w:topLinePunct w:val="0"/>
              <w:autoSpaceDE/>
              <w:autoSpaceDN/>
              <w:bidi w:val="0"/>
              <w:adjustRightInd/>
              <w:snapToGrid/>
              <w:spacing w:before="72" w:line="240" w:lineRule="auto"/>
              <w:jc w:val="center"/>
              <w:textAlignment w:val="auto"/>
              <w:rPr>
                <w:rFonts w:hint="eastAsia" w:ascii="仿宋_GB2312" w:hAnsi="仿宋_GB2312" w:eastAsia="仿宋_GB2312" w:cs="仿宋_GB2312"/>
                <w:kern w:val="2"/>
                <w:sz w:val="22"/>
                <w:szCs w:val="22"/>
                <w:lang w:val="en-US" w:eastAsia="zh-CN" w:bidi="ar-SA"/>
              </w:rPr>
            </w:pPr>
            <w:r>
              <w:rPr>
                <w:rFonts w:hint="eastAsia" w:ascii="仿宋_GB2312" w:hAnsi="仿宋_GB2312" w:eastAsia="仿宋_GB2312" w:cs="仿宋_GB2312"/>
                <w:kern w:val="2"/>
                <w:sz w:val="21"/>
                <w:szCs w:val="21"/>
                <w:lang w:val="en-US" w:eastAsia="zh-CN" w:bidi="ar-SA"/>
              </w:rPr>
              <w:t>五年制高职专业</w:t>
            </w:r>
          </w:p>
        </w:tc>
      </w:tr>
    </w:tbl>
    <w:p w14:paraId="15E302D1">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lang w:eastAsia="zh-CN"/>
        </w:rPr>
      </w:pPr>
      <w:bookmarkStart w:id="174" w:name="_Toc14968"/>
      <w:bookmarkStart w:id="175" w:name="_Toc31252"/>
      <w:bookmarkStart w:id="176" w:name="_Toc26502"/>
      <w:bookmarkStart w:id="177" w:name="_Toc2569"/>
      <w:bookmarkStart w:id="178" w:name="_Toc28133"/>
      <w:bookmarkStart w:id="179" w:name="_Toc21949"/>
      <w:bookmarkStart w:id="180" w:name="_Toc31870"/>
      <w:bookmarkStart w:id="181" w:name="_Toc10982"/>
      <w:bookmarkStart w:id="182" w:name="_Toc28383"/>
      <w:bookmarkStart w:id="183" w:name="_Toc20084"/>
      <w:bookmarkStart w:id="184" w:name="_Toc24816"/>
      <w:bookmarkStart w:id="185" w:name="_Toc26865"/>
      <w:bookmarkStart w:id="186" w:name="_Toc32012"/>
      <w:bookmarkStart w:id="187" w:name="_Toc32419"/>
      <w:bookmarkStart w:id="188" w:name="_Toc19518"/>
      <w:bookmarkStart w:id="189" w:name="_Toc15767"/>
      <w:bookmarkStart w:id="190" w:name="_Toc3876"/>
      <w:bookmarkStart w:id="191" w:name="_Toc20435"/>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1-9</w:t>
      </w:r>
      <w:r>
        <w:rPr>
          <w:rFonts w:hint="eastAsia" w:ascii="楷体_GB2312" w:hAnsi="楷体_GB2312" w:eastAsia="楷体_GB2312" w:cs="楷体_GB2312"/>
          <w:sz w:val="30"/>
          <w:szCs w:val="30"/>
        </w:rPr>
        <w:t>：</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r>
        <w:rPr>
          <w:rFonts w:hint="eastAsia" w:ascii="楷体_GB2312" w:hAnsi="楷体_GB2312" w:eastAsia="楷体_GB2312" w:cs="楷体_GB2312"/>
          <w:sz w:val="30"/>
          <w:szCs w:val="30"/>
          <w:lang w:val="en-US" w:eastAsia="zh-CN"/>
        </w:rPr>
        <w:t>五年制高职贯通培养初见成效</w:t>
      </w:r>
      <w:bookmarkEnd w:id="189"/>
      <w:bookmarkEnd w:id="190"/>
      <w:bookmarkEnd w:id="191"/>
    </w:p>
    <w:p w14:paraId="72346AD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为响应国家职业教育改革号召，深化中高职衔接人才培养模式创新，</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14:textFill>
            <w14:solidFill>
              <w14:schemeClr w14:val="tx1"/>
            </w14:solidFill>
          </w14:textFill>
        </w:rPr>
        <w:t>立足区域产业发展需求，系统推进五年制高职专业建设，构建起“中职筑基、高职精进、产教融合、岗课赛证”四位一体的人才培养体系。</w:t>
      </w:r>
    </w:p>
    <w:p w14:paraId="4746C90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联合6所联办高职院校，覆盖服装设计与工艺、新能源汽车检测与维修技术、数控技术等9个专业，共同制定人才培养方案，前3年依托</w:t>
      </w: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中职段课程与实训资源（如服纺实训中心、汽修理实车间）筑牢技能基础，后2年衔接对应高职院校（山东轻工职业学院、淄博师范高等专科学校等）的进阶课程，并联合本地企业开展顶岗实习。校企协同，双主体育人提质增效，与鲁泰纺织、普来瑞汽车等多家企业建立合作关系，推行“双导师制”——企业技师与校内教师共同授课、共同指导项目，为中职学校深化中高职衔接、服务区域发展提供了可复制的实践路径。</w:t>
      </w:r>
    </w:p>
    <w:p w14:paraId="24A23A5A">
      <w:pPr>
        <w:jc w:val="center"/>
        <w:rPr>
          <w:rFonts w:ascii="仿宋_GB2312"/>
          <w:sz w:val="32"/>
          <w:szCs w:val="32"/>
        </w:rPr>
      </w:pPr>
      <w:r>
        <w:rPr>
          <w:rFonts w:hint="eastAsia" w:ascii="仿宋" w:hAnsi="仿宋" w:eastAsia="仿宋" w:cs="仿宋"/>
          <w:spacing w:val="3"/>
          <w:sz w:val="28"/>
          <w:szCs w:val="28"/>
          <w:lang w:val="en-US" w:eastAsia="zh-CN"/>
        </w:rPr>
        <w:drawing>
          <wp:inline distT="0" distB="0" distL="114300" distR="114300">
            <wp:extent cx="2880360" cy="2160270"/>
            <wp:effectExtent l="0" t="0" r="0" b="3810"/>
            <wp:docPr id="209" name="图片 209" descr="3e7daa0d6e55d8726489d5a60b36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3e7daa0d6e55d8726489d5a60b362368"/>
                    <pic:cNvPicPr>
                      <a:picLocks noChangeAspect="1"/>
                    </pic:cNvPicPr>
                  </pic:nvPicPr>
                  <pic:blipFill>
                    <a:blip r:embed="rId34"/>
                    <a:stretch>
                      <a:fillRect/>
                    </a:stretch>
                  </pic:blipFill>
                  <pic:spPr>
                    <a:xfrm>
                      <a:off x="0" y="0"/>
                      <a:ext cx="2880360" cy="2160270"/>
                    </a:xfrm>
                    <a:prstGeom prst="rect">
                      <a:avLst/>
                    </a:prstGeom>
                  </pic:spPr>
                </pic:pic>
              </a:graphicData>
            </a:graphic>
          </wp:inline>
        </w:drawing>
      </w:r>
    </w:p>
    <w:p w14:paraId="7D51DB56">
      <w:pPr>
        <w:pStyle w:val="6"/>
        <w:jc w:val="center"/>
        <w:rPr>
          <w:rFonts w:hint="eastAsia" w:ascii="仿宋_GB2312" w:hAnsi="仿宋_GB2312" w:eastAsia="仿宋_GB2312" w:cs="仿宋_GB2312"/>
          <w:color w:val="000000" w:themeColor="text1"/>
          <w:sz w:val="28"/>
          <w:szCs w:val="28"/>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4</w:t>
      </w:r>
      <w:r>
        <w:rPr>
          <w:rFonts w:hint="eastAsia" w:ascii="楷体_GB2312" w:hAnsi="楷体_GB2312" w:eastAsia="楷体_GB2312" w:cs="楷体_GB2312"/>
          <w:sz w:val="24"/>
        </w:rPr>
        <w:fldChar w:fldCharType="end"/>
      </w:r>
      <w:bookmarkStart w:id="192" w:name="_Toc20087"/>
      <w:r>
        <w:rPr>
          <w:rFonts w:hint="eastAsia" w:ascii="楷体_GB2312" w:hAnsi="楷体_GB2312" w:eastAsia="楷体_GB2312" w:cs="楷体_GB2312"/>
          <w:sz w:val="24"/>
        </w:rPr>
        <w:t xml:space="preserve"> 与淄博师范高等专科学校交流座谈</w:t>
      </w:r>
      <w:bookmarkEnd w:id="192"/>
    </w:p>
    <w:p w14:paraId="75BB013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2025年淄博市第十六届职业（技工）院校技能大赛中，</w:t>
      </w: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初中后五年制高职教育专业学生表现优异，斩获佳绩，各专业选手以精湛技能与稳定发挥，集中彰显了</w:t>
      </w: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五年制分段培养模式的育人成效。</w:t>
      </w:r>
    </w:p>
    <w:p w14:paraId="374FC5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仿宋_GB2312" w:hAnsi="方正仿宋_GB2312" w:eastAsia="方正仿宋_GB2312" w:cs="方正仿宋_GB2312"/>
          <w:spacing w:val="3"/>
          <w:sz w:val="28"/>
          <w:szCs w:val="28"/>
          <w:lang w:val="en-US" w:eastAsia="zh-CN"/>
        </w:rPr>
      </w:pPr>
      <w:r>
        <w:rPr>
          <w:rFonts w:hint="eastAsia" w:ascii="方正仿宋_GB2312" w:hAnsi="方正仿宋_GB2312" w:eastAsia="方正仿宋_GB2312" w:cs="方正仿宋_GB2312"/>
          <w:spacing w:val="3"/>
          <w:sz w:val="28"/>
          <w:szCs w:val="28"/>
          <w:lang w:val="en-US" w:eastAsia="zh-CN"/>
        </w:rPr>
        <w:drawing>
          <wp:inline distT="0" distB="0" distL="114300" distR="114300">
            <wp:extent cx="2879725" cy="1920240"/>
            <wp:effectExtent l="0" t="0" r="3175" b="10160"/>
            <wp:docPr id="12" name="图片 12" descr="1d0379008f6f0a59c06ce82c20d937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d0379008f6f0a59c06ce82c20d9379a"/>
                    <pic:cNvPicPr>
                      <a:picLocks noChangeAspect="1"/>
                    </pic:cNvPicPr>
                  </pic:nvPicPr>
                  <pic:blipFill>
                    <a:blip r:embed="rId35"/>
                    <a:stretch>
                      <a:fillRect/>
                    </a:stretch>
                  </pic:blipFill>
                  <pic:spPr>
                    <a:xfrm>
                      <a:off x="0" y="0"/>
                      <a:ext cx="2879725" cy="1920240"/>
                    </a:xfrm>
                    <a:prstGeom prst="rect">
                      <a:avLst/>
                    </a:prstGeom>
                  </pic:spPr>
                </pic:pic>
              </a:graphicData>
            </a:graphic>
          </wp:inline>
        </w:drawing>
      </w:r>
    </w:p>
    <w:p w14:paraId="331C0C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仿宋_GB2312" w:hAnsi="方正仿宋_GB2312" w:eastAsia="方正仿宋_GB2312" w:cs="方正仿宋_GB2312"/>
          <w:spacing w:val="3"/>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5</w:t>
      </w:r>
      <w:r>
        <w:rPr>
          <w:rFonts w:hint="eastAsia" w:ascii="楷体_GB2312" w:hAnsi="楷体_GB2312" w:eastAsia="楷体_GB2312" w:cs="楷体_GB2312"/>
          <w:sz w:val="24"/>
        </w:rPr>
        <w:fldChar w:fldCharType="end"/>
      </w:r>
      <w:bookmarkStart w:id="193" w:name="_Toc18763"/>
      <w:r>
        <w:rPr>
          <w:rFonts w:hint="eastAsia" w:ascii="楷体_GB2312" w:hAnsi="楷体_GB2312" w:eastAsia="楷体_GB2312" w:cs="楷体_GB2312"/>
          <w:sz w:val="24"/>
        </w:rPr>
        <w:t xml:space="preserve"> 初中后五年制高职教育</w:t>
      </w:r>
      <w:r>
        <w:rPr>
          <w:rFonts w:hint="eastAsia" w:ascii="楷体_GB2312" w:hAnsi="楷体_GB2312" w:eastAsia="楷体_GB2312" w:cs="楷体_GB2312"/>
          <w:b w:val="0"/>
          <w:bCs w:val="0"/>
          <w:i w:val="0"/>
          <w:iCs w:val="0"/>
          <w:caps w:val="0"/>
          <w:color w:val="auto"/>
          <w:spacing w:val="0"/>
          <w:sz w:val="24"/>
          <w:szCs w:val="24"/>
          <w:shd w:val="clear" w:fill="FFFFFF"/>
          <w:lang w:val="en-US" w:eastAsia="zh-CN"/>
        </w:rPr>
        <w:t>专业学生参加技能大赛</w:t>
      </w:r>
      <w:bookmarkEnd w:id="193"/>
    </w:p>
    <w:p w14:paraId="29C9B60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b w:val="0"/>
          <w:bCs w:val="0"/>
          <w:sz w:val="30"/>
          <w:szCs w:val="30"/>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学校将持续优化贯通培养模式，强化各专业的产教融合深度，推动五年制高职成为</w:t>
      </w: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人才培养质量提升的核心品牌。</w:t>
      </w:r>
    </w:p>
    <w:p w14:paraId="2866EA6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w:t>
      </w:r>
      <w:r>
        <w:rPr>
          <w:rFonts w:hint="eastAsia" w:ascii="楷体_GB2312" w:hAnsi="楷体_GB2312" w:eastAsia="楷体_GB2312" w:cs="楷体_GB2312"/>
          <w:color w:val="000000" w:themeColor="text1"/>
          <w:sz w:val="28"/>
          <w:szCs w:val="28"/>
          <w14:textFill>
            <w14:solidFill>
              <w14:schemeClr w14:val="tx1"/>
            </w14:solidFill>
          </w14:textFill>
        </w:rPr>
        <w:t>课程建设聚焦实用性与适配性</w:t>
      </w:r>
    </w:p>
    <w:p w14:paraId="282F311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以各专业人才培养方案为核心稳步推进课程体系优化与教学实施，本学年共开设课程195门，全面覆盖学生文化素养培育、职业技能成长等多元学习需求。其中，公共基础课程严格落实开设要求，将思政、语文、历史、数学、英语、公共艺术、体育与健康、计算机应用基础、劳动教育等公共基础课程开齐开足，且新生群体中思政、语文、历史三科使用统编教材的班级比例达到100%，既筑牢了学生的文化素养根基，也确保了公共基础课程的统一育人导向。</w:t>
      </w:r>
    </w:p>
    <w:p w14:paraId="1A23A51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贴合专业培养目标与岗位实际需求，同时紧跟前沿技术发展潮流，学校在现有选修课程体系基础上进一步拓展课程品类，既新增人工智能技术应用等新兴技术方向课程，也纳入摄影、数字绘画、影视剪辑、短视频制作、无人机装调与操控、3D打印等前沿技能类课程，通过多元课程布局，针对性填补了必修课程在岗位适配维度与时代技术维度的延伸空白，助力学生构建更契合职业发展趋势与行业技术迭代节奏的知识技能体系。</w:t>
      </w:r>
    </w:p>
    <w:p w14:paraId="587A72A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3260725" cy="2160270"/>
            <wp:effectExtent l="9525" t="9525" r="19050" b="14605"/>
            <wp:docPr id="210" name="图片 210" descr="c5db6613a1358b0bf879ab7152adb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5db6613a1358b0bf879ab7152adb0c6"/>
                    <pic:cNvPicPr>
                      <a:picLocks noChangeAspect="1"/>
                    </pic:cNvPicPr>
                  </pic:nvPicPr>
                  <pic:blipFill>
                    <a:blip r:embed="rId36"/>
                    <a:stretch>
                      <a:fillRect/>
                    </a:stretch>
                  </pic:blipFill>
                  <pic:spPr>
                    <a:xfrm>
                      <a:off x="0" y="0"/>
                      <a:ext cx="3260725" cy="2160270"/>
                    </a:xfrm>
                    <a:prstGeom prst="rect">
                      <a:avLst/>
                    </a:prstGeom>
                    <a:ln>
                      <a:solidFill>
                        <a:schemeClr val="bg1">
                          <a:lumMod val="85000"/>
                        </a:schemeClr>
                      </a:solidFill>
                    </a:ln>
                  </pic:spPr>
                </pic:pic>
              </a:graphicData>
            </a:graphic>
          </wp:inline>
        </w:drawing>
      </w:r>
    </w:p>
    <w:p w14:paraId="56A06A2C">
      <w:pPr>
        <w:jc w:val="center"/>
        <w:rPr>
          <w:rFonts w:hint="eastAsia" w:ascii="仿宋_GB2312" w:hAnsi="仿宋_GB2312" w:eastAsia="仿宋_GB2312" w:cs="仿宋_GB2312"/>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fldChar w:fldCharType="end"/>
      </w:r>
      <w:bookmarkStart w:id="194" w:name="_Toc3670"/>
      <w:r>
        <w:rPr>
          <w:rFonts w:hint="eastAsia" w:ascii="楷体_GB2312" w:hAnsi="楷体_GB2312" w:eastAsia="楷体_GB2312" w:cs="楷体_GB2312"/>
          <w:sz w:val="24"/>
        </w:rPr>
        <w:t xml:space="preserve"> </w:t>
      </w:r>
      <w:r>
        <w:rPr>
          <w:rFonts w:hint="eastAsia" w:ascii="楷体_GB2312" w:hAnsi="楷体_GB2312" w:eastAsia="楷体_GB2312" w:cs="楷体_GB2312"/>
          <w:b w:val="0"/>
          <w:bCs w:val="0"/>
          <w:i w:val="0"/>
          <w:iCs w:val="0"/>
          <w:caps w:val="0"/>
          <w:color w:val="auto"/>
          <w:spacing w:val="0"/>
          <w:sz w:val="24"/>
          <w:szCs w:val="24"/>
          <w:shd w:val="clear" w:fill="FFFFFF"/>
          <w:lang w:val="en-US" w:eastAsia="zh-CN"/>
        </w:rPr>
        <w:t>选修课《3D动画制作》作品</w:t>
      </w:r>
      <w:bookmarkEnd w:id="194"/>
    </w:p>
    <w:p w14:paraId="6E2C72A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在教学资源保障层面，本学年选用138门课程使用国家规划教材，进一步强化了课程教材的规范性与权威性；实践教学环节中，校内实训场所已覆盖15个专业，配套的实训实践工位达1923个，为学生开展专业技能实操、选修课程实践训练提供了充足的硬件支撑。</w:t>
      </w:r>
    </w:p>
    <w:p w14:paraId="2C27303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此外，学校注重教学资源的常态化优化，依托线上教学平台整合优质课件、案例视频等资源丰富课堂载体，同时加强校际交流与行业对接，借鉴优质中职学校经验并结合本校实际迭代教学内容与方法，持续提升课程教学的针对性与实效性，为人才培养质量的稳步提升筑牢了课程与资源基础。</w:t>
      </w:r>
    </w:p>
    <w:p w14:paraId="7931E2D4">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eastAsia="zh-CN"/>
        </w:rPr>
      </w:pPr>
      <w:bookmarkStart w:id="195" w:name="_Toc25149"/>
      <w:bookmarkStart w:id="196" w:name="_Toc3869"/>
      <w:bookmarkStart w:id="197" w:name="_Toc19025"/>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1-10</w:t>
      </w:r>
      <w:r>
        <w:rPr>
          <w:rFonts w:hint="eastAsia" w:ascii="楷体_GB2312" w:hAnsi="楷体_GB2312" w:eastAsia="楷体_GB2312" w:cs="楷体_GB2312"/>
          <w:sz w:val="30"/>
          <w:szCs w:val="30"/>
        </w:rPr>
        <w:t>：</w:t>
      </w:r>
      <w:r>
        <w:rPr>
          <w:rFonts w:hint="eastAsia" w:ascii="楷体_GB2312" w:hAnsi="楷体_GB2312" w:eastAsia="楷体_GB2312" w:cs="楷体_GB2312"/>
          <w:sz w:val="30"/>
          <w:szCs w:val="30"/>
          <w:lang w:val="en-US" w:eastAsia="zh-CN"/>
        </w:rPr>
        <w:t>“三线并进，共融共创”的精品课程建设</w:t>
      </w:r>
      <w:bookmarkEnd w:id="195"/>
      <w:bookmarkEnd w:id="196"/>
      <w:bookmarkEnd w:id="197"/>
    </w:p>
    <w:p w14:paraId="2ACEA31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以“五级进阶”教师团队为依托，构建“夯实基础、拓展服务、深化共享”的课程建设路径，在精品资源共享课程、在线精品课程和社区教育优质课程三条战线上协同发力，形成了“三线并进，共融共创”的建设格局。</w:t>
      </w:r>
    </w:p>
    <w:p w14:paraId="0D521D0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聚焦“开放与共享”，建设精品资源共享课程，依托学校强势与特色专业，系统规划并完整构建了涵盖课程标准、教学设计、教学视频、实训项目、试题库和素材库在内的全套数字化教学资源，极大便利了教师灵活重组教学素材，也支持了学生自主高效学习；聚焦“深度与互动”，打造在线精品课程标杆，选择核心专业领域或公共基础关键课程，组建以教学名师领衔的跨学科课程建设团队，不仅注重系统化知识体系的重构，更着重于在线学习活动的设计与交互体验的优化；聚焦“实用与普惠”，开发社区教育优秀课程资源。主动对接区域经济社会发展与社区居民学习需求，围绕职业技能提升、文化生活丰富、健康知识普及、家庭教育指导等主题，开发系列社区教育课程，内容强调实用性、趣味性与易学性，形式灵活多样。</w:t>
      </w:r>
    </w:p>
    <w:p w14:paraId="3E671F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b/>
          <w:bCs/>
          <w:sz w:val="36"/>
          <w:szCs w:val="36"/>
          <w:lang w:val="en-US" w:eastAsia="zh-CN"/>
        </w:rPr>
      </w:pPr>
      <w:r>
        <w:rPr>
          <w:rFonts w:hint="eastAsia" w:ascii="仿宋_GB2312" w:hAnsi="仿宋_GB2312" w:eastAsia="仿宋_GB2312" w:cs="仿宋_GB2312"/>
          <w:b/>
          <w:bCs/>
          <w:sz w:val="36"/>
          <w:szCs w:val="36"/>
          <w:lang w:val="en-US" w:eastAsia="zh-CN"/>
        </w:rPr>
        <w:drawing>
          <wp:inline distT="0" distB="0" distL="114300" distR="114300">
            <wp:extent cx="1896110" cy="2160270"/>
            <wp:effectExtent l="9525" t="9525" r="12065" b="14605"/>
            <wp:docPr id="212" name="图片 212" descr="数字绘画作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数字绘画作品 (2)"/>
                    <pic:cNvPicPr>
                      <a:picLocks noChangeAspect="1"/>
                    </pic:cNvPicPr>
                  </pic:nvPicPr>
                  <pic:blipFill>
                    <a:blip r:embed="rId37"/>
                    <a:stretch>
                      <a:fillRect/>
                    </a:stretch>
                  </pic:blipFill>
                  <pic:spPr>
                    <a:xfrm>
                      <a:off x="0" y="0"/>
                      <a:ext cx="1896110" cy="2160270"/>
                    </a:xfrm>
                    <a:prstGeom prst="rect">
                      <a:avLst/>
                    </a:prstGeom>
                    <a:ln>
                      <a:solidFill>
                        <a:schemeClr val="bg1">
                          <a:lumMod val="85000"/>
                        </a:schemeClr>
                      </a:solidFill>
                    </a:ln>
                  </pic:spPr>
                </pic:pic>
              </a:graphicData>
            </a:graphic>
          </wp:inline>
        </w:drawing>
      </w:r>
    </w:p>
    <w:p w14:paraId="5149751B">
      <w:pPr>
        <w:jc w:val="center"/>
        <w:rPr>
          <w:rFonts w:hint="eastAsia" w:ascii="仿宋_GB2312" w:hAnsi="仿宋_GB2312" w:eastAsia="仿宋_GB2312" w:cs="仿宋_GB2312"/>
          <w:b/>
          <w:bCs/>
          <w:sz w:val="36"/>
          <w:szCs w:val="36"/>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7</w:t>
      </w:r>
      <w:r>
        <w:rPr>
          <w:rFonts w:hint="eastAsia" w:ascii="楷体_GB2312" w:hAnsi="楷体_GB2312" w:eastAsia="楷体_GB2312" w:cs="楷体_GB2312"/>
          <w:sz w:val="24"/>
        </w:rPr>
        <w:fldChar w:fldCharType="end"/>
      </w:r>
      <w:bookmarkStart w:id="198" w:name="_Toc12459"/>
      <w:r>
        <w:rPr>
          <w:rFonts w:hint="eastAsia" w:ascii="楷体_GB2312" w:hAnsi="楷体_GB2312" w:eastAsia="楷体_GB2312" w:cs="楷体_GB2312"/>
          <w:sz w:val="24"/>
        </w:rPr>
        <w:t xml:space="preserve"> 选修课《数字绘画》作品</w:t>
      </w:r>
      <w:bookmarkEnd w:id="198"/>
    </w:p>
    <w:p w14:paraId="64045DFE">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199" w:name="_Toc12825"/>
      <w:r>
        <w:rPr>
          <w:rFonts w:hint="eastAsia" w:ascii="黑体" w:hAnsi="黑体" w:eastAsia="黑体" w:cs="黑体"/>
          <w:b w:val="0"/>
          <w:bCs w:val="0"/>
          <w:sz w:val="30"/>
          <w:szCs w:val="30"/>
          <w:lang w:val="en-US" w:eastAsia="zh-CN"/>
        </w:rPr>
        <w:t>（五）</w:t>
      </w:r>
      <w:r>
        <w:rPr>
          <w:rFonts w:hint="eastAsia" w:ascii="黑体" w:hAnsi="黑体" w:eastAsia="黑体" w:cs="黑体"/>
          <w:b w:val="0"/>
          <w:bCs w:val="0"/>
          <w:sz w:val="30"/>
          <w:szCs w:val="30"/>
        </w:rPr>
        <w:t>教学改革</w:t>
      </w:r>
      <w:r>
        <w:rPr>
          <w:rFonts w:hint="eastAsia" w:ascii="黑体" w:hAnsi="黑体" w:eastAsia="黑体" w:cs="黑体"/>
          <w:b w:val="0"/>
          <w:bCs w:val="0"/>
          <w:sz w:val="30"/>
          <w:szCs w:val="30"/>
          <w:lang w:val="en-US" w:eastAsia="zh-CN"/>
        </w:rPr>
        <w:t>与教材建设</w:t>
      </w:r>
      <w:bookmarkEnd w:id="199"/>
    </w:p>
    <w:p w14:paraId="65B1A17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eastAsia="zh-CN"/>
          <w14:textFill>
            <w14:solidFill>
              <w14:schemeClr w14:val="tx1"/>
            </w14:solidFill>
          </w14:textFill>
        </w:rPr>
      </w:pPr>
      <w:bookmarkStart w:id="200" w:name="_Toc27985646"/>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思政铸魂与工匠精神培育深度融合</w:t>
      </w:r>
    </w:p>
    <w:p w14:paraId="5A27AF7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坚持将思想政治教育贯穿教学全过程，深化“课程思政+工匠精神”双融入机制。了解和对标各专业对应岗位需求，系统挖掘专业课程中的思政元素与大国工匠精神内核，如在机械制造、服装设计等专业实训课程中融入“精益求精、专注执着”的工匠品质，在思政必修课中精选山东本地行业工匠案例，通过“案例讲授+榜样分享”模式，引导学生将敬业守信、守正创新的职业精神内化于心。同时，依托校企合作基地，邀请企业技术骨干、行业工匠进校园开展专题讲座5场，组织学生走进标杆企业观摩“工匠工作室”，让学生在真实职业场景中感悟工匠精神的时代价值，筑牢技能成才的思想根基</w:t>
      </w:r>
      <w:r>
        <w:rPr>
          <w:rFonts w:hint="eastAsia" w:ascii="仿宋_GB2312" w:hAnsi="仿宋" w:eastAsia="仿宋_GB2312"/>
          <w:color w:val="000000" w:themeColor="text1"/>
          <w:sz w:val="28"/>
          <w:szCs w:val="28"/>
          <w14:textFill>
            <w14:solidFill>
              <w14:schemeClr w14:val="tx1"/>
            </w14:solidFill>
          </w14:textFill>
        </w:rPr>
        <w:t>。</w:t>
      </w:r>
    </w:p>
    <w:p w14:paraId="5195AD9C">
      <w:pPr>
        <w:jc w:val="center"/>
        <w:rPr>
          <w:rFonts w:ascii="宋体" w:hAnsi="宋体" w:cs="宋体"/>
          <w:sz w:val="24"/>
        </w:rPr>
      </w:pPr>
      <w:r>
        <w:rPr>
          <w:rFonts w:hint="eastAsia" w:ascii="仿宋_GB2312" w:hAnsi="仿宋_GB2312" w:eastAsia="仿宋_GB2312" w:cs="仿宋_GB2312"/>
          <w:spacing w:val="-4"/>
          <w:sz w:val="24"/>
          <w:szCs w:val="24"/>
          <w:lang w:val="en-US" w:eastAsia="zh-CN"/>
        </w:rPr>
        <w:drawing>
          <wp:inline distT="0" distB="0" distL="114300" distR="114300">
            <wp:extent cx="2880360" cy="2160270"/>
            <wp:effectExtent l="0" t="0" r="0" b="3810"/>
            <wp:docPr id="213" name="图片 213" descr="参观陶琉博物馆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参观陶琉博物馆  (5)"/>
                    <pic:cNvPicPr>
                      <a:picLocks noChangeAspect="1"/>
                    </pic:cNvPicPr>
                  </pic:nvPicPr>
                  <pic:blipFill>
                    <a:blip r:embed="rId38"/>
                    <a:stretch>
                      <a:fillRect/>
                    </a:stretch>
                  </pic:blipFill>
                  <pic:spPr>
                    <a:xfrm>
                      <a:off x="0" y="0"/>
                      <a:ext cx="2880360" cy="2160270"/>
                    </a:xfrm>
                    <a:prstGeom prst="rect">
                      <a:avLst/>
                    </a:prstGeom>
                  </pic:spPr>
                </pic:pic>
              </a:graphicData>
            </a:graphic>
          </wp:inline>
        </w:drawing>
      </w:r>
    </w:p>
    <w:p w14:paraId="6BB55F89">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2</w:t>
      </w:r>
      <w:r>
        <w:rPr>
          <w:rFonts w:hint="eastAsia" w:ascii="楷体_GB2312" w:hAnsi="楷体_GB2312" w:eastAsia="楷体_GB2312" w:cs="楷体_GB2312"/>
          <w:sz w:val="24"/>
          <w:lang w:val="en-US" w:eastAsia="zh-CN"/>
        </w:rPr>
        <w:t>8</w:t>
      </w:r>
      <w:r>
        <w:rPr>
          <w:rFonts w:hint="eastAsia" w:ascii="楷体_GB2312" w:hAnsi="楷体_GB2312" w:eastAsia="楷体_GB2312" w:cs="楷体_GB2312"/>
          <w:sz w:val="24"/>
        </w:rPr>
        <w:fldChar w:fldCharType="end"/>
      </w:r>
      <w:bookmarkStart w:id="201" w:name="_Toc2722"/>
      <w:r>
        <w:rPr>
          <w:rFonts w:hint="eastAsia" w:ascii="楷体_GB2312" w:hAnsi="楷体_GB2312" w:eastAsia="楷体_GB2312" w:cs="楷体_GB2312"/>
          <w:sz w:val="24"/>
        </w:rPr>
        <w:t xml:space="preserve"> 学生参观《名工匠工作室》</w:t>
      </w:r>
      <w:bookmarkEnd w:id="201"/>
    </w:p>
    <w:p w14:paraId="0F5E3B9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2.数字化赋能教学模式创新升级</w:t>
      </w:r>
    </w:p>
    <w:p w14:paraId="10DAB45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紧跟国家教育数字化战略部署，立足学校实际推进信息技术与教学深度融合，以低成本、高实效的方式丰富教学形态。一方面，积极运用deepseek、豆包等免费AI工具开发特色数字教学资源，如在语文教学中，借助AI技术制作“古人对话”情景视频、“古人讲解古诗”动画短片，将抽象的文学知识转化为生动直观的可视化内容；在专业课程中，利用AI工具生成岗位操作流程示意图、故障模拟案例等，辅助学生理解核心知识点。另一方面，深化教学方法改革，推行项目教学、案例教学、场景模拟等实践导向型教学法，将企业生产流程、服务标准转化为教学项目。同时，引导学生借助AI工具开展自主学习——如通过AI答疑解决专业知识困惑、利用AI生成个性化学习计划，助力学生实现知识拓展与能力提升，切实体现职业教育的实践性、开放性与职业性。</w:t>
      </w:r>
    </w:p>
    <w:p w14:paraId="4EDE8981">
      <w:pPr>
        <w:jc w:val="center"/>
        <w:rPr>
          <w:rFonts w:ascii="宋体" w:hAnsi="宋体" w:cs="宋体"/>
          <w:sz w:val="24"/>
        </w:rPr>
      </w:pPr>
      <w:r>
        <w:drawing>
          <wp:inline distT="0" distB="0" distL="114300" distR="114300">
            <wp:extent cx="3840480" cy="2160270"/>
            <wp:effectExtent l="0" t="0" r="0" b="381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39"/>
                    <a:stretch>
                      <a:fillRect/>
                    </a:stretch>
                  </pic:blipFill>
                  <pic:spPr>
                    <a:xfrm>
                      <a:off x="0" y="0"/>
                      <a:ext cx="3840480" cy="2160270"/>
                    </a:xfrm>
                    <a:prstGeom prst="rect">
                      <a:avLst/>
                    </a:prstGeom>
                    <a:noFill/>
                    <a:ln>
                      <a:noFill/>
                    </a:ln>
                  </pic:spPr>
                </pic:pic>
              </a:graphicData>
            </a:graphic>
          </wp:inline>
        </w:drawing>
      </w:r>
    </w:p>
    <w:p w14:paraId="39C51C2F">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29</w:t>
      </w:r>
      <w:r>
        <w:rPr>
          <w:rFonts w:hint="eastAsia" w:ascii="楷体_GB2312" w:hAnsi="楷体_GB2312" w:eastAsia="楷体_GB2312" w:cs="楷体_GB2312"/>
          <w:sz w:val="24"/>
        </w:rPr>
        <w:fldChar w:fldCharType="end"/>
      </w:r>
      <w:bookmarkStart w:id="202" w:name="_Toc3504"/>
      <w:r>
        <w:rPr>
          <w:rFonts w:hint="eastAsia" w:ascii="楷体_GB2312" w:hAnsi="楷体_GB2312" w:eastAsia="楷体_GB2312" w:cs="楷体_GB2312"/>
          <w:sz w:val="24"/>
        </w:rPr>
        <w:t xml:space="preserve"> 数字人李白朗诵古诗《将进酒》</w:t>
      </w:r>
      <w:bookmarkEnd w:id="202"/>
    </w:p>
    <w:p w14:paraId="274983D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3.赛课融通与多元评价体系优化</w:t>
      </w:r>
    </w:p>
    <w:p w14:paraId="7E13E34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持续强化“以赛促教、以赛促学”机制，完善国家、省、市、校四级技能大赛体系，将大赛标准深度融入课程内容设计与教学评价的全过程。本学年度围绕数控技术、学前教育、酒店管理、工艺美术等专业，开设了8门技能竞赛专项选修课程，选拔学生参加了山东省职业院校技能大赛中的现代加工技术、机械装配技术、美术造型、服装设计与工艺、会计信息化、声乐·器乐表演等6个赛项的比赛，荣获三等奖6项。</w:t>
      </w:r>
    </w:p>
    <w:p w14:paraId="75C30B7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在评价改革方面，严格贯彻“破五唯”要求，构建“结果+过程+增值”的三维综合评价体系，统筹学生自我评价、教师教学评价、企业实践评价、第三方机构评估等多主体参与。采用“技能实操+项目成果+职业素养”的多维度评价内容，形成学生个性化成长档案，客观呈现学生技能提升与素养发展的增值效应，确保评价真正服务于人才培养的全过程</w:t>
      </w:r>
      <w:r>
        <w:rPr>
          <w:rFonts w:hint="default" w:ascii="仿宋_GB2312" w:hAnsi="仿宋" w:eastAsia="仿宋_GB2312"/>
          <w:color w:val="000000" w:themeColor="text1"/>
          <w:sz w:val="28"/>
          <w:szCs w:val="28"/>
          <w:lang w:val="en-US" w:eastAsia="zh-CN"/>
          <w14:textFill>
            <w14:solidFill>
              <w14:schemeClr w14:val="tx1"/>
            </w14:solidFill>
          </w14:textFill>
        </w:rPr>
        <w:t>。</w:t>
      </w:r>
    </w:p>
    <w:p w14:paraId="0A8A72B4">
      <w:pPr>
        <w:jc w:val="center"/>
        <w:rPr>
          <w:rFonts w:ascii="宋体" w:hAnsi="宋体" w:cs="宋体"/>
          <w:sz w:val="24"/>
        </w:rPr>
      </w:pPr>
      <w:r>
        <w:rPr>
          <w:rFonts w:hint="eastAsia" w:ascii="仿宋_GB2312" w:hAnsi="仿宋_GB2312" w:eastAsia="仿宋_GB2312" w:cs="仿宋_GB2312"/>
          <w:spacing w:val="-4"/>
          <w:sz w:val="24"/>
          <w:szCs w:val="24"/>
          <w:lang w:val="en-US" w:eastAsia="zh-CN"/>
        </w:rPr>
        <w:drawing>
          <wp:inline distT="0" distB="0" distL="114300" distR="114300">
            <wp:extent cx="1618615" cy="2160270"/>
            <wp:effectExtent l="0" t="0" r="12065" b="3810"/>
            <wp:docPr id="217" name="图片 217" descr="f793cef0f983f6c8dfbca86072462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f793cef0f983f6c8dfbca860724625e0"/>
                    <pic:cNvPicPr>
                      <a:picLocks noChangeAspect="1"/>
                    </pic:cNvPicPr>
                  </pic:nvPicPr>
                  <pic:blipFill>
                    <a:blip r:embed="rId40"/>
                    <a:stretch>
                      <a:fillRect/>
                    </a:stretch>
                  </pic:blipFill>
                  <pic:spPr>
                    <a:xfrm>
                      <a:off x="0" y="0"/>
                      <a:ext cx="1618615" cy="2160270"/>
                    </a:xfrm>
                    <a:prstGeom prst="rect">
                      <a:avLst/>
                    </a:prstGeom>
                  </pic:spPr>
                </pic:pic>
              </a:graphicData>
            </a:graphic>
          </wp:inline>
        </w:drawing>
      </w:r>
    </w:p>
    <w:p w14:paraId="18653633">
      <w:pPr>
        <w:jc w:val="center"/>
        <w:rPr>
          <w:rFonts w:hint="eastAsia" w:ascii="楷体_GB2312" w:hAnsi="楷体_GB2312" w:eastAsia="楷体_GB2312" w:cs="楷体_GB2312"/>
          <w:b w:val="0"/>
          <w:bCs w:val="0"/>
          <w:i w:val="0"/>
          <w:iCs w:val="0"/>
          <w:caps w:val="0"/>
          <w:color w:val="auto"/>
          <w:spacing w:val="0"/>
          <w:sz w:val="24"/>
          <w:szCs w:val="24"/>
          <w:shd w:val="clear" w:fill="FFFFFF"/>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lang w:val="en-US" w:eastAsia="zh-CN"/>
        </w:rPr>
        <w:t>0</w:t>
      </w:r>
      <w:r>
        <w:rPr>
          <w:rFonts w:hint="eastAsia" w:ascii="楷体_GB2312" w:hAnsi="楷体_GB2312" w:eastAsia="楷体_GB2312" w:cs="楷体_GB2312"/>
          <w:sz w:val="24"/>
        </w:rPr>
        <w:fldChar w:fldCharType="end"/>
      </w:r>
      <w:bookmarkStart w:id="203" w:name="_Toc15831"/>
      <w:r>
        <w:rPr>
          <w:rFonts w:hint="eastAsia" w:ascii="楷体_GB2312" w:hAnsi="楷体_GB2312" w:eastAsia="楷体_GB2312" w:cs="楷体_GB2312"/>
          <w:sz w:val="24"/>
        </w:rPr>
        <w:t xml:space="preserve"> 学生技能大赛作品《浪尖逐梦》</w:t>
      </w:r>
      <w:bookmarkEnd w:id="203"/>
    </w:p>
    <w:p w14:paraId="5B9AA423">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rPr>
      </w:pPr>
      <w:bookmarkStart w:id="204" w:name="_Toc1620"/>
      <w:bookmarkStart w:id="205" w:name="_Toc23151"/>
      <w:bookmarkStart w:id="206" w:name="_Toc7456"/>
      <w:bookmarkStart w:id="207" w:name="_Toc24884"/>
      <w:bookmarkStart w:id="208" w:name="_Toc26869"/>
      <w:bookmarkStart w:id="209" w:name="_Toc16306"/>
      <w:bookmarkStart w:id="210" w:name="_Toc959"/>
      <w:bookmarkStart w:id="211" w:name="_Toc2472"/>
      <w:bookmarkStart w:id="212" w:name="_Toc18772"/>
      <w:bookmarkStart w:id="213" w:name="_Toc18636"/>
      <w:bookmarkStart w:id="214" w:name="_Toc6061"/>
      <w:bookmarkStart w:id="215" w:name="_Toc24584"/>
      <w:bookmarkStart w:id="216" w:name="_Toc1831"/>
      <w:bookmarkStart w:id="217" w:name="_Toc23665"/>
      <w:bookmarkStart w:id="218" w:name="_Toc744"/>
      <w:bookmarkStart w:id="219" w:name="_Toc5036"/>
      <w:bookmarkStart w:id="220" w:name="_Toc11836"/>
      <w:bookmarkStart w:id="221" w:name="_Toc14767"/>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1-11</w:t>
      </w:r>
      <w:r>
        <w:rPr>
          <w:rFonts w:hint="eastAsia" w:ascii="楷体_GB2312" w:hAnsi="楷体_GB2312" w:eastAsia="楷体_GB2312" w:cs="楷体_GB2312"/>
          <w:sz w:val="30"/>
          <w:szCs w:val="30"/>
        </w:rPr>
        <w:t>：</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r>
        <w:rPr>
          <w:rFonts w:hint="eastAsia" w:ascii="楷体_GB2312" w:hAnsi="楷体_GB2312" w:eastAsia="楷体_GB2312" w:cs="楷体_GB2312"/>
          <w:sz w:val="30"/>
          <w:szCs w:val="30"/>
        </w:rPr>
        <w:t>AI赋能精准教学，助力专业技能和职教高考双提升</w:t>
      </w:r>
      <w:bookmarkEnd w:id="219"/>
      <w:bookmarkEnd w:id="220"/>
      <w:bookmarkEnd w:id="221"/>
    </w:p>
    <w:p w14:paraId="5C1F8BA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紧扣职业教育数字化转型与“职教高考扩容提质”要求，聚焦课堂提质与升学赋能，积极探索“AI+基础学科+技能实训+职教高考”的轻量化融合路径，形成可复制、低成本的教学改革范式，助推教育质量与升学成效双提升。</w:t>
      </w:r>
    </w:p>
    <w:p w14:paraId="7205EB8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AI+基础学科：让文化课堂“活起来”</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在语文、思政等课程中打造“AI场景化教学”。例如，借助AI生成动画短片，以“虚拟诗人+场景还原”提升学习兴趣与理解；结合本土工匠案例，制作“技能报国”主题微课，通过“案例解析+AI答疑”深化职业精神培育。</w:t>
      </w:r>
    </w:p>
    <w:p w14:paraId="777B6820">
      <w:pPr>
        <w:jc w:val="center"/>
        <w:rPr>
          <w:rFonts w:ascii="宋体" w:hAnsi="宋体" w:cs="宋体"/>
          <w:sz w:val="24"/>
        </w:rPr>
      </w:pPr>
      <w:r>
        <w:drawing>
          <wp:inline distT="0" distB="0" distL="114300" distR="114300">
            <wp:extent cx="3556635" cy="2103755"/>
            <wp:effectExtent l="0" t="0" r="9525" b="146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1"/>
                    <a:stretch>
                      <a:fillRect/>
                    </a:stretch>
                  </pic:blipFill>
                  <pic:spPr>
                    <a:xfrm>
                      <a:off x="0" y="0"/>
                      <a:ext cx="3556635" cy="2103755"/>
                    </a:xfrm>
                    <a:prstGeom prst="rect">
                      <a:avLst/>
                    </a:prstGeom>
                    <a:noFill/>
                    <a:ln>
                      <a:noFill/>
                    </a:ln>
                  </pic:spPr>
                </pic:pic>
              </a:graphicData>
            </a:graphic>
          </wp:inline>
        </w:drawing>
      </w:r>
    </w:p>
    <w:p w14:paraId="50900A06">
      <w:pPr>
        <w:jc w:val="center"/>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end"/>
      </w:r>
      <w:bookmarkStart w:id="222" w:name="_Toc7624"/>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AI生成《琵琶行》动画短片</w:t>
      </w:r>
      <w:bookmarkEnd w:id="222"/>
    </w:p>
    <w:p w14:paraId="6F723F0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AI+技能实训：为技能提升“搭梯子”。构建“AI工具链+项目实战”模块，集成文案生成、智能剪辑等工具，支撑学生完成从策划、制作到优化对比的全流程实训。如数媒专业借助AI快速生成脚本框架、自动匹配音效字幕，并通过AI对比分析优化作品，提升实战技能。</w:t>
      </w:r>
    </w:p>
    <w:p w14:paraId="0BC8697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AI+自主学习：为职教高考“筑根基”。利用AI分析历年考纲，提炼高频考点，助力师生精准聚焦；借助AI分析试卷薄弱模块，自动推送如“专项练习”“解题微课”等个性化资源，实现“一人一策”精准提分；通过AI工具实时解答备考疑问，提升复习效率，构建全流程AI助学体系。</w:t>
      </w:r>
    </w:p>
    <w:p w14:paraId="4C406F1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4.学校教材建设路径</w:t>
      </w:r>
    </w:p>
    <w:p w14:paraId="71E6B06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始终以教材建设为人才培养核心支点，深度对标国家职业教育教材建设最新政策要求，构建“校行企”协同育人的教材建设体系。通过组建由行业专家、企业技术骨干及校内学科带头人构成的教材建设指导委员会，继续落实“学校统筹规划、系部牵头实施、教研室精准落地”的三级联动机制，聚焦产业发展前沿与岗位能力需求，重点攻坚“岗课赛证”融通教材、数字赋能型教材开发，在“岗课赛证”融通教材、数字赋能型教材建设等领域形成鲜明特色，为优质教材培育奠定坚实基础。</w:t>
      </w:r>
    </w:p>
    <w:p w14:paraId="6C8AF288">
      <w:pPr>
        <w:jc w:val="center"/>
        <w:rPr>
          <w:rFonts w:ascii="宋体" w:hAnsi="宋体" w:cs="宋体"/>
          <w:sz w:val="24"/>
        </w:rPr>
      </w:pPr>
      <w:r>
        <w:drawing>
          <wp:inline distT="0" distB="0" distL="114300" distR="114300">
            <wp:extent cx="2429510" cy="2160270"/>
            <wp:effectExtent l="0" t="0" r="8890" b="3810"/>
            <wp:docPr id="2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
                    <pic:cNvPicPr>
                      <a:picLocks noChangeAspect="1"/>
                    </pic:cNvPicPr>
                  </pic:nvPicPr>
                  <pic:blipFill>
                    <a:blip r:embed="rId42"/>
                    <a:stretch>
                      <a:fillRect/>
                    </a:stretch>
                  </pic:blipFill>
                  <pic:spPr>
                    <a:xfrm>
                      <a:off x="0" y="0"/>
                      <a:ext cx="2429510" cy="2160270"/>
                    </a:xfrm>
                    <a:prstGeom prst="rect">
                      <a:avLst/>
                    </a:prstGeom>
                    <a:noFill/>
                    <a:ln>
                      <a:noFill/>
                    </a:ln>
                  </pic:spPr>
                </pic:pic>
              </a:graphicData>
            </a:graphic>
          </wp:inline>
        </w:drawing>
      </w:r>
    </w:p>
    <w:p w14:paraId="3187E551">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lang w:val="en-US" w:eastAsia="zh-CN"/>
        </w:rPr>
        <w:t>2</w:t>
      </w:r>
      <w:r>
        <w:rPr>
          <w:rFonts w:hint="eastAsia" w:ascii="楷体_GB2312" w:hAnsi="楷体_GB2312" w:eastAsia="楷体_GB2312" w:cs="楷体_GB2312"/>
          <w:sz w:val="24"/>
        </w:rPr>
        <w:fldChar w:fldCharType="end"/>
      </w:r>
      <w:bookmarkStart w:id="223" w:name="_Toc14578"/>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eastAsia="zh-CN"/>
        </w:rPr>
        <w:t>学校</w:t>
      </w:r>
      <w:r>
        <w:rPr>
          <w:rFonts w:hint="eastAsia" w:ascii="楷体_GB2312" w:hAnsi="楷体_GB2312" w:eastAsia="楷体_GB2312" w:cs="楷体_GB2312"/>
          <w:sz w:val="24"/>
        </w:rPr>
        <w:t>立项山东省“十四五”职业教育规划教材2门</w:t>
      </w:r>
      <w:bookmarkEnd w:id="223"/>
    </w:p>
    <w:p w14:paraId="1A36E66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5.学校教材建设成果</w:t>
      </w:r>
    </w:p>
    <w:p w14:paraId="00879E4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在</w:t>
      </w:r>
      <w:r>
        <w:rPr>
          <w:rFonts w:hint="eastAsia" w:ascii="仿宋_GB2312" w:hAnsi="仿宋" w:eastAsia="仿宋_GB2312"/>
          <w:color w:val="000000" w:themeColor="text1"/>
          <w:sz w:val="28"/>
          <w:szCs w:val="28"/>
          <w14:textFill>
            <w14:solidFill>
              <w14:schemeClr w14:val="tx1"/>
            </w14:solidFill>
          </w14:textFill>
        </w:rPr>
        <w:t>山东省教育厅公示</w:t>
      </w:r>
      <w:r>
        <w:rPr>
          <w:rFonts w:hint="eastAsia" w:ascii="仿宋_GB2312" w:hAnsi="仿宋" w:eastAsia="仿宋_GB2312"/>
          <w:color w:val="000000" w:themeColor="text1"/>
          <w:sz w:val="28"/>
          <w:szCs w:val="28"/>
          <w:lang w:val="en-US" w:eastAsia="zh-CN"/>
          <w14:textFill>
            <w14:solidFill>
              <w14:schemeClr w14:val="tx1"/>
            </w14:solidFill>
          </w14:textFill>
        </w:rPr>
        <w:t>的</w:t>
      </w:r>
      <w:r>
        <w:rPr>
          <w:rFonts w:hint="eastAsia" w:ascii="仿宋_GB2312" w:hAnsi="仿宋" w:eastAsia="仿宋_GB2312"/>
          <w:color w:val="000000" w:themeColor="text1"/>
          <w:sz w:val="28"/>
          <w:szCs w:val="28"/>
          <w14:textFill>
            <w14:solidFill>
              <w14:schemeClr w14:val="tx1"/>
            </w14:solidFill>
          </w14:textFill>
        </w:rPr>
        <w:t>第二批“十四五”职业教育规划教材遴选结果</w:t>
      </w:r>
      <w:r>
        <w:rPr>
          <w:rFonts w:hint="eastAsia" w:ascii="仿宋_GB2312" w:hAnsi="仿宋" w:eastAsia="仿宋_GB2312"/>
          <w:color w:val="000000" w:themeColor="text1"/>
          <w:sz w:val="28"/>
          <w:szCs w:val="28"/>
          <w:lang w:val="en-US" w:eastAsia="zh-CN"/>
          <w14:textFill>
            <w14:solidFill>
              <w14:schemeClr w14:val="tx1"/>
            </w14:solidFill>
          </w14:textFill>
        </w:rPr>
        <w:t>中</w:t>
      </w:r>
      <w:r>
        <w:rPr>
          <w:rFonts w:hint="eastAsia" w:ascii="仿宋_GB2312" w:hAnsi="仿宋" w:eastAsia="仿宋_GB2312"/>
          <w:color w:val="000000" w:themeColor="text1"/>
          <w:sz w:val="28"/>
          <w:szCs w:val="28"/>
          <w14:textFill>
            <w14:solidFill>
              <w14:schemeClr w14:val="tx1"/>
            </w14:solidFill>
          </w14:textFill>
        </w:rPr>
        <w:t>，</w:t>
      </w: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教师主编的《会计信息化实务（购销存篇）》（刘克军主编）和《钳工工艺与技能训练（第2版）》（王莉主编）成功入选</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lang w:val="en-US" w:eastAsia="zh-CN"/>
          <w14:textFill>
            <w14:solidFill>
              <w14:schemeClr w14:val="tx1"/>
            </w14:solidFill>
          </w14:textFill>
        </w:rPr>
        <w:t>并推荐参加</w:t>
      </w:r>
      <w:r>
        <w:rPr>
          <w:rFonts w:hint="eastAsia" w:ascii="仿宋_GB2312" w:hAnsi="仿宋" w:eastAsia="仿宋_GB2312"/>
          <w:color w:val="000000" w:themeColor="text1"/>
          <w:sz w:val="28"/>
          <w:szCs w:val="28"/>
          <w14:textFill>
            <w14:solidFill>
              <w14:schemeClr w14:val="tx1"/>
            </w14:solidFill>
          </w14:textFill>
        </w:rPr>
        <w:t>第二批“十四五”职业教育</w:t>
      </w:r>
      <w:r>
        <w:rPr>
          <w:rFonts w:hint="eastAsia" w:ascii="仿宋_GB2312" w:hAnsi="仿宋" w:eastAsia="仿宋_GB2312"/>
          <w:color w:val="000000" w:themeColor="text1"/>
          <w:sz w:val="28"/>
          <w:szCs w:val="28"/>
          <w:lang w:val="en-US" w:eastAsia="zh-CN"/>
          <w14:textFill>
            <w14:solidFill>
              <w14:schemeClr w14:val="tx1"/>
            </w14:solidFill>
          </w14:textFill>
        </w:rPr>
        <w:t>国家</w:t>
      </w:r>
      <w:r>
        <w:rPr>
          <w:rFonts w:hint="eastAsia" w:ascii="仿宋_GB2312" w:hAnsi="仿宋" w:eastAsia="仿宋_GB2312"/>
          <w:color w:val="000000" w:themeColor="text1"/>
          <w:sz w:val="28"/>
          <w:szCs w:val="28"/>
          <w14:textFill>
            <w14:solidFill>
              <w14:schemeClr w14:val="tx1"/>
            </w14:solidFill>
          </w14:textFill>
        </w:rPr>
        <w:t>规划教材遴选</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其中，《会计信息化实务（购销存篇）》以企业真实业务为蓝本，融入智能财税技术，强化业财一体化能力；《钳工工艺与技能训练（第2版）》紧跟制造业技术升级趋势，以模块化任务提升精密加工与实践创新水平。两本教材立足产业前沿，配套数字资源丰富，经教学实践检验广受师生及行业认可，是深化教学改革、推动产教融合的重要成果</w:t>
      </w:r>
      <w:r>
        <w:rPr>
          <w:rFonts w:hint="eastAsia" w:ascii="仿宋_GB2312" w:hAnsi="仿宋" w:eastAsia="仿宋_GB2312"/>
          <w:color w:val="000000" w:themeColor="text1"/>
          <w:sz w:val="28"/>
          <w:szCs w:val="28"/>
          <w:lang w:eastAsia="zh-CN"/>
          <w14:textFill>
            <w14:solidFill>
              <w14:schemeClr w14:val="tx1"/>
            </w14:solidFill>
          </w14:textFill>
        </w:rPr>
        <w:t>。</w:t>
      </w:r>
    </w:p>
    <w:p w14:paraId="2A008069">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224" w:name="_Toc22318"/>
      <w:bookmarkStart w:id="225" w:name="_Toc9541"/>
      <w:bookmarkStart w:id="226" w:name="_Toc24727"/>
      <w:bookmarkStart w:id="227" w:name="_Toc16470"/>
      <w:bookmarkStart w:id="228" w:name="_Toc20893"/>
      <w:bookmarkStart w:id="229" w:name="_Toc26669"/>
      <w:bookmarkStart w:id="230" w:name="_Toc13960"/>
      <w:bookmarkStart w:id="231" w:name="_Toc15039"/>
      <w:bookmarkStart w:id="232" w:name="_Toc3037"/>
      <w:bookmarkStart w:id="233" w:name="_Toc28581"/>
      <w:bookmarkStart w:id="234" w:name="_Toc17925"/>
      <w:bookmarkStart w:id="235" w:name="_Toc2779"/>
      <w:bookmarkStart w:id="236" w:name="_Toc14878"/>
      <w:bookmarkStart w:id="237" w:name="_Toc10469"/>
      <w:bookmarkStart w:id="238" w:name="_Toc31395"/>
      <w:bookmarkStart w:id="239" w:name="_Toc27322"/>
      <w:bookmarkStart w:id="240" w:name="_Toc24861"/>
      <w:bookmarkStart w:id="241" w:name="_Toc9933"/>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1-12</w:t>
      </w:r>
      <w:r>
        <w:rPr>
          <w:rFonts w:hint="eastAsia" w:ascii="楷体_GB2312" w:hAnsi="楷体_GB2312" w:eastAsia="楷体_GB2312" w:cs="楷体_GB2312"/>
          <w:sz w:val="30"/>
          <w:szCs w:val="30"/>
        </w:rPr>
        <w:t>：</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Pr>
          <w:rFonts w:hint="eastAsia" w:ascii="楷体_GB2312" w:hAnsi="楷体_GB2312" w:eastAsia="楷体_GB2312" w:cs="楷体_GB2312"/>
          <w:sz w:val="30"/>
          <w:szCs w:val="30"/>
        </w:rPr>
        <w:t>构建“三级联动”机制，打造校企双元教材建设新范式</w:t>
      </w:r>
      <w:bookmarkEnd w:id="239"/>
      <w:bookmarkEnd w:id="240"/>
      <w:bookmarkEnd w:id="241"/>
    </w:p>
    <w:p w14:paraId="5BDA002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在职业教育“三教”改革背景下，淄博理工学校以“校-系-教研组”三级联动机制为抓手，深化校企“双元”教材开发。主编的2门教材入选山东省第二批“十四五”职教规划教材，展现了机制创新的实践成效。学校紧扣产业升级与数字经济发展需求，成立由行业专家、企业骨干和骨干教师组成的教材建设指导委员会，建立“凡编必审、凡选必审”制度，确立“对接产业、数字赋能、岗课赛证融通”方向，统筹资源、明确标准，为教材开发提供顶层支撑。</w:t>
      </w:r>
    </w:p>
    <w:p w14:paraId="78D9EE19">
      <w:pPr>
        <w:spacing w:line="400" w:lineRule="exact"/>
        <w:ind w:firstLine="560" w:firstLineChars="200"/>
        <w:rPr>
          <w:rFonts w:hint="eastAsia" w:ascii="仿宋_GB2312" w:hAnsi="仿宋_GB2312" w:eastAsia="仿宋_GB2312" w:cs="仿宋_GB2312"/>
          <w:sz w:val="28"/>
          <w:szCs w:val="28"/>
        </w:rPr>
      </w:pPr>
    </w:p>
    <w:p w14:paraId="4D413869">
      <w:pPr>
        <w:jc w:val="center"/>
        <w:rPr>
          <w:rFonts w:ascii="宋体" w:hAnsi="宋体" w:cs="宋体"/>
          <w:sz w:val="24"/>
        </w:rPr>
      </w:pPr>
      <w:r>
        <w:rPr>
          <w:rFonts w:hint="eastAsia" w:ascii="仿宋_GB2312" w:hAnsi="仿宋_GB2312" w:eastAsia="仿宋_GB2312" w:cs="仿宋_GB2312"/>
          <w:i w:val="0"/>
          <w:iCs w:val="0"/>
          <w:caps w:val="0"/>
          <w:color w:val="1F2329"/>
          <w:spacing w:val="0"/>
          <w:sz w:val="28"/>
          <w:szCs w:val="28"/>
          <w:shd w:val="clear" w:fill="FFFFFF"/>
        </w:rPr>
        <w:drawing>
          <wp:inline distT="0" distB="0" distL="114300" distR="114300">
            <wp:extent cx="2879090" cy="2160270"/>
            <wp:effectExtent l="0" t="0" r="1270" b="3810"/>
            <wp:docPr id="219" name="图片 219" descr="教材建设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教材建设会议"/>
                    <pic:cNvPicPr>
                      <a:picLocks noChangeAspect="1"/>
                    </pic:cNvPicPr>
                  </pic:nvPicPr>
                  <pic:blipFill>
                    <a:blip r:embed="rId43"/>
                    <a:stretch>
                      <a:fillRect/>
                    </a:stretch>
                  </pic:blipFill>
                  <pic:spPr>
                    <a:xfrm>
                      <a:off x="0" y="0"/>
                      <a:ext cx="2879090" cy="2160270"/>
                    </a:xfrm>
                    <a:prstGeom prst="rect">
                      <a:avLst/>
                    </a:prstGeom>
                  </pic:spPr>
                </pic:pic>
              </a:graphicData>
            </a:graphic>
          </wp:inline>
        </w:drawing>
      </w:r>
    </w:p>
    <w:p w14:paraId="515286B4">
      <w:pPr>
        <w:jc w:val="center"/>
        <w:rPr>
          <w:rFonts w:hint="eastAsia" w:ascii="仿宋_GB2312" w:hAnsi="仿宋_GB2312" w:eastAsia="仿宋_GB2312" w:cs="仿宋_GB2312"/>
          <w:sz w:val="28"/>
          <w:szCs w:val="28"/>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lang w:val="en-US" w:eastAsia="zh-CN"/>
        </w:rPr>
        <w:t>3</w:t>
      </w:r>
      <w:r>
        <w:rPr>
          <w:rFonts w:hint="eastAsia" w:ascii="楷体_GB2312" w:hAnsi="楷体_GB2312" w:eastAsia="楷体_GB2312" w:cs="楷体_GB2312"/>
          <w:sz w:val="24"/>
        </w:rPr>
        <w:fldChar w:fldCharType="end"/>
      </w:r>
      <w:bookmarkStart w:id="242" w:name="_Toc8968"/>
      <w:r>
        <w:rPr>
          <w:rFonts w:hint="eastAsia" w:ascii="楷体_GB2312" w:hAnsi="楷体_GB2312" w:eastAsia="楷体_GB2312" w:cs="楷体_GB2312"/>
          <w:sz w:val="24"/>
        </w:rPr>
        <w:t xml:space="preserve"> 学校教材建设、选用会议</w:t>
      </w:r>
      <w:bookmarkEnd w:id="242"/>
    </w:p>
    <w:p w14:paraId="09B4109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学校组建“校内教师+企业技术能手”编写团队，深入企业调研岗位能力需求，将新技术、新规范融入教材，确保内容与岗位实践紧密衔接。教研组立足教学实际，优化教材内容与形式，以真实项目为蓝本设计任务模块，开发配套实训资源，采用“任务驱动+案例解析”模式，细化操作步骤，推动“学练一体”，建设“理实一体”资源库，推动教师向资源共建者转型，提升教学实效。</w:t>
      </w:r>
    </w:p>
    <w:p w14:paraId="52D45873">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243" w:name="_Toc21329"/>
      <w:r>
        <w:rPr>
          <w:rFonts w:hint="eastAsia" w:ascii="黑体" w:hAnsi="黑体" w:eastAsia="黑体" w:cs="黑体"/>
          <w:b w:val="0"/>
          <w:bCs w:val="0"/>
          <w:sz w:val="30"/>
          <w:szCs w:val="30"/>
          <w:lang w:val="en-US" w:eastAsia="zh-CN"/>
        </w:rPr>
        <w:t>（六）</w:t>
      </w:r>
      <w:r>
        <w:rPr>
          <w:rFonts w:hint="eastAsia" w:ascii="黑体" w:hAnsi="黑体" w:eastAsia="黑体" w:cs="黑体"/>
          <w:b w:val="0"/>
          <w:bCs w:val="0"/>
          <w:sz w:val="30"/>
          <w:szCs w:val="30"/>
        </w:rPr>
        <w:t>人才培养模式改革</w:t>
      </w:r>
      <w:bookmarkEnd w:id="243"/>
    </w:p>
    <w:p w14:paraId="4A1AE7D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bookmarkStart w:id="244" w:name="_Toc9635"/>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1.职教高考升学</w:t>
      </w:r>
    </w:p>
    <w:p w14:paraId="6D6985D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淄博理工学校坚持“升学+就业”为导向的人才培养机制，多措并举提高人才培养质量。2025年，学校职教高考成绩斐然。本科上线100余人，本、专科共录取 810 人，升学率接近80%。</w:t>
      </w:r>
    </w:p>
    <w:p w14:paraId="796B7339">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eastAsia="zh-CN"/>
        </w:rPr>
      </w:pPr>
      <w:bookmarkStart w:id="245" w:name="_Toc23258"/>
      <w:bookmarkStart w:id="246" w:name="_Toc15922"/>
      <w:bookmarkStart w:id="247" w:name="_Toc28781"/>
      <w:bookmarkStart w:id="248" w:name="_Toc30855"/>
      <w:bookmarkStart w:id="249" w:name="_Toc23946"/>
      <w:bookmarkStart w:id="250" w:name="_Toc24454"/>
      <w:bookmarkStart w:id="251" w:name="_Toc27910"/>
      <w:bookmarkStart w:id="252" w:name="_Toc6689"/>
      <w:bookmarkStart w:id="253" w:name="_Toc17588"/>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1-13</w:t>
      </w:r>
      <w:r>
        <w:rPr>
          <w:rFonts w:hint="eastAsia" w:ascii="楷体_GB2312" w:hAnsi="楷体_GB2312" w:eastAsia="楷体_GB2312" w:cs="楷体_GB2312"/>
          <w:sz w:val="30"/>
          <w:szCs w:val="30"/>
        </w:rPr>
        <w:t>：</w:t>
      </w:r>
      <w:bookmarkEnd w:id="245"/>
      <w:bookmarkEnd w:id="246"/>
      <w:bookmarkEnd w:id="247"/>
      <w:bookmarkEnd w:id="248"/>
      <w:bookmarkEnd w:id="249"/>
      <w:bookmarkEnd w:id="250"/>
      <w:r>
        <w:rPr>
          <w:rFonts w:hint="eastAsia" w:ascii="楷体_GB2312" w:hAnsi="楷体_GB2312" w:eastAsia="楷体_GB2312" w:cs="楷体_GB2312"/>
          <w:sz w:val="30"/>
          <w:szCs w:val="30"/>
        </w:rPr>
        <w:t>职教高考，让中职生“跑”进大学校园</w:t>
      </w:r>
      <w:bookmarkEnd w:id="251"/>
      <w:bookmarkEnd w:id="252"/>
      <w:bookmarkEnd w:id="253"/>
    </w:p>
    <w:p w14:paraId="1AFA4E8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三年前，</w:t>
      </w:r>
      <w:r>
        <w:rPr>
          <w:rFonts w:hint="eastAsia" w:ascii="仿宋_GB2312" w:hAnsi="仿宋" w:eastAsia="仿宋_GB2312"/>
          <w:color w:val="000000" w:themeColor="text1"/>
          <w:sz w:val="28"/>
          <w:szCs w:val="28"/>
          <w:lang w:val="en-US" w:eastAsia="zh-CN"/>
          <w14:textFill>
            <w14:solidFill>
              <w14:schemeClr w14:val="tx1"/>
            </w14:solidFill>
          </w14:textFill>
        </w:rPr>
        <w:t>学生</w:t>
      </w:r>
      <w:r>
        <w:rPr>
          <w:rFonts w:hint="eastAsia" w:ascii="仿宋_GB2312" w:hAnsi="仿宋" w:eastAsia="仿宋_GB2312"/>
          <w:color w:val="000000" w:themeColor="text1"/>
          <w:sz w:val="28"/>
          <w:szCs w:val="28"/>
          <w:lang w:eastAsia="zh-CN"/>
          <w14:textFill>
            <w14:solidFill>
              <w14:schemeClr w14:val="tx1"/>
            </w14:solidFill>
          </w14:textFill>
        </w:rPr>
        <w:t>刘</w:t>
      </w:r>
      <w:r>
        <w:rPr>
          <w:rFonts w:hint="eastAsia" w:ascii="仿宋_GB2312" w:hAnsi="仿宋" w:eastAsia="仿宋_GB2312"/>
          <w:color w:val="000000" w:themeColor="text1"/>
          <w:sz w:val="28"/>
          <w:szCs w:val="28"/>
          <w:lang w:val="en-US" w:eastAsia="zh-CN"/>
          <w14:textFill>
            <w14:solidFill>
              <w14:schemeClr w14:val="tx1"/>
            </w14:solidFill>
          </w14:textFill>
        </w:rPr>
        <w:t>某</w:t>
      </w:r>
      <w:r>
        <w:rPr>
          <w:rFonts w:hint="eastAsia" w:ascii="仿宋_GB2312" w:hAnsi="仿宋" w:eastAsia="仿宋_GB2312"/>
          <w:color w:val="000000" w:themeColor="text1"/>
          <w:sz w:val="28"/>
          <w:szCs w:val="28"/>
          <w:lang w:eastAsia="zh-CN"/>
          <w14:textFill>
            <w14:solidFill>
              <w14:schemeClr w14:val="tx1"/>
            </w14:solidFill>
          </w14:textFill>
        </w:rPr>
        <w:t>中考失利，与普通高中失之交臂；三年后，他在2025年山东省职教高考中以财税专业全省第七名的优异成绩被山东建筑大学录取。</w:t>
      </w:r>
    </w:p>
    <w:p w14:paraId="188DDFF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在淄博理工学校，像刘</w:t>
      </w:r>
      <w:r>
        <w:rPr>
          <w:rFonts w:hint="eastAsia" w:ascii="仿宋_GB2312" w:hAnsi="仿宋" w:eastAsia="仿宋_GB2312"/>
          <w:color w:val="000000" w:themeColor="text1"/>
          <w:sz w:val="28"/>
          <w:szCs w:val="28"/>
          <w:lang w:val="en-US" w:eastAsia="zh-CN"/>
          <w14:textFill>
            <w14:solidFill>
              <w14:schemeClr w14:val="tx1"/>
            </w14:solidFill>
          </w14:textFill>
        </w:rPr>
        <w:t>同学</w:t>
      </w:r>
      <w:r>
        <w:rPr>
          <w:rFonts w:hint="eastAsia" w:ascii="仿宋_GB2312" w:hAnsi="仿宋" w:eastAsia="仿宋_GB2312"/>
          <w:color w:val="000000" w:themeColor="text1"/>
          <w:sz w:val="28"/>
          <w:szCs w:val="28"/>
          <w:lang w:eastAsia="zh-CN"/>
          <w14:textFill>
            <w14:solidFill>
              <w14:schemeClr w14:val="tx1"/>
            </w14:solidFill>
          </w14:textFill>
        </w:rPr>
        <w:t>这样的故事并非个例。淄博理工学校针对职教高考和中职生特点，构建起文化与技能并重的教学体系，制定了“强技能，补文化”的培养方案。充分利用省级名师工作室和省级专业教学团队建设项目组织各类学习交流活动，名师带骨干，骨干带新人，全力打造高素质送考团队，形成了以系书记为核心的教学管理团队、以备课组长为核心的学科团队和以班主任为核心的学生管理团队。落实月考、班教会、家长会、责任挂包四项制度，严抓班风学风、非智力因素培养、集体备课、考纲考题研究、技能训练五项工作。2025年，共有73人被本科院校录取。曾被认为与大学校园渐行渐远的中职生通过职教高考，实现了自己的大学梦，</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lang w:eastAsia="zh-CN"/>
          <w14:textFill>
            <w14:solidFill>
              <w14:schemeClr w14:val="tx1"/>
            </w14:solidFill>
          </w14:textFill>
        </w:rPr>
        <w:t>用实力证明“成才之路不止一条”。</w:t>
      </w:r>
    </w:p>
    <w:p w14:paraId="0966A163">
      <w:pPr>
        <w:jc w:val="center"/>
        <w:rPr>
          <w:rFonts w:ascii="宋体" w:hAnsi="宋体" w:cs="宋体"/>
          <w:sz w:val="24"/>
        </w:rPr>
      </w:pPr>
      <w:r>
        <w:drawing>
          <wp:inline distT="0" distB="0" distL="114300" distR="114300">
            <wp:extent cx="2895600" cy="2160270"/>
            <wp:effectExtent l="0" t="0" r="0" b="381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44">
                      <a:lum bright="18000"/>
                    </a:blip>
                    <a:stretch>
                      <a:fillRect/>
                    </a:stretch>
                  </pic:blipFill>
                  <pic:spPr>
                    <a:xfrm>
                      <a:off x="0" y="0"/>
                      <a:ext cx="2895600" cy="2160270"/>
                    </a:xfrm>
                    <a:prstGeom prst="rect">
                      <a:avLst/>
                    </a:prstGeom>
                    <a:noFill/>
                    <a:ln>
                      <a:noFill/>
                    </a:ln>
                  </pic:spPr>
                </pic:pic>
              </a:graphicData>
            </a:graphic>
          </wp:inline>
        </w:drawing>
      </w:r>
    </w:p>
    <w:p w14:paraId="34F136E8">
      <w:pPr>
        <w:jc w:val="center"/>
        <w:rPr>
          <w:rFonts w:hint="default" w:ascii="仿宋_GB2312" w:hAnsi="仿宋_GB2312" w:eastAsia="楷体_GB2312" w:cs="仿宋_GB2312"/>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3</w:t>
      </w:r>
      <w:r>
        <w:rPr>
          <w:rFonts w:hint="eastAsia" w:ascii="楷体_GB2312" w:hAnsi="楷体_GB2312" w:eastAsia="楷体_GB2312" w:cs="楷体_GB2312"/>
          <w:sz w:val="24"/>
          <w:lang w:val="en-US" w:eastAsia="zh-CN"/>
        </w:rPr>
        <w:t>4</w:t>
      </w:r>
      <w:r>
        <w:rPr>
          <w:rFonts w:hint="eastAsia" w:ascii="楷体_GB2312" w:hAnsi="楷体_GB2312" w:eastAsia="楷体_GB2312" w:cs="楷体_GB2312"/>
          <w:sz w:val="24"/>
        </w:rPr>
        <w:fldChar w:fldCharType="end"/>
      </w:r>
      <w:bookmarkStart w:id="254" w:name="_Toc16587"/>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职教高考学生自习</w:t>
      </w:r>
      <w:bookmarkEnd w:id="254"/>
    </w:p>
    <w:p w14:paraId="2E9F0B63">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2.</w:t>
      </w: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贯通培养</w:t>
      </w:r>
    </w:p>
    <w:p w14:paraId="7D1D2555">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加强与淄博职业技术大学、山东轻工职业学院、淄博师范高等专科学校、德州科技职业学院等高职院校的交流合作，扎实做好“三二连读”分段培养的各项工作，本年度共有125人顺利通过“三二连读”转段考试，升入高一级学校就读。2025年学校在与淄博职业技术大学、山东轻工职业学院、山东工业职业学院、烟台汽车工程职业学院等联合培养陶瓷设计与工艺、服装设计与工艺、纺织品设计、数控技术、新能源汽车检测与维修技术、动漫制作技术等6个初中后五年高等职业教育专业基础上，再与山东信息职业技术学院、淄博师范高等专科学校等高校合作新上虚拟现实技术应用、婴幼儿托育服务与管理、研学旅行管理与服务3个初中后五年高等职业教育专业新专业，至此学校和高职院校联办初中后五年高等职业教育专业达到9个，更好地满足了学生对专业选择的需求</w:t>
      </w:r>
      <w:r>
        <w:rPr>
          <w:rFonts w:hint="eastAsia" w:ascii="仿宋_GB2312" w:hAnsi="仿宋" w:eastAsia="仿宋_GB2312"/>
          <w:color w:val="000000" w:themeColor="text1"/>
          <w:sz w:val="28"/>
          <w:szCs w:val="28"/>
          <w14:textFill>
            <w14:solidFill>
              <w14:schemeClr w14:val="tx1"/>
            </w14:solidFill>
          </w14:textFill>
        </w:rPr>
        <w:t>。</w:t>
      </w:r>
    </w:p>
    <w:p w14:paraId="39A347B0">
      <w:pPr>
        <w:pStyle w:val="6"/>
        <w:jc w:val="center"/>
        <w:rPr>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1-</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表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rPr>
        <w:t>5</w:t>
      </w:r>
      <w:r>
        <w:rPr>
          <w:rFonts w:hint="eastAsia" w:ascii="楷体_GB2312" w:hAnsi="楷体_GB2312" w:eastAsia="楷体_GB2312" w:cs="楷体_GB2312"/>
          <w:sz w:val="24"/>
        </w:rPr>
        <w:fldChar w:fldCharType="end"/>
      </w:r>
      <w:bookmarkStart w:id="255" w:name="_Toc31710"/>
      <w:r>
        <w:rPr>
          <w:rFonts w:hint="eastAsia" w:ascii="楷体_GB2312" w:hAnsi="楷体_GB2312" w:eastAsia="楷体_GB2312" w:cs="楷体_GB2312"/>
          <w:sz w:val="24"/>
        </w:rPr>
        <w:t xml:space="preserve"> 淄博理工学校专业设置目录</w:t>
      </w:r>
      <w:bookmarkEnd w:id="255"/>
    </w:p>
    <w:tbl>
      <w:tblPr>
        <w:tblStyle w:val="17"/>
        <w:tblpPr w:leftFromText="180" w:rightFromText="180" w:vertAnchor="text" w:horzAnchor="page" w:tblpXSpec="center" w:tblpY="146"/>
        <w:tblOverlap w:val="never"/>
        <w:tblW w:w="861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7"/>
        <w:gridCol w:w="1549"/>
        <w:gridCol w:w="2078"/>
        <w:gridCol w:w="2218"/>
        <w:gridCol w:w="2025"/>
      </w:tblGrid>
      <w:tr w14:paraId="53F28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51F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bCs/>
                <w:i w:val="0"/>
                <w:iCs w:val="0"/>
                <w:color w:val="000000"/>
                <w:sz w:val="24"/>
                <w:szCs w:val="24"/>
                <w:u w:val="none"/>
              </w:rPr>
            </w:pPr>
            <w:r>
              <w:rPr>
                <w:rFonts w:hint="eastAsia" w:ascii="楷体_GB2312" w:hAnsi="楷体_GB2312" w:eastAsia="楷体_GB2312" w:cs="楷体_GB2312"/>
                <w:b/>
                <w:bCs/>
                <w:i w:val="0"/>
                <w:iCs w:val="0"/>
                <w:snapToGrid w:val="0"/>
                <w:color w:val="000000"/>
                <w:kern w:val="0"/>
                <w:sz w:val="24"/>
                <w:szCs w:val="24"/>
                <w:u w:val="none"/>
                <w:lang w:val="en-US" w:eastAsia="zh-CN" w:bidi="ar"/>
              </w:rPr>
              <w:t>序号</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87AE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bCs/>
                <w:i w:val="0"/>
                <w:iCs w:val="0"/>
                <w:color w:val="000000"/>
                <w:sz w:val="24"/>
                <w:szCs w:val="24"/>
                <w:u w:val="none"/>
              </w:rPr>
            </w:pPr>
            <w:r>
              <w:rPr>
                <w:rFonts w:hint="eastAsia" w:ascii="楷体_GB2312" w:hAnsi="楷体_GB2312" w:eastAsia="楷体_GB2312" w:cs="楷体_GB2312"/>
                <w:b/>
                <w:bCs/>
                <w:i w:val="0"/>
                <w:iCs w:val="0"/>
                <w:snapToGrid w:val="0"/>
                <w:color w:val="000000"/>
                <w:kern w:val="0"/>
                <w:sz w:val="24"/>
                <w:szCs w:val="24"/>
                <w:u w:val="none"/>
                <w:lang w:val="en-US" w:eastAsia="zh-CN" w:bidi="ar"/>
              </w:rPr>
              <w:t>中职专业</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F3F3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bCs/>
                <w:i w:val="0"/>
                <w:iCs w:val="0"/>
                <w:color w:val="000000"/>
                <w:sz w:val="24"/>
                <w:szCs w:val="24"/>
                <w:u w:val="none"/>
              </w:rPr>
            </w:pPr>
            <w:r>
              <w:rPr>
                <w:rFonts w:hint="eastAsia" w:ascii="楷体_GB2312" w:hAnsi="楷体_GB2312" w:eastAsia="楷体_GB2312" w:cs="楷体_GB2312"/>
                <w:b/>
                <w:bCs/>
                <w:i w:val="0"/>
                <w:iCs w:val="0"/>
                <w:snapToGrid w:val="0"/>
                <w:color w:val="000000"/>
                <w:kern w:val="0"/>
                <w:sz w:val="24"/>
                <w:szCs w:val="24"/>
                <w:u w:val="none"/>
                <w:lang w:val="en-US" w:eastAsia="zh-CN" w:bidi="ar"/>
              </w:rPr>
              <w:t>高职专业</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7769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bCs/>
                <w:i w:val="0"/>
                <w:iCs w:val="0"/>
                <w:color w:val="000000"/>
                <w:sz w:val="24"/>
                <w:szCs w:val="24"/>
                <w:u w:val="none"/>
              </w:rPr>
            </w:pPr>
            <w:r>
              <w:rPr>
                <w:rFonts w:hint="eastAsia" w:ascii="楷体_GB2312" w:hAnsi="楷体_GB2312" w:eastAsia="楷体_GB2312" w:cs="楷体_GB2312"/>
                <w:b/>
                <w:bCs/>
                <w:i w:val="0"/>
                <w:iCs w:val="0"/>
                <w:snapToGrid w:val="0"/>
                <w:color w:val="000000"/>
                <w:kern w:val="0"/>
                <w:sz w:val="24"/>
                <w:szCs w:val="24"/>
                <w:u w:val="none"/>
                <w:lang w:val="en-US" w:eastAsia="zh-CN" w:bidi="ar"/>
              </w:rPr>
              <w:t>联办高校</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2ACA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bCs/>
                <w:i w:val="0"/>
                <w:iCs w:val="0"/>
                <w:color w:val="000000"/>
                <w:sz w:val="24"/>
                <w:szCs w:val="24"/>
                <w:u w:val="none"/>
              </w:rPr>
            </w:pPr>
            <w:r>
              <w:rPr>
                <w:rFonts w:hint="eastAsia" w:ascii="楷体_GB2312" w:hAnsi="楷体_GB2312" w:eastAsia="楷体_GB2312" w:cs="楷体_GB2312"/>
                <w:b/>
                <w:bCs/>
                <w:i w:val="0"/>
                <w:iCs w:val="0"/>
                <w:snapToGrid w:val="0"/>
                <w:color w:val="000000"/>
                <w:kern w:val="0"/>
                <w:sz w:val="24"/>
                <w:szCs w:val="24"/>
                <w:u w:val="none"/>
                <w:lang w:val="en-US" w:eastAsia="zh-CN" w:bidi="ar"/>
              </w:rPr>
              <w:t>联办时间</w:t>
            </w:r>
          </w:p>
        </w:tc>
      </w:tr>
      <w:tr w14:paraId="7B5A5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BF9E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1</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0F46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数字媒体技术应用</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FCBF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动漫制作技术</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5950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淄博师范高等专科学校</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51AAE">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4C32E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BAEAF">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2</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BA9C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汽车运用与维修</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B2D7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新能源汽车检测与维修技术</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81F8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烟台汽车工程职业学院</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A68CB">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740A2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E31A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3</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AB7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数控技术应用</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907E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数控技术</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382D5">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山东工业职业学院</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0526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049EA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9822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4</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9D88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工艺美术</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709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陶瓷设计与工艺</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5281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淄博职业技术大学</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76A63">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4AAC0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A9E4D">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5</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F7AC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服装设计与工艺</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F545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服装设计与工艺</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2F33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山东轻工职业学院</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95C1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1D614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B89A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6</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DACB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纺织技术与服务</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BED">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纺织品设计</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F71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山东轻工职业学院</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8FEF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2024年9月</w:t>
            </w:r>
          </w:p>
        </w:tc>
      </w:tr>
      <w:tr w14:paraId="148D4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1EC2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7</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C31E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虚拟现实技术与应用</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ECBD9">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虚拟现实技术应用</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C24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山东信息职业技术学院</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3DE96">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2025年9月</w:t>
            </w:r>
          </w:p>
        </w:tc>
      </w:tr>
      <w:tr w14:paraId="606A36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9F352">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8</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E1177">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幼儿保育</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D1E7C">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婴幼儿托育服务与管理</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6B58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淄博师范高等专科学校</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74200">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2025年9月</w:t>
            </w:r>
          </w:p>
        </w:tc>
      </w:tr>
      <w:tr w14:paraId="1CB719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20BD8">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b w:val="0"/>
                <w:bCs w:val="0"/>
                <w:i w:val="0"/>
                <w:iCs w:val="0"/>
                <w:color w:val="000000"/>
                <w:sz w:val="24"/>
                <w:szCs w:val="24"/>
                <w:u w:val="none"/>
              </w:rPr>
            </w:pPr>
            <w:r>
              <w:rPr>
                <w:rFonts w:hint="eastAsia" w:ascii="楷体_GB2312" w:hAnsi="楷体_GB2312" w:eastAsia="楷体_GB2312" w:cs="楷体_GB2312"/>
                <w:b w:val="0"/>
                <w:bCs w:val="0"/>
                <w:i w:val="0"/>
                <w:iCs w:val="0"/>
                <w:snapToGrid w:val="0"/>
                <w:color w:val="000000"/>
                <w:kern w:val="0"/>
                <w:sz w:val="24"/>
                <w:szCs w:val="24"/>
                <w:u w:val="none"/>
                <w:lang w:val="en-US" w:eastAsia="zh-CN" w:bidi="ar"/>
              </w:rPr>
              <w:t>9</w:t>
            </w:r>
          </w:p>
        </w:tc>
        <w:tc>
          <w:tcPr>
            <w:tcW w:w="15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E17C4">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旅游服务与管理</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83F8B">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研学旅行管理与服务</w:t>
            </w:r>
          </w:p>
        </w:tc>
        <w:tc>
          <w:tcPr>
            <w:tcW w:w="2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4856A">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淄博师范高等专科学校</w:t>
            </w:r>
          </w:p>
        </w:tc>
        <w:tc>
          <w:tcPr>
            <w:tcW w:w="2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40651">
            <w:pPr>
              <w:keepNext w:val="0"/>
              <w:keepLines w:val="0"/>
              <w:pageBreakBefore w:val="0"/>
              <w:widowControl/>
              <w:suppressLineNumbers w:val="0"/>
              <w:kinsoku w:val="0"/>
              <w:wordWrap/>
              <w:overflowPunct/>
              <w:topLinePunct w:val="0"/>
              <w:autoSpaceDE w:val="0"/>
              <w:autoSpaceDN w:val="0"/>
              <w:bidi w:val="0"/>
              <w:adjustRightInd w:val="0"/>
              <w:snapToGrid w:val="0"/>
              <w:spacing w:line="400" w:lineRule="atLeast"/>
              <w:jc w:val="center"/>
              <w:textAlignment w:val="center"/>
              <w:rPr>
                <w:rFonts w:hint="eastAsia" w:ascii="楷体_GB2312" w:hAnsi="楷体_GB2312" w:eastAsia="楷体_GB2312" w:cs="楷体_GB2312"/>
                <w:i w:val="0"/>
                <w:iCs w:val="0"/>
                <w:color w:val="000000"/>
                <w:sz w:val="24"/>
                <w:szCs w:val="24"/>
                <w:u w:val="none"/>
              </w:rPr>
            </w:pPr>
            <w:r>
              <w:rPr>
                <w:rFonts w:hint="eastAsia" w:ascii="楷体_GB2312" w:hAnsi="楷体_GB2312" w:eastAsia="楷体_GB2312" w:cs="楷体_GB2312"/>
                <w:i w:val="0"/>
                <w:iCs w:val="0"/>
                <w:snapToGrid w:val="0"/>
                <w:color w:val="000000"/>
                <w:kern w:val="0"/>
                <w:sz w:val="24"/>
                <w:szCs w:val="24"/>
                <w:u w:val="none"/>
                <w:lang w:val="en-US" w:eastAsia="zh-CN" w:bidi="ar"/>
              </w:rPr>
              <w:t>2025年9月</w:t>
            </w:r>
          </w:p>
        </w:tc>
      </w:tr>
      <w:bookmarkEnd w:id="200"/>
      <w:bookmarkEnd w:id="244"/>
    </w:tbl>
    <w:p w14:paraId="223A2AAC">
      <w:pPr>
        <w:pStyle w:val="2"/>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firstLine="640" w:firstLineChars="200"/>
        <w:textAlignment w:val="auto"/>
        <w:rPr>
          <w:rFonts w:hint="eastAsia" w:ascii="黑体" w:hAnsi="黑体" w:eastAsia="黑体" w:cs="Times New Roman"/>
          <w:b w:val="0"/>
          <w:bCs/>
          <w:kern w:val="44"/>
          <w:sz w:val="32"/>
          <w:szCs w:val="32"/>
          <w:lang w:val="en-US" w:eastAsia="zh-CN" w:bidi="ar-SA"/>
        </w:rPr>
      </w:pPr>
      <w:bookmarkStart w:id="256" w:name="_Toc29597"/>
      <w:r>
        <w:rPr>
          <w:rFonts w:hint="eastAsia" w:ascii="黑体" w:hAnsi="黑体" w:eastAsia="黑体" w:cs="Times New Roman"/>
          <w:b w:val="0"/>
          <w:bCs/>
          <w:kern w:val="44"/>
          <w:sz w:val="32"/>
          <w:szCs w:val="32"/>
          <w:lang w:val="en-US" w:eastAsia="zh-CN" w:bidi="ar-SA"/>
        </w:rPr>
        <w:t>二、服务贡献</w:t>
      </w:r>
      <w:bookmarkEnd w:id="256"/>
    </w:p>
    <w:p w14:paraId="1CE1587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淄川开放大学、淄川老年开放大学、淄川区社区教育学院）是国家级重点职业学校，国家中等职业教育改革发展示范学校。学校充分发挥社区学院职能，形成社区教育服务体系，开展社区教育和终身学习服务，2024至2025学年度，培训学员12900余人次，为区域经济发展和企业发展做出突出贡献。</w:t>
      </w:r>
    </w:p>
    <w:p w14:paraId="0451996E">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257" w:name="_Toc2769"/>
      <w:bookmarkStart w:id="258" w:name="_Toc27558915"/>
      <w:r>
        <w:rPr>
          <w:rFonts w:hint="eastAsia" w:ascii="黑体" w:hAnsi="黑体" w:eastAsia="黑体" w:cs="黑体"/>
          <w:b w:val="0"/>
          <w:bCs w:val="0"/>
          <w:sz w:val="30"/>
          <w:szCs w:val="30"/>
          <w:lang w:val="en-US" w:eastAsia="zh-CN"/>
        </w:rPr>
        <w:t>（一）</w:t>
      </w:r>
      <w:r>
        <w:rPr>
          <w:rFonts w:hint="eastAsia" w:ascii="黑体" w:hAnsi="黑体" w:eastAsia="黑体" w:cs="黑体"/>
          <w:b w:val="0"/>
          <w:bCs w:val="0"/>
          <w:sz w:val="30"/>
          <w:szCs w:val="30"/>
        </w:rPr>
        <w:t>服务行业企业</w:t>
      </w:r>
      <w:bookmarkEnd w:id="257"/>
    </w:p>
    <w:p w14:paraId="313CD37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bookmarkStart w:id="259" w:name="_Toc27558927"/>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面向企业员工开展岗位技能提升培训</w:t>
      </w:r>
    </w:p>
    <w:p w14:paraId="7F22336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主动走访企业或在政府牵线下与企业高层沟通，推介社会培训服务及本校优势，鼓励企业建立职工培训基地，完善培训方式，并指导学习型企业建设；为企业定制“订单式”“菜单式”技能培训，实施资格认证；推动企业职员学历进修，助力高新技术企业参评；加强市区服务外包企业培训以享受政策补贴。技术进企业服务已常态化，学校通过建立技术服务企业长效机制，为重点合作企业和发展薄弱企业提供支持，促进校企融合，累计培训学员1775余人次企业实施技术服务，促进校企融合，助力行业企业发展，培训学员2168余人次。</w:t>
      </w:r>
      <w:r>
        <w:rPr>
          <w:rFonts w:hint="eastAsia" w:ascii="仿宋_GB2312" w:hAnsi="仿宋" w:eastAsia="仿宋_GB2312"/>
          <w:color w:val="000000" w:themeColor="text1"/>
          <w:sz w:val="28"/>
          <w:szCs w:val="28"/>
          <w:lang w:val="en-US" w:eastAsia="zh-CN"/>
          <w14:textFill>
            <w14:solidFill>
              <w14:schemeClr w14:val="tx1"/>
            </w14:solidFill>
          </w14:textFill>
        </w:rPr>
        <w:t>学校服务行业企业培训统计如表2-1所示：</w:t>
      </w:r>
    </w:p>
    <w:p w14:paraId="3736D7B5">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ascii="仿宋_GB2312" w:hAnsi="宋体" w:eastAsia="仿宋_GB2312"/>
          <w:snapToGrid w:val="0"/>
          <w:kern w:val="0"/>
          <w:sz w:val="28"/>
          <w:szCs w:val="28"/>
        </w:rPr>
      </w:pPr>
    </w:p>
    <w:p w14:paraId="09EEC3EB">
      <w:pPr>
        <w:pStyle w:val="6"/>
        <w:jc w:val="center"/>
        <w:rPr>
          <w:rFonts w:ascii="仿宋_GB2312" w:hAnsi="宋体" w:eastAsia="仿宋_GB2312"/>
          <w:snapToGrid w:val="0"/>
          <w:kern w:val="0"/>
          <w:sz w:val="24"/>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2-1</w:t>
      </w:r>
      <w:bookmarkStart w:id="260" w:name="_Toc27746"/>
      <w:r>
        <w:rPr>
          <w:rFonts w:hint="eastAsia" w:ascii="楷体_GB2312" w:hAnsi="楷体_GB2312" w:eastAsia="楷体_GB2312" w:cs="楷体_GB2312"/>
          <w:sz w:val="24"/>
        </w:rPr>
        <w:t xml:space="preserve"> </w:t>
      </w:r>
      <w:r>
        <w:rPr>
          <w:rFonts w:hint="eastAsia" w:ascii="仿宋_GB2312" w:hAnsi="仿宋_GB2312" w:eastAsia="仿宋_GB2312" w:cs="仿宋_GB2312"/>
          <w:sz w:val="24"/>
          <w:szCs w:val="24"/>
          <w:lang w:val="en-US" w:eastAsia="zh-CN"/>
        </w:rPr>
        <w:t>服务行业企业培训统计表</w:t>
      </w:r>
      <w:bookmarkEnd w:id="260"/>
    </w:p>
    <w:tbl>
      <w:tblPr>
        <w:tblStyle w:val="17"/>
        <w:tblW w:w="6705" w:type="dxa"/>
        <w:jc w:val="center"/>
        <w:tblLayout w:type="autofit"/>
        <w:tblCellMar>
          <w:top w:w="0" w:type="dxa"/>
          <w:left w:w="108" w:type="dxa"/>
          <w:bottom w:w="0" w:type="dxa"/>
          <w:right w:w="108" w:type="dxa"/>
        </w:tblCellMar>
      </w:tblPr>
      <w:tblGrid>
        <w:gridCol w:w="4616"/>
        <w:gridCol w:w="2520"/>
      </w:tblGrid>
      <w:tr w14:paraId="0951DDEE">
        <w:tblPrEx>
          <w:tblCellMar>
            <w:top w:w="0" w:type="dxa"/>
            <w:left w:w="108" w:type="dxa"/>
            <w:bottom w:w="0" w:type="dxa"/>
            <w:right w:w="108" w:type="dxa"/>
          </w:tblCellMar>
        </w:tblPrEx>
        <w:trPr>
          <w:trHeight w:val="700" w:hRule="atLeast"/>
          <w:jc w:val="center"/>
        </w:trPr>
        <w:tc>
          <w:tcPr>
            <w:tcW w:w="6705" w:type="dxa"/>
            <w:gridSpan w:val="2"/>
            <w:tcBorders>
              <w:top w:val="nil"/>
              <w:left w:val="nil"/>
              <w:bottom w:val="nil"/>
              <w:right w:val="nil"/>
            </w:tcBorders>
            <w:shd w:val="clear" w:color="auto" w:fill="auto"/>
            <w:noWrap/>
            <w:vAlign w:val="center"/>
          </w:tcPr>
          <w:p w14:paraId="65208927">
            <w:pPr>
              <w:widowControl/>
              <w:jc w:val="center"/>
              <w:textAlignment w:val="center"/>
              <w:rPr>
                <w:rFonts w:ascii="仿宋_GB2312" w:hAnsi="宋体" w:eastAsia="仿宋_GB2312" w:cs="仿宋_GB2312"/>
                <w:color w:val="000000"/>
                <w:sz w:val="32"/>
                <w:szCs w:val="32"/>
              </w:rPr>
            </w:pPr>
            <w:r>
              <w:rPr>
                <w:rFonts w:hint="eastAsia" w:ascii="仿宋_GB2312" w:hAnsi="宋体" w:eastAsia="仿宋_GB2312" w:cs="仿宋_GB2312"/>
                <w:color w:val="000000"/>
                <w:kern w:val="0"/>
                <w:sz w:val="32"/>
                <w:szCs w:val="32"/>
                <w:lang w:bidi="ar"/>
              </w:rPr>
              <w:t>服务行业企业培训统计表</w:t>
            </w:r>
          </w:p>
        </w:tc>
      </w:tr>
      <w:tr w14:paraId="65D81CCF">
        <w:tblPrEx>
          <w:tblCellMar>
            <w:top w:w="0" w:type="dxa"/>
            <w:left w:w="108" w:type="dxa"/>
            <w:bottom w:w="0" w:type="dxa"/>
            <w:right w:w="108"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6EFB9">
            <w:pPr>
              <w:widowControl/>
              <w:jc w:val="center"/>
              <w:textAlignment w:val="center"/>
              <w:rPr>
                <w:rFonts w:ascii="仿宋_GB2312" w:hAnsi="宋体" w:eastAsia="仿宋_GB2312" w:cs="仿宋_GB2312"/>
                <w:color w:val="000000"/>
                <w:sz w:val="22"/>
                <w:szCs w:val="22"/>
              </w:rPr>
            </w:pPr>
            <w:r>
              <w:rPr>
                <w:rFonts w:hint="eastAsia" w:ascii="仿宋_GB2312" w:hAnsi="宋体" w:eastAsia="仿宋_GB2312" w:cs="仿宋_GB2312"/>
                <w:color w:val="000000"/>
                <w:kern w:val="0"/>
                <w:sz w:val="22"/>
                <w:szCs w:val="22"/>
                <w:lang w:bidi="ar"/>
              </w:rPr>
              <w:t>培训名称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80963">
            <w:pPr>
              <w:widowControl/>
              <w:jc w:val="center"/>
              <w:textAlignment w:val="center"/>
              <w:rPr>
                <w:rFonts w:ascii="仿宋_GB2312" w:hAnsi="宋体" w:eastAsia="仿宋_GB2312" w:cs="仿宋_GB2312"/>
                <w:color w:val="000000"/>
                <w:sz w:val="22"/>
                <w:szCs w:val="22"/>
              </w:rPr>
            </w:pPr>
            <w:r>
              <w:rPr>
                <w:rFonts w:hint="eastAsia" w:ascii="仿宋_GB2312" w:hAnsi="宋体" w:eastAsia="仿宋_GB2312" w:cs="仿宋_GB2312"/>
                <w:color w:val="000000"/>
                <w:kern w:val="0"/>
                <w:sz w:val="22"/>
                <w:szCs w:val="22"/>
                <w:lang w:bidi="ar"/>
              </w:rPr>
              <w:t>人数</w:t>
            </w:r>
          </w:p>
        </w:tc>
      </w:tr>
      <w:tr w14:paraId="2EF2C64C">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C3C29">
            <w:pPr>
              <w:widowControl/>
              <w:jc w:val="center"/>
              <w:textAlignment w:val="center"/>
              <w:rPr>
                <w:rFonts w:ascii="仿宋_GB2312" w:hAnsi="宋体" w:eastAsia="仿宋_GB2312" w:cs="仿宋_GB2312"/>
                <w:color w:val="000000"/>
                <w:sz w:val="22"/>
                <w:szCs w:val="22"/>
              </w:rPr>
            </w:pPr>
            <w:r>
              <w:rPr>
                <w:rFonts w:hint="eastAsia" w:ascii="仿宋_GB2312" w:hAnsi="宋体" w:eastAsia="仿宋_GB2312" w:cs="仿宋_GB2312"/>
                <w:color w:val="000000"/>
                <w:kern w:val="0"/>
                <w:sz w:val="22"/>
                <w:szCs w:val="22"/>
                <w:lang w:bidi="ar"/>
              </w:rPr>
              <w:t>一般行业主要负责人和管理人员培训</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BD1CD">
            <w:pPr>
              <w:keepNext w:val="0"/>
              <w:keepLines w:val="0"/>
              <w:widowControl/>
              <w:suppressLineNumbers w:val="0"/>
              <w:jc w:val="center"/>
              <w:textAlignment w:val="center"/>
              <w:rPr>
                <w:rFonts w:hint="default" w:ascii="仿宋_GB2312" w:hAnsi="宋体" w:eastAsia="仿宋_GB2312" w:cs="仿宋_GB2312"/>
                <w:color w:val="000000"/>
                <w:sz w:val="22"/>
                <w:szCs w:val="22"/>
                <w:lang w:val="en-US"/>
              </w:rPr>
            </w:pPr>
            <w:r>
              <w:rPr>
                <w:rFonts w:hint="eastAsia" w:ascii="仿宋_GB2312" w:hAnsi="宋体" w:eastAsia="仿宋_GB2312" w:cs="仿宋_GB2312"/>
                <w:i w:val="0"/>
                <w:iCs w:val="0"/>
                <w:color w:val="000000"/>
                <w:kern w:val="0"/>
                <w:sz w:val="22"/>
                <w:szCs w:val="22"/>
                <w:u w:val="none"/>
                <w:lang w:val="en-US" w:eastAsia="zh-CN" w:bidi="ar"/>
              </w:rPr>
              <w:t>1380</w:t>
            </w:r>
          </w:p>
        </w:tc>
      </w:tr>
      <w:tr w14:paraId="4885CF15">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E9C97">
            <w:pPr>
              <w:widowControl/>
              <w:jc w:val="center"/>
              <w:textAlignment w:val="center"/>
              <w:rPr>
                <w:rFonts w:ascii="仿宋_GB2312" w:hAnsi="宋体" w:eastAsia="仿宋_GB2312" w:cs="仿宋_GB2312"/>
                <w:color w:val="000000"/>
                <w:sz w:val="22"/>
                <w:szCs w:val="22"/>
              </w:rPr>
            </w:pPr>
            <w:r>
              <w:rPr>
                <w:rFonts w:hint="eastAsia" w:ascii="仿宋_GB2312" w:hAnsi="宋体" w:eastAsia="仿宋_GB2312" w:cs="仿宋_GB2312"/>
                <w:color w:val="000000"/>
                <w:kern w:val="0"/>
                <w:sz w:val="22"/>
                <w:szCs w:val="22"/>
                <w:lang w:bidi="ar"/>
              </w:rPr>
              <w:t>危化品主要负责人和管理人员培训</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356C7">
            <w:pPr>
              <w:keepNext w:val="0"/>
              <w:keepLines w:val="0"/>
              <w:widowControl/>
              <w:suppressLineNumbers w:val="0"/>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sz w:val="22"/>
                <w:szCs w:val="22"/>
                <w:lang w:val="en-US" w:eastAsia="zh-CN"/>
              </w:rPr>
              <w:t>125</w:t>
            </w:r>
          </w:p>
        </w:tc>
      </w:tr>
      <w:tr w14:paraId="2655D00B">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D2FBC">
            <w:pPr>
              <w:widowControl/>
              <w:jc w:val="center"/>
              <w:textAlignment w:val="center"/>
              <w:rPr>
                <w:rFonts w:ascii="仿宋_GB2312" w:hAnsi="宋体" w:eastAsia="仿宋_GB2312" w:cs="仿宋_GB2312"/>
                <w:color w:val="000000"/>
                <w:sz w:val="22"/>
                <w:szCs w:val="22"/>
              </w:rPr>
            </w:pPr>
            <w:r>
              <w:rPr>
                <w:rFonts w:hint="eastAsia" w:ascii="仿宋_GB2312" w:hAnsi="宋体" w:eastAsia="仿宋_GB2312" w:cs="仿宋_GB2312"/>
                <w:color w:val="000000"/>
                <w:kern w:val="0"/>
                <w:sz w:val="22"/>
                <w:szCs w:val="22"/>
                <w:lang w:val="en-US" w:eastAsia="zh-CN" w:bidi="ar"/>
              </w:rPr>
              <w:t>低压电工</w:t>
            </w:r>
            <w:r>
              <w:rPr>
                <w:rFonts w:hint="eastAsia" w:ascii="仿宋_GB2312" w:hAnsi="宋体" w:eastAsia="仿宋_GB2312" w:cs="仿宋_GB2312"/>
                <w:color w:val="000000"/>
                <w:kern w:val="0"/>
                <w:sz w:val="22"/>
                <w:szCs w:val="22"/>
                <w:lang w:bidi="ar"/>
              </w:rPr>
              <w:t>特种作业人员培训</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1222A">
            <w:pPr>
              <w:keepNext w:val="0"/>
              <w:keepLines w:val="0"/>
              <w:widowControl/>
              <w:suppressLineNumbers w:val="0"/>
              <w:jc w:val="center"/>
              <w:textAlignment w:val="center"/>
              <w:rPr>
                <w:rFonts w:hint="default" w:ascii="仿宋_GB2312" w:hAnsi="宋体" w:eastAsia="仿宋_GB2312" w:cs="仿宋_GB2312"/>
                <w:color w:val="000000"/>
                <w:sz w:val="22"/>
                <w:szCs w:val="22"/>
                <w:lang w:val="en-US"/>
              </w:rPr>
            </w:pPr>
            <w:r>
              <w:rPr>
                <w:rFonts w:hint="eastAsia" w:ascii="仿宋_GB2312" w:hAnsi="宋体" w:eastAsia="仿宋_GB2312" w:cs="仿宋_GB2312"/>
                <w:i w:val="0"/>
                <w:iCs w:val="0"/>
                <w:color w:val="000000"/>
                <w:kern w:val="0"/>
                <w:sz w:val="22"/>
                <w:szCs w:val="22"/>
                <w:u w:val="none"/>
                <w:lang w:val="en-US" w:eastAsia="zh-CN" w:bidi="ar"/>
              </w:rPr>
              <w:t>76</w:t>
            </w:r>
          </w:p>
        </w:tc>
      </w:tr>
      <w:tr w14:paraId="7707B990">
        <w:tblPrEx>
          <w:tblCellMar>
            <w:top w:w="0" w:type="dxa"/>
            <w:left w:w="108" w:type="dxa"/>
            <w:bottom w:w="0" w:type="dxa"/>
            <w:right w:w="108"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6A441">
            <w:pPr>
              <w:widowControl/>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sz w:val="22"/>
                <w:szCs w:val="22"/>
                <w:lang w:val="en-US" w:eastAsia="zh-CN"/>
              </w:rPr>
              <w:t>焊接与热切割</w:t>
            </w:r>
            <w:r>
              <w:rPr>
                <w:rFonts w:hint="eastAsia" w:ascii="仿宋_GB2312" w:hAnsi="宋体" w:eastAsia="仿宋_GB2312" w:cs="仿宋_GB2312"/>
                <w:color w:val="000000"/>
                <w:kern w:val="0"/>
                <w:sz w:val="22"/>
                <w:szCs w:val="22"/>
                <w:lang w:bidi="ar"/>
              </w:rPr>
              <w:t>特种作业人员培训</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48AA7">
            <w:pPr>
              <w:keepNext w:val="0"/>
              <w:keepLines w:val="0"/>
              <w:widowControl/>
              <w:suppressLineNumbers w:val="0"/>
              <w:jc w:val="center"/>
              <w:textAlignment w:val="center"/>
              <w:rPr>
                <w:rFonts w:hint="default" w:ascii="仿宋_GB2312" w:hAnsi="宋体" w:eastAsia="仿宋_GB2312" w:cs="仿宋_GB2312"/>
                <w:color w:val="000000"/>
                <w:sz w:val="22"/>
                <w:szCs w:val="22"/>
                <w:lang w:val="en-US"/>
              </w:rPr>
            </w:pPr>
            <w:r>
              <w:rPr>
                <w:rFonts w:hint="eastAsia" w:ascii="仿宋_GB2312" w:hAnsi="宋体" w:eastAsia="仿宋_GB2312" w:cs="仿宋_GB2312"/>
                <w:i w:val="0"/>
                <w:iCs w:val="0"/>
                <w:color w:val="000000"/>
                <w:kern w:val="0"/>
                <w:sz w:val="22"/>
                <w:szCs w:val="22"/>
                <w:u w:val="none"/>
                <w:lang w:val="en-US" w:eastAsia="zh-CN" w:bidi="ar"/>
              </w:rPr>
              <w:t>52</w:t>
            </w:r>
          </w:p>
        </w:tc>
      </w:tr>
      <w:tr w14:paraId="17E7B423">
        <w:tblPrEx>
          <w:tblCellMar>
            <w:top w:w="0" w:type="dxa"/>
            <w:left w:w="108" w:type="dxa"/>
            <w:bottom w:w="0" w:type="dxa"/>
            <w:right w:w="108"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B3DE0">
            <w:pPr>
              <w:widowControl/>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kern w:val="0"/>
                <w:sz w:val="22"/>
                <w:szCs w:val="22"/>
                <w:lang w:val="en-US" w:eastAsia="zh-CN" w:bidi="ar"/>
              </w:rPr>
              <w:t>用人单位职业健康主要负责人和管理人员培训</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21F08">
            <w:pPr>
              <w:keepNext w:val="0"/>
              <w:keepLines w:val="0"/>
              <w:widowControl/>
              <w:suppressLineNumbers w:val="0"/>
              <w:jc w:val="center"/>
              <w:textAlignment w:val="center"/>
              <w:rPr>
                <w:rFonts w:hint="default" w:ascii="仿宋_GB2312" w:hAnsi="宋体" w:eastAsia="仿宋_GB2312" w:cs="仿宋_GB2312"/>
                <w:color w:val="000000"/>
                <w:sz w:val="22"/>
                <w:szCs w:val="22"/>
                <w:lang w:val="en-US"/>
              </w:rPr>
            </w:pPr>
            <w:r>
              <w:rPr>
                <w:rFonts w:hint="eastAsia" w:ascii="仿宋_GB2312" w:hAnsi="宋体" w:eastAsia="仿宋_GB2312" w:cs="仿宋_GB2312"/>
                <w:i w:val="0"/>
                <w:iCs w:val="0"/>
                <w:color w:val="000000"/>
                <w:kern w:val="0"/>
                <w:sz w:val="22"/>
                <w:szCs w:val="22"/>
                <w:u w:val="none"/>
                <w:lang w:val="en-US" w:eastAsia="zh-CN" w:bidi="ar"/>
              </w:rPr>
              <w:t>142</w:t>
            </w:r>
          </w:p>
        </w:tc>
      </w:tr>
    </w:tbl>
    <w:p w14:paraId="25186CCC">
      <w:pPr>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（数据来源：第三方调查机构）</w:t>
      </w:r>
    </w:p>
    <w:p w14:paraId="79375A51">
      <w:pPr>
        <w:jc w:val="center"/>
        <w:rPr>
          <w:rFonts w:hint="eastAsia" w:ascii="楷体_GB2312" w:hAnsi="楷体_GB2312" w:eastAsia="楷体_GB2312" w:cs="楷体_GB2312"/>
          <w:color w:val="000000" w:themeColor="text1"/>
          <w:sz w:val="24"/>
          <w14:textFill>
            <w14:solidFill>
              <w14:schemeClr w14:val="tx1"/>
            </w14:solidFill>
          </w14:textFill>
        </w:rPr>
      </w:pPr>
      <w:r>
        <w:rPr>
          <w:rFonts w:hint="eastAsia" w:ascii="仿宋_GB2312" w:hAnsi="仿宋_GB2312" w:eastAsia="仿宋_GB2312" w:cs="仿宋_GB2312"/>
          <w:sz w:val="24"/>
          <w:szCs w:val="24"/>
          <w:lang w:val="en-US" w:eastAsia="zh-CN"/>
        </w:rPr>
        <w:drawing>
          <wp:inline distT="0" distB="0" distL="114300" distR="114300">
            <wp:extent cx="2880995" cy="2160270"/>
            <wp:effectExtent l="0" t="0" r="14605" b="3810"/>
            <wp:docPr id="227" name="图片 227" descr="6100bd81b14666988b702c70f36d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6100bd81b14666988b702c70f36da70b"/>
                    <pic:cNvPicPr>
                      <a:picLocks noChangeAspect="1"/>
                    </pic:cNvPicPr>
                  </pic:nvPicPr>
                  <pic:blipFill>
                    <a:blip r:embed="rId45"/>
                    <a:stretch>
                      <a:fillRect/>
                    </a:stretch>
                  </pic:blipFill>
                  <pic:spPr>
                    <a:xfrm>
                      <a:off x="0" y="0"/>
                      <a:ext cx="2880995" cy="2160270"/>
                    </a:xfrm>
                    <a:prstGeom prst="rect">
                      <a:avLst/>
                    </a:prstGeom>
                  </pic:spPr>
                </pic:pic>
              </a:graphicData>
            </a:graphic>
          </wp:inline>
        </w:drawing>
      </w:r>
    </w:p>
    <w:p w14:paraId="7E035A66">
      <w:pPr>
        <w:jc w:val="center"/>
        <w:rPr>
          <w:rFonts w:hint="eastAsia" w:ascii="楷体_GB2312" w:hAnsi="楷体_GB2312" w:eastAsia="楷体_GB2312" w:cs="楷体_GB2312"/>
          <w:color w:val="000000" w:themeColor="text1"/>
          <w:sz w:val="24"/>
          <w14:textFill>
            <w14:solidFill>
              <w14:schemeClr w14:val="tx1"/>
            </w14:solidFill>
          </w14:textFill>
        </w:rPr>
      </w:pPr>
      <w:r>
        <w:rPr>
          <w:rFonts w:hint="eastAsia" w:ascii="楷体_GB2312" w:hAnsi="楷体_GB2312" w:eastAsia="楷体_GB2312" w:cs="楷体_GB2312"/>
          <w:color w:val="000000" w:themeColor="text1"/>
          <w:sz w:val="24"/>
          <w14:textFill>
            <w14:solidFill>
              <w14:schemeClr w14:val="tx1"/>
            </w14:solidFill>
          </w14:textFill>
        </w:rPr>
        <w:t xml:space="preserve">图 </w:t>
      </w:r>
      <w:bookmarkStart w:id="261" w:name="_Toc3102"/>
      <w:r>
        <w:rPr>
          <w:rFonts w:hint="eastAsia" w:ascii="楷体_GB2312" w:hAnsi="楷体_GB2312" w:eastAsia="楷体_GB2312" w:cs="楷体_GB2312"/>
          <w:color w:val="000000" w:themeColor="text1"/>
          <w:sz w:val="24"/>
          <w:lang w:val="en-US" w:eastAsia="zh-CN"/>
          <w14:textFill>
            <w14:solidFill>
              <w14:schemeClr w14:val="tx1"/>
            </w14:solidFill>
          </w14:textFill>
        </w:rPr>
        <w:t>2-1</w:t>
      </w:r>
      <w:r>
        <w:rPr>
          <w:rFonts w:hint="eastAsia" w:ascii="楷体_GB2312" w:hAnsi="楷体_GB2312" w:eastAsia="楷体_GB2312" w:cs="楷体_GB2312"/>
          <w:color w:val="000000" w:themeColor="text1"/>
          <w:sz w:val="24"/>
          <w14:textFill>
            <w14:solidFill>
              <w14:schemeClr w14:val="tx1"/>
            </w14:solidFill>
          </w14:textFill>
        </w:rPr>
        <w:t xml:space="preserve"> 鲁泰集团职工焊工技能竞赛</w:t>
      </w:r>
      <w:bookmarkEnd w:id="261"/>
    </w:p>
    <w:p w14:paraId="69C6463A">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color w:val="000000" w:themeColor="text1"/>
          <w:sz w:val="30"/>
          <w:szCs w:val="30"/>
          <w14:textFill>
            <w14:solidFill>
              <w14:schemeClr w14:val="tx1"/>
            </w14:solidFill>
          </w14:textFill>
        </w:rPr>
      </w:pPr>
      <w:bookmarkStart w:id="262" w:name="_Toc23361"/>
      <w:bookmarkStart w:id="263" w:name="_Toc4583"/>
      <w:r>
        <w:rPr>
          <w:rFonts w:hint="eastAsia" w:ascii="黑体" w:hAnsi="黑体" w:eastAsia="黑体" w:cs="黑体"/>
          <w:b w:val="0"/>
          <w:bCs w:val="0"/>
          <w:color w:val="000000" w:themeColor="text1"/>
          <w:sz w:val="30"/>
          <w:szCs w:val="30"/>
          <w:lang w:val="en-US" w:eastAsia="zh-CN"/>
          <w14:textFill>
            <w14:solidFill>
              <w14:schemeClr w14:val="tx1"/>
            </w14:solidFill>
          </w14:textFill>
        </w:rPr>
        <w:t>（二）</w:t>
      </w:r>
      <w:bookmarkEnd w:id="259"/>
      <w:bookmarkEnd w:id="262"/>
      <w:bookmarkStart w:id="264" w:name="_Toc25334"/>
      <w:bookmarkStart w:id="265" w:name="_Toc27794"/>
      <w:bookmarkStart w:id="266" w:name="_Toc2255"/>
      <w:r>
        <w:rPr>
          <w:rFonts w:hint="eastAsia" w:ascii="黑体" w:hAnsi="黑体" w:eastAsia="黑体" w:cs="黑体"/>
          <w:b w:val="0"/>
          <w:bCs w:val="0"/>
          <w:color w:val="000000" w:themeColor="text1"/>
          <w:sz w:val="30"/>
          <w:szCs w:val="30"/>
          <w14:textFill>
            <w14:solidFill>
              <w14:schemeClr w14:val="tx1"/>
            </w14:solidFill>
          </w14:textFill>
        </w:rPr>
        <w:t>服务地方发展</w:t>
      </w:r>
      <w:bookmarkEnd w:id="263"/>
    </w:p>
    <w:p w14:paraId="4FCD8CD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bookmarkStart w:id="267" w:name="_Toc29068"/>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多措并举扩大高质量人力资源供给</w:t>
      </w:r>
    </w:p>
    <w:p w14:paraId="5043A56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始终秉持“适应需求、服务发展、促进就业”的办学方向，紧密对接地方产业转型升级和淄川区发展规划，将服务地方经济视为核心使命，锐意推进职业教育改革创新。一方面，积极开展专、本科学历提升培训，2024年吸引112名学员参与学业项目；另一方面，深化非学历教育培训，通过“订单式”“菜单式”技能培训模式，为企业职工、居民提供定制化课程，累计培训学员超3000人次。面向区域产业发展需求，学校动态优化专业结构，持续巩固服装纺织、数控技术、陶瓷工艺等优势产业相关专业群建设，形成与地方经济深度融合的专业体系。为激发职工技能提升热情，培养精益求精的职业精神，学校于2024年承办淄川区第一届“匠心逐梦，技耀未来”机械和纺织行业技能竞赛，通过竞赛实践推动高技能人才队伍建设，有效赋能行业高质量发展。</w:t>
      </w:r>
      <w:bookmarkEnd w:id="264"/>
      <w:bookmarkEnd w:id="265"/>
      <w:bookmarkEnd w:id="266"/>
      <w:bookmarkEnd w:id="267"/>
    </w:p>
    <w:p w14:paraId="39A540C7">
      <w:pPr>
        <w:jc w:val="center"/>
        <w:rPr>
          <w:rFonts w:ascii="宋体" w:hAnsi="宋体" w:cs="宋体"/>
          <w:sz w:val="24"/>
        </w:rPr>
      </w:pPr>
      <w:r>
        <w:rPr>
          <w:rFonts w:hint="eastAsia" w:ascii="仿宋_GB2312" w:hAnsi="仿宋_GB2312" w:eastAsia="仿宋_GB2312" w:cs="仿宋_GB2312"/>
          <w:sz w:val="28"/>
          <w:szCs w:val="28"/>
          <w:lang w:val="en-US" w:eastAsia="zh-CN"/>
        </w:rPr>
        <w:drawing>
          <wp:inline distT="0" distB="0" distL="114300" distR="114300">
            <wp:extent cx="2880995" cy="2160270"/>
            <wp:effectExtent l="0" t="0" r="14605" b="3810"/>
            <wp:docPr id="228" name="图片 228" descr="f53ceb90027a1ac08768231677f5f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f53ceb90027a1ac08768231677f5f083"/>
                    <pic:cNvPicPr>
                      <a:picLocks noChangeAspect="1"/>
                    </pic:cNvPicPr>
                  </pic:nvPicPr>
                  <pic:blipFill>
                    <a:blip r:embed="rId46"/>
                    <a:stretch>
                      <a:fillRect/>
                    </a:stretch>
                  </pic:blipFill>
                  <pic:spPr>
                    <a:xfrm>
                      <a:off x="0" y="0"/>
                      <a:ext cx="2880995" cy="2160270"/>
                    </a:xfrm>
                    <a:prstGeom prst="rect">
                      <a:avLst/>
                    </a:prstGeom>
                  </pic:spPr>
                </pic:pic>
              </a:graphicData>
            </a:graphic>
          </wp:inline>
        </w:drawing>
      </w:r>
    </w:p>
    <w:p w14:paraId="31480027">
      <w:pPr>
        <w:jc w:val="center"/>
        <w:rPr>
          <w:rFonts w:hint="eastAsia" w:ascii="楷体_GB2312" w:hAnsi="楷体_GB2312" w:eastAsia="楷体_GB2312" w:cs="楷体_GB2312"/>
          <w:color w:val="000000" w:themeColor="text1"/>
          <w:sz w:val="24"/>
          <w14:textFill>
            <w14:solidFill>
              <w14:schemeClr w14:val="tx1"/>
            </w14:solidFill>
          </w14:textFill>
        </w:rPr>
      </w:pPr>
      <w:r>
        <w:rPr>
          <w:rFonts w:hint="eastAsia" w:ascii="楷体_GB2312" w:hAnsi="楷体_GB2312" w:eastAsia="楷体_GB2312" w:cs="楷体_GB2312"/>
          <w:color w:val="000000" w:themeColor="text1"/>
          <w:sz w:val="24"/>
          <w14:textFill>
            <w14:solidFill>
              <w14:schemeClr w14:val="tx1"/>
            </w14:solidFill>
          </w14:textFill>
        </w:rPr>
        <w:t xml:space="preserve">图 </w:t>
      </w:r>
      <w:bookmarkStart w:id="268" w:name="_Toc21925"/>
      <w:r>
        <w:rPr>
          <w:rFonts w:hint="eastAsia" w:ascii="楷体_GB2312" w:hAnsi="楷体_GB2312" w:eastAsia="楷体_GB2312" w:cs="楷体_GB2312"/>
          <w:color w:val="000000" w:themeColor="text1"/>
          <w:sz w:val="24"/>
          <w:lang w:val="en-US" w:eastAsia="zh-CN"/>
          <w14:textFill>
            <w14:solidFill>
              <w14:schemeClr w14:val="tx1"/>
            </w14:solidFill>
          </w14:textFill>
        </w:rPr>
        <w:t>2-2</w:t>
      </w:r>
      <w:r>
        <w:rPr>
          <w:rFonts w:hint="eastAsia" w:ascii="楷体_GB2312" w:hAnsi="楷体_GB2312" w:eastAsia="楷体_GB2312" w:cs="楷体_GB2312"/>
          <w:color w:val="000000" w:themeColor="text1"/>
          <w:sz w:val="24"/>
          <w14:textFill>
            <w14:solidFill>
              <w14:schemeClr w14:val="tx1"/>
            </w14:solidFill>
          </w14:textFill>
        </w:rPr>
        <w:t xml:space="preserve"> 淄川区第二届“匠心逐梦，技耀未来”机械制造行业大赛</w:t>
      </w:r>
      <w:bookmarkEnd w:id="268"/>
    </w:p>
    <w:p w14:paraId="613D79ED">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color w:val="000000" w:themeColor="text1"/>
          <w:sz w:val="30"/>
          <w:szCs w:val="30"/>
          <w14:textFill>
            <w14:solidFill>
              <w14:schemeClr w14:val="tx1"/>
            </w14:solidFill>
          </w14:textFill>
        </w:rPr>
      </w:pPr>
      <w:bookmarkStart w:id="269" w:name="_Toc12163"/>
      <w:r>
        <w:rPr>
          <w:rFonts w:hint="eastAsia" w:ascii="黑体" w:hAnsi="黑体" w:eastAsia="黑体" w:cs="黑体"/>
          <w:b w:val="0"/>
          <w:bCs w:val="0"/>
          <w:color w:val="000000" w:themeColor="text1"/>
          <w:sz w:val="30"/>
          <w:szCs w:val="30"/>
          <w:lang w:val="en-US" w:eastAsia="zh-CN"/>
          <w14:textFill>
            <w14:solidFill>
              <w14:schemeClr w14:val="tx1"/>
            </w14:solidFill>
          </w14:textFill>
        </w:rPr>
        <w:t>（三）</w:t>
      </w:r>
      <w:r>
        <w:rPr>
          <w:rFonts w:hint="eastAsia" w:ascii="黑体" w:hAnsi="黑体" w:eastAsia="黑体" w:cs="黑体"/>
          <w:b w:val="0"/>
          <w:bCs w:val="0"/>
          <w:color w:val="000000" w:themeColor="text1"/>
          <w:sz w:val="30"/>
          <w:szCs w:val="30"/>
          <w14:textFill>
            <w14:solidFill>
              <w14:schemeClr w14:val="tx1"/>
            </w14:solidFill>
          </w14:textFill>
        </w:rPr>
        <w:t>服务乡村振兴</w:t>
      </w:r>
      <w:bookmarkEnd w:id="269"/>
    </w:p>
    <w:p w14:paraId="5F07890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科学办学服务乡村振兴</w:t>
      </w:r>
    </w:p>
    <w:p w14:paraId="458B8BB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themeColor="text1"/>
          <w:kern w:val="44"/>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积极融入地方发展，推动职业教育高质量发展与乡村振兴战略深度融合，构建起校地协同、互利共赢的乡村振兴共同体。一是与区总工会共同开展安全生产月送教上门活动，活动期间共开展培训13期，培训学员930余人。二是在全区幼儿园、养老机构范围内组织开展了保育师、养老护理员培训工作，培训幼儿园及各养老机构护理员共计600余人，263人成功获取国家技能等级证书，通过率为85%。三是不断推进完善体系社区教育机构和文化书院建设，与淄川区将军路办事处达成公益培训共建协议，根据社区居民需求，不定期到社区开展公益培训志愿活动。四是组织了2025全国“乐龄杯”老年文艺展演活动作品征集活动、省、市城乡社区教育特色学校遴选、社区教育品牌、“书香淄博”全民阅读活动、“淄博全民学习网”应用推广、新时代“百姓学习之星”、“终身学习品牌”、“终身学习工作者之星”等系列活动，分别荣获相应奖项。</w:t>
      </w:r>
    </w:p>
    <w:p w14:paraId="0BE8D10A">
      <w:pPr>
        <w:jc w:val="center"/>
        <w:rPr>
          <w:rFonts w:ascii="宋体" w:hAnsi="宋体" w:cs="宋体"/>
          <w:sz w:val="24"/>
        </w:rPr>
      </w:pPr>
      <w:r>
        <w:drawing>
          <wp:inline distT="0" distB="0" distL="114300" distR="114300">
            <wp:extent cx="2589530" cy="2160270"/>
            <wp:effectExtent l="0" t="0" r="1270" b="3810"/>
            <wp:docPr id="266" name="图片 21" descr="安全生产月送教上门活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1" descr="安全生产月送教上门活动2"/>
                    <pic:cNvPicPr>
                      <a:picLocks noChangeAspect="1"/>
                    </pic:cNvPicPr>
                  </pic:nvPicPr>
                  <pic:blipFill>
                    <a:blip r:embed="rId47"/>
                    <a:stretch>
                      <a:fillRect/>
                    </a:stretch>
                  </pic:blipFill>
                  <pic:spPr>
                    <a:xfrm>
                      <a:off x="0" y="0"/>
                      <a:ext cx="2589530" cy="2160270"/>
                    </a:xfrm>
                    <a:prstGeom prst="rect">
                      <a:avLst/>
                    </a:prstGeom>
                  </pic:spPr>
                </pic:pic>
              </a:graphicData>
            </a:graphic>
          </wp:inline>
        </w:drawing>
      </w:r>
    </w:p>
    <w:p w14:paraId="5C41A007">
      <w:pPr>
        <w:jc w:val="center"/>
        <w:rPr>
          <w:rFonts w:hint="eastAsia" w:ascii="楷体_GB2312" w:hAnsi="楷体_GB2312" w:eastAsia="楷体_GB2312" w:cs="楷体_GB2312"/>
          <w:color w:val="000000" w:themeColor="text1"/>
          <w:sz w:val="24"/>
          <w14:textFill>
            <w14:solidFill>
              <w14:schemeClr w14:val="tx1"/>
            </w14:solidFill>
          </w14:textFill>
        </w:rPr>
      </w:pPr>
      <w:r>
        <w:rPr>
          <w:rFonts w:hint="eastAsia" w:ascii="楷体_GB2312" w:hAnsi="楷体_GB2312" w:eastAsia="楷体_GB2312" w:cs="楷体_GB2312"/>
          <w:color w:val="000000" w:themeColor="text1"/>
          <w:sz w:val="24"/>
          <w14:textFill>
            <w14:solidFill>
              <w14:schemeClr w14:val="tx1"/>
            </w14:solidFill>
          </w14:textFill>
        </w:rPr>
        <w:t xml:space="preserve">图 </w:t>
      </w:r>
      <w:bookmarkStart w:id="270" w:name="_Toc22663"/>
      <w:r>
        <w:rPr>
          <w:rFonts w:hint="eastAsia" w:ascii="楷体_GB2312" w:hAnsi="楷体_GB2312" w:eastAsia="楷体_GB2312" w:cs="楷体_GB2312"/>
          <w:color w:val="000000" w:themeColor="text1"/>
          <w:sz w:val="24"/>
          <w:lang w:val="en-US" w:eastAsia="zh-CN"/>
          <w14:textFill>
            <w14:solidFill>
              <w14:schemeClr w14:val="tx1"/>
            </w14:solidFill>
          </w14:textFill>
        </w:rPr>
        <w:t>2-3</w:t>
      </w:r>
      <w:r>
        <w:rPr>
          <w:rFonts w:hint="eastAsia" w:ascii="楷体_GB2312" w:hAnsi="楷体_GB2312" w:eastAsia="楷体_GB2312" w:cs="楷体_GB2312"/>
          <w:color w:val="000000" w:themeColor="text1"/>
          <w:sz w:val="24"/>
          <w14:textFill>
            <w14:solidFill>
              <w14:schemeClr w14:val="tx1"/>
            </w14:solidFill>
          </w14:textFill>
        </w:rPr>
        <w:t xml:space="preserve"> 安全生产月送教上门活动</w:t>
      </w:r>
      <w:bookmarkEnd w:id="270"/>
    </w:p>
    <w:p w14:paraId="10CEDBF8">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color w:val="000000" w:themeColor="text1"/>
          <w:sz w:val="30"/>
          <w:szCs w:val="30"/>
          <w14:textFill>
            <w14:solidFill>
              <w14:schemeClr w14:val="tx1"/>
            </w14:solidFill>
          </w14:textFill>
        </w:rPr>
      </w:pPr>
      <w:bookmarkStart w:id="271" w:name="_Toc13131"/>
      <w:r>
        <w:rPr>
          <w:rFonts w:hint="eastAsia" w:ascii="黑体" w:hAnsi="黑体" w:eastAsia="黑体" w:cs="黑体"/>
          <w:b w:val="0"/>
          <w:bCs w:val="0"/>
          <w:color w:val="000000" w:themeColor="text1"/>
          <w:sz w:val="30"/>
          <w:szCs w:val="30"/>
          <w:lang w:val="en-US" w:eastAsia="zh-CN"/>
          <w14:textFill>
            <w14:solidFill>
              <w14:schemeClr w14:val="tx1"/>
            </w14:solidFill>
          </w14:textFill>
        </w:rPr>
        <w:t>（四）</w:t>
      </w:r>
      <w:r>
        <w:rPr>
          <w:rFonts w:hint="eastAsia" w:ascii="黑体" w:hAnsi="黑体" w:eastAsia="黑体" w:cs="黑体"/>
          <w:b w:val="0"/>
          <w:bCs w:val="0"/>
          <w:color w:val="000000" w:themeColor="text1"/>
          <w:sz w:val="30"/>
          <w:szCs w:val="30"/>
          <w14:textFill>
            <w14:solidFill>
              <w14:schemeClr w14:val="tx1"/>
            </w14:solidFill>
          </w14:textFill>
        </w:rPr>
        <w:t>服务地方社区</w:t>
      </w:r>
      <w:bookmarkEnd w:id="271"/>
    </w:p>
    <w:p w14:paraId="22836DC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1.发挥资源优势赋能社区发展</w:t>
      </w:r>
    </w:p>
    <w:p w14:paraId="67F3B4C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14:textFill>
            <w14:solidFill>
              <w14:schemeClr w14:val="tx1"/>
            </w14:solidFill>
          </w14:textFill>
        </w:rPr>
        <w:t>学校依托淄川区老年开放大学，整合校内外优质资源，联合区体育协会、音乐团体等专业力量，组建“专业教师+行业专家”双师型教学团队，围绕主动健康、技能提升、学历圆梦、休闲娱乐四大领域，开发17门特色课程，重点打造声乐、舞蹈、电子钢琴、太极拳、手机摄影及短视频制作五大热门专业。通过在校本部及颐泽社区教学点开展200课时线下教学，累计培训1137人次，依托学校彩虹之光心理健康中心推出7场心理讲座及团体辅导，覆盖1260人次，获社会各界高度评价。学校大力倡导“人人为我、我为人人”理念，弘扬“团结、友爱、互助、进步”精神，通过“大处着眼、小处着手、从我做起、持之以恒”的实践路径，组织师生深入乡村、企业、新时代文明实践点，开展政策宣讲、义务支教、扶贫帮困、基层调研等92场志愿服务活动。2024年9月至2025年8月，累计参与师生达4500人次，以实际行动践行志愿服务精神，赋能社区发展。</w:t>
      </w:r>
      <w:r>
        <w:rPr>
          <w:rFonts w:hint="eastAsia" w:ascii="仿宋_GB2312" w:hAnsi="仿宋" w:eastAsia="仿宋_GB2312"/>
          <w:color w:val="000000" w:themeColor="text1"/>
          <w:sz w:val="28"/>
          <w:szCs w:val="28"/>
          <w:lang w:val="en-US"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服务地方社区</w:t>
      </w:r>
      <w:r>
        <w:rPr>
          <w:rFonts w:hint="eastAsia" w:ascii="仿宋_GB2312" w:hAnsi="仿宋" w:eastAsia="仿宋_GB2312"/>
          <w:color w:val="000000" w:themeColor="text1"/>
          <w:sz w:val="28"/>
          <w:szCs w:val="28"/>
          <w:lang w:val="en-US" w:eastAsia="zh-CN"/>
          <w14:textFill>
            <w14:solidFill>
              <w14:schemeClr w14:val="tx1"/>
            </w14:solidFill>
          </w14:textFill>
        </w:rPr>
        <w:t>情况如表2-2所示：</w:t>
      </w:r>
    </w:p>
    <w:p w14:paraId="060B70A9">
      <w:pPr>
        <w:pStyle w:val="6"/>
        <w:jc w:val="center"/>
        <w:rPr>
          <w:rFonts w:ascii="仿宋_GB2312" w:hAnsi="宋体" w:eastAsia="仿宋_GB2312"/>
          <w:snapToGrid w:val="0"/>
          <w:kern w:val="0"/>
          <w:sz w:val="24"/>
        </w:rPr>
      </w:pPr>
      <w:r>
        <w:rPr>
          <w:rFonts w:hint="eastAsia" w:ascii="楷体_GB2312" w:hAnsi="楷体_GB2312" w:eastAsia="楷体_GB2312" w:cs="楷体_GB2312"/>
          <w:sz w:val="24"/>
        </w:rPr>
        <w:t xml:space="preserve">表 </w:t>
      </w:r>
      <w:bookmarkStart w:id="272" w:name="_Toc5865"/>
      <w:r>
        <w:rPr>
          <w:rFonts w:hint="eastAsia" w:ascii="楷体_GB2312" w:hAnsi="楷体_GB2312" w:eastAsia="楷体_GB2312" w:cs="楷体_GB2312"/>
          <w:sz w:val="24"/>
          <w:lang w:val="en-US" w:eastAsia="zh-CN"/>
        </w:rPr>
        <w:t>2-2</w:t>
      </w:r>
      <w:r>
        <w:rPr>
          <w:rFonts w:hint="eastAsia" w:ascii="楷体_GB2312" w:hAnsi="楷体_GB2312" w:eastAsia="楷体_GB2312" w:cs="楷体_GB2312"/>
          <w:sz w:val="24"/>
        </w:rPr>
        <w:t xml:space="preserve"> </w:t>
      </w:r>
      <w:r>
        <w:rPr>
          <w:rFonts w:hint="eastAsia" w:ascii="仿宋_GB2312" w:hAnsi="仿宋_GB2312" w:eastAsia="仿宋_GB2312" w:cs="仿宋_GB2312"/>
          <w:sz w:val="24"/>
          <w:szCs w:val="24"/>
          <w:lang w:val="en-US" w:eastAsia="zh-CN"/>
        </w:rPr>
        <w:t>服务地方社区培训统计表</w:t>
      </w:r>
      <w:bookmarkEnd w:id="272"/>
    </w:p>
    <w:tbl>
      <w:tblPr>
        <w:tblStyle w:val="17"/>
        <w:tblW w:w="6705" w:type="dxa"/>
        <w:jc w:val="center"/>
        <w:tblLayout w:type="autofit"/>
        <w:tblCellMar>
          <w:top w:w="0" w:type="dxa"/>
          <w:left w:w="108" w:type="dxa"/>
          <w:bottom w:w="0" w:type="dxa"/>
          <w:right w:w="108" w:type="dxa"/>
        </w:tblCellMar>
      </w:tblPr>
      <w:tblGrid>
        <w:gridCol w:w="4185"/>
        <w:gridCol w:w="2520"/>
      </w:tblGrid>
      <w:tr w14:paraId="26C65803">
        <w:tblPrEx>
          <w:tblCellMar>
            <w:top w:w="0" w:type="dxa"/>
            <w:left w:w="108" w:type="dxa"/>
            <w:bottom w:w="0" w:type="dxa"/>
            <w:right w:w="108" w:type="dxa"/>
          </w:tblCellMar>
        </w:tblPrEx>
        <w:trPr>
          <w:trHeight w:val="700" w:hRule="atLeast"/>
          <w:jc w:val="center"/>
        </w:trPr>
        <w:tc>
          <w:tcPr>
            <w:tcW w:w="6705" w:type="dxa"/>
            <w:gridSpan w:val="2"/>
            <w:tcBorders>
              <w:top w:val="nil"/>
              <w:left w:val="nil"/>
              <w:bottom w:val="nil"/>
              <w:right w:val="nil"/>
            </w:tcBorders>
            <w:shd w:val="clear" w:color="auto" w:fill="auto"/>
            <w:noWrap/>
            <w:vAlign w:val="center"/>
          </w:tcPr>
          <w:p w14:paraId="17F3B812">
            <w:pPr>
              <w:widowControl/>
              <w:jc w:val="center"/>
              <w:textAlignment w:val="center"/>
              <w:rPr>
                <w:rFonts w:ascii="仿宋_GB2312" w:hAnsi="宋体" w:eastAsia="仿宋_GB2312" w:cs="仿宋_GB2312"/>
                <w:color w:val="000000"/>
                <w:sz w:val="32"/>
                <w:szCs w:val="32"/>
              </w:rPr>
            </w:pPr>
            <w:r>
              <w:rPr>
                <w:rFonts w:hint="eastAsia" w:ascii="仿宋_GB2312" w:hAnsi="宋体" w:eastAsia="仿宋_GB2312" w:cs="仿宋_GB2312"/>
                <w:color w:val="000000"/>
                <w:kern w:val="0"/>
                <w:sz w:val="32"/>
                <w:szCs w:val="32"/>
                <w:lang w:bidi="ar"/>
              </w:rPr>
              <w:t>服务</w:t>
            </w:r>
            <w:r>
              <w:rPr>
                <w:rFonts w:hint="eastAsia" w:ascii="仿宋_GB2312" w:hAnsi="宋体" w:eastAsia="仿宋_GB2312" w:cs="仿宋_GB2312"/>
                <w:color w:val="000000"/>
                <w:kern w:val="0"/>
                <w:sz w:val="32"/>
                <w:szCs w:val="32"/>
                <w:lang w:val="en-US" w:eastAsia="zh-CN" w:bidi="ar"/>
              </w:rPr>
              <w:t>地方社区</w:t>
            </w:r>
            <w:r>
              <w:rPr>
                <w:rFonts w:hint="eastAsia" w:ascii="仿宋_GB2312" w:hAnsi="宋体" w:eastAsia="仿宋_GB2312" w:cs="仿宋_GB2312"/>
                <w:color w:val="000000"/>
                <w:kern w:val="0"/>
                <w:sz w:val="32"/>
                <w:szCs w:val="32"/>
                <w:lang w:bidi="ar"/>
              </w:rPr>
              <w:t>培训统计表</w:t>
            </w:r>
          </w:p>
        </w:tc>
      </w:tr>
      <w:tr w14:paraId="1CF7EF17">
        <w:tblPrEx>
          <w:tblCellMar>
            <w:top w:w="0" w:type="dxa"/>
            <w:left w:w="108" w:type="dxa"/>
            <w:bottom w:w="0" w:type="dxa"/>
            <w:right w:w="108"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9DAAF">
            <w:pPr>
              <w:widowControl/>
              <w:jc w:val="center"/>
              <w:textAlignment w:val="center"/>
              <w:rPr>
                <w:rFonts w:hint="eastAsia" w:ascii="仿宋_GB2312" w:hAnsi="宋体" w:eastAsia="仿宋_GB2312" w:cs="仿宋_GB2312"/>
                <w:color w:val="000000"/>
                <w:sz w:val="22"/>
                <w:szCs w:val="22"/>
                <w:lang w:eastAsia="zh-CN"/>
              </w:rPr>
            </w:pPr>
            <w:r>
              <w:rPr>
                <w:rFonts w:hint="eastAsia" w:ascii="仿宋_GB2312" w:hAnsi="宋体" w:eastAsia="仿宋_GB2312" w:cs="仿宋_GB2312"/>
                <w:color w:val="000000"/>
                <w:kern w:val="0"/>
                <w:sz w:val="22"/>
                <w:szCs w:val="22"/>
                <w:lang w:bidi="ar"/>
              </w:rPr>
              <w:t>培训</w:t>
            </w:r>
            <w:r>
              <w:rPr>
                <w:rFonts w:hint="eastAsia" w:ascii="仿宋_GB2312" w:hAnsi="宋体" w:eastAsia="仿宋_GB2312" w:cs="仿宋_GB2312"/>
                <w:color w:val="000000"/>
                <w:kern w:val="0"/>
                <w:sz w:val="22"/>
                <w:szCs w:val="22"/>
                <w:lang w:val="en-US" w:eastAsia="zh-CN" w:bidi="ar"/>
              </w:rPr>
              <w:t>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94D47">
            <w:pPr>
              <w:widowControl/>
              <w:jc w:val="center"/>
              <w:textAlignment w:val="center"/>
              <w:rPr>
                <w:rFonts w:hint="eastAsia" w:ascii="仿宋_GB2312" w:hAnsi="宋体" w:eastAsia="仿宋_GB2312" w:cs="仿宋_GB2312"/>
                <w:color w:val="000000"/>
                <w:sz w:val="22"/>
                <w:szCs w:val="22"/>
                <w:lang w:eastAsia="zh-CN"/>
              </w:rPr>
            </w:pPr>
            <w:r>
              <w:rPr>
                <w:rFonts w:hint="eastAsia" w:ascii="仿宋_GB2312" w:hAnsi="宋体" w:eastAsia="仿宋_GB2312" w:cs="仿宋_GB2312"/>
                <w:color w:val="000000"/>
                <w:kern w:val="0"/>
                <w:sz w:val="22"/>
                <w:szCs w:val="22"/>
                <w:lang w:bidi="ar"/>
              </w:rPr>
              <w:t>人</w:t>
            </w:r>
            <w:r>
              <w:rPr>
                <w:rFonts w:hint="eastAsia" w:ascii="仿宋_GB2312" w:hAnsi="宋体" w:eastAsia="仿宋_GB2312" w:cs="仿宋_GB2312"/>
                <w:color w:val="000000"/>
                <w:kern w:val="0"/>
                <w:sz w:val="22"/>
                <w:szCs w:val="22"/>
                <w:lang w:val="en-US" w:eastAsia="zh-CN" w:bidi="ar"/>
              </w:rPr>
              <w:t>次</w:t>
            </w:r>
          </w:p>
        </w:tc>
      </w:tr>
      <w:tr w14:paraId="1324F513">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B6293">
            <w:pPr>
              <w:widowControl/>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kern w:val="0"/>
                <w:sz w:val="22"/>
                <w:szCs w:val="22"/>
                <w:lang w:val="en-US" w:eastAsia="zh-CN" w:bidi="ar"/>
              </w:rPr>
              <w:t>淄川老年开放大学培训项目</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A28D6">
            <w:pPr>
              <w:keepNext w:val="0"/>
              <w:keepLines w:val="0"/>
              <w:widowControl/>
              <w:suppressLineNumbers w:val="0"/>
              <w:jc w:val="center"/>
              <w:textAlignment w:val="center"/>
              <w:rPr>
                <w:rFonts w:hint="default" w:ascii="仿宋_GB2312" w:hAnsi="宋体" w:eastAsia="仿宋_GB2312" w:cs="仿宋_GB2312"/>
                <w:color w:val="000000"/>
                <w:sz w:val="22"/>
                <w:szCs w:val="22"/>
                <w:lang w:val="en-US"/>
              </w:rPr>
            </w:pPr>
            <w:r>
              <w:rPr>
                <w:rFonts w:hint="eastAsia" w:ascii="仿宋_GB2312" w:hAnsi="宋体" w:eastAsia="仿宋_GB2312" w:cs="仿宋_GB2312"/>
                <w:i w:val="0"/>
                <w:iCs w:val="0"/>
                <w:color w:val="000000"/>
                <w:kern w:val="0"/>
                <w:sz w:val="22"/>
                <w:szCs w:val="22"/>
                <w:u w:val="none"/>
                <w:lang w:val="en-US" w:eastAsia="zh-CN" w:bidi="ar"/>
              </w:rPr>
              <w:t>1137</w:t>
            </w:r>
          </w:p>
        </w:tc>
      </w:tr>
      <w:tr w14:paraId="3616ED8D">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C5EAA">
            <w:pPr>
              <w:widowControl/>
              <w:jc w:val="center"/>
              <w:textAlignment w:val="center"/>
              <w:rPr>
                <w:rFonts w:hint="eastAsia" w:ascii="仿宋_GB2312" w:hAnsi="宋体" w:eastAsia="仿宋_GB2312" w:cs="仿宋_GB2312"/>
                <w:color w:val="000000"/>
                <w:sz w:val="22"/>
                <w:szCs w:val="22"/>
                <w:lang w:eastAsia="zh-CN"/>
              </w:rPr>
            </w:pPr>
            <w:r>
              <w:rPr>
                <w:rFonts w:hint="eastAsia" w:ascii="仿宋_GB2312" w:hAnsi="宋体" w:eastAsia="仿宋_GB2312" w:cs="仿宋_GB2312"/>
                <w:color w:val="000000"/>
                <w:kern w:val="0"/>
                <w:sz w:val="22"/>
                <w:szCs w:val="22"/>
                <w:lang w:val="en-US" w:eastAsia="zh-CN" w:bidi="ar"/>
              </w:rPr>
              <w:t>心理健康服务</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C9B89">
            <w:pPr>
              <w:keepNext w:val="0"/>
              <w:keepLines w:val="0"/>
              <w:widowControl/>
              <w:suppressLineNumbers w:val="0"/>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sz w:val="22"/>
                <w:szCs w:val="22"/>
                <w:lang w:val="en-US" w:eastAsia="zh-CN"/>
              </w:rPr>
              <w:t>1260</w:t>
            </w:r>
          </w:p>
        </w:tc>
      </w:tr>
      <w:tr w14:paraId="3919DD03">
        <w:tblPrEx>
          <w:tblCellMar>
            <w:top w:w="0" w:type="dxa"/>
            <w:left w:w="108" w:type="dxa"/>
            <w:bottom w:w="0" w:type="dxa"/>
            <w:right w:w="108" w:type="dxa"/>
          </w:tblCellMar>
        </w:tblPrEx>
        <w:trPr>
          <w:trHeight w:val="720" w:hRule="atLeast"/>
          <w:jc w:val="center"/>
        </w:trPr>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FA504">
            <w:pPr>
              <w:widowControl/>
              <w:jc w:val="center"/>
              <w:textAlignment w:val="center"/>
              <w:rPr>
                <w:rFonts w:hint="eastAsia" w:ascii="仿宋_GB2312" w:hAnsi="宋体" w:eastAsia="仿宋_GB2312" w:cs="仿宋_GB2312"/>
                <w:color w:val="000000"/>
                <w:kern w:val="0"/>
                <w:sz w:val="22"/>
                <w:szCs w:val="22"/>
                <w:lang w:val="en-US" w:eastAsia="zh-CN" w:bidi="ar"/>
              </w:rPr>
            </w:pPr>
            <w:r>
              <w:rPr>
                <w:rFonts w:hint="eastAsia" w:ascii="仿宋_GB2312" w:hAnsi="宋体" w:eastAsia="仿宋_GB2312" w:cs="仿宋_GB2312"/>
                <w:color w:val="000000"/>
                <w:kern w:val="0"/>
                <w:sz w:val="22"/>
                <w:szCs w:val="22"/>
                <w:lang w:val="en-US" w:eastAsia="zh-CN" w:bidi="ar"/>
              </w:rPr>
              <w:t>志愿服务</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CC43A">
            <w:pPr>
              <w:keepNext w:val="0"/>
              <w:keepLines w:val="0"/>
              <w:widowControl/>
              <w:suppressLineNumbers w:val="0"/>
              <w:jc w:val="center"/>
              <w:textAlignment w:val="center"/>
              <w:rPr>
                <w:rFonts w:hint="default" w:ascii="仿宋_GB2312" w:hAnsi="宋体" w:eastAsia="仿宋_GB2312" w:cs="仿宋_GB2312"/>
                <w:color w:val="000000"/>
                <w:sz w:val="22"/>
                <w:szCs w:val="22"/>
                <w:lang w:val="en-US" w:eastAsia="zh-CN"/>
              </w:rPr>
            </w:pPr>
            <w:r>
              <w:rPr>
                <w:rFonts w:hint="eastAsia" w:ascii="仿宋_GB2312" w:hAnsi="宋体" w:eastAsia="仿宋_GB2312" w:cs="仿宋_GB2312"/>
                <w:color w:val="000000"/>
                <w:sz w:val="22"/>
                <w:szCs w:val="22"/>
                <w:lang w:val="en-US" w:eastAsia="zh-CN"/>
              </w:rPr>
              <w:t>4500</w:t>
            </w:r>
          </w:p>
        </w:tc>
      </w:tr>
    </w:tbl>
    <w:p w14:paraId="50C5B3BB">
      <w:pPr>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（数据来源：第三方调查机构）</w:t>
      </w:r>
    </w:p>
    <w:p w14:paraId="121ABDDC">
      <w:pPr>
        <w:jc w:val="both"/>
      </w:pPr>
    </w:p>
    <w:p w14:paraId="59F6B330">
      <w:pPr>
        <w:jc w:val="center"/>
        <w:rPr>
          <w:rFonts w:ascii="楷体_GB2312" w:hAnsi="楷体_GB2312" w:eastAsia="楷体_GB2312" w:cs="楷体_GB2312"/>
          <w:sz w:val="24"/>
        </w:rPr>
      </w:pPr>
      <w:r>
        <w:rPr>
          <w:rFonts w:hint="eastAsia" w:ascii="仿宋_GB2312" w:hAnsi="宋体" w:eastAsia="仿宋_GB2312" w:cs="微软雅黑"/>
          <w:sz w:val="32"/>
          <w:szCs w:val="32"/>
          <w:lang w:val="en-US" w:eastAsia="zh-CN"/>
        </w:rPr>
        <w:drawing>
          <wp:inline distT="0" distB="0" distL="114300" distR="114300">
            <wp:extent cx="2881630" cy="2160270"/>
            <wp:effectExtent l="0" t="0" r="13970" b="3810"/>
            <wp:docPr id="231" name="图片 231" descr="电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电钢"/>
                    <pic:cNvPicPr>
                      <a:picLocks noChangeAspect="1"/>
                    </pic:cNvPicPr>
                  </pic:nvPicPr>
                  <pic:blipFill>
                    <a:blip r:embed="rId48"/>
                    <a:stretch>
                      <a:fillRect/>
                    </a:stretch>
                  </pic:blipFill>
                  <pic:spPr>
                    <a:xfrm>
                      <a:off x="0" y="0"/>
                      <a:ext cx="2881630" cy="2160270"/>
                    </a:xfrm>
                    <a:prstGeom prst="rect">
                      <a:avLst/>
                    </a:prstGeom>
                  </pic:spPr>
                </pic:pic>
              </a:graphicData>
            </a:graphic>
          </wp:inline>
        </w:drawing>
      </w:r>
    </w:p>
    <w:p w14:paraId="7A93BBA7">
      <w:pPr>
        <w:jc w:val="center"/>
        <w:rPr>
          <w:rFonts w:ascii="仿宋_GB2312" w:hAnsi="仿宋_GB2312" w:eastAsia="仿宋_GB2312" w:cs="仿宋_GB2312"/>
          <w:sz w:val="28"/>
          <w:szCs w:val="28"/>
        </w:rPr>
      </w:pPr>
      <w:r>
        <w:rPr>
          <w:rFonts w:hint="eastAsia" w:ascii="楷体_GB2312" w:hAnsi="楷体_GB2312" w:eastAsia="楷体_GB2312" w:cs="楷体_GB2312"/>
          <w:sz w:val="24"/>
        </w:rPr>
        <w:t xml:space="preserve">图 </w:t>
      </w:r>
      <w:bookmarkStart w:id="273" w:name="_Toc22788"/>
      <w:r>
        <w:rPr>
          <w:rFonts w:hint="eastAsia" w:ascii="楷体_GB2312" w:hAnsi="楷体_GB2312" w:eastAsia="楷体_GB2312" w:cs="楷体_GB2312"/>
          <w:sz w:val="24"/>
          <w:lang w:val="en-US" w:eastAsia="zh-CN"/>
        </w:rPr>
        <w:t>2-4</w:t>
      </w:r>
      <w:r>
        <w:rPr>
          <w:rFonts w:hint="eastAsia" w:ascii="楷体_GB2312" w:hAnsi="楷体_GB2312" w:eastAsia="楷体_GB2312" w:cs="楷体_GB2312"/>
          <w:sz w:val="24"/>
        </w:rPr>
        <w:t xml:space="preserve"> 电钢琴培训</w:t>
      </w:r>
      <w:bookmarkEnd w:id="273"/>
    </w:p>
    <w:p w14:paraId="38DB743C">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eastAsia="zh-CN"/>
        </w:rPr>
      </w:pPr>
      <w:bookmarkStart w:id="274" w:name="_Toc29323"/>
      <w:bookmarkStart w:id="275" w:name="_Toc731"/>
      <w:bookmarkStart w:id="276" w:name="_Toc14961"/>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2-1</w:t>
      </w:r>
      <w:r>
        <w:rPr>
          <w:rFonts w:hint="eastAsia" w:ascii="楷体_GB2312" w:hAnsi="楷体_GB2312" w:eastAsia="楷体_GB2312" w:cs="楷体_GB2312"/>
          <w:sz w:val="30"/>
          <w:szCs w:val="30"/>
        </w:rPr>
        <w:t>：精准服务银发群体，创新开启终身学习新篇章</w:t>
      </w:r>
      <w:bookmarkEnd w:id="274"/>
      <w:bookmarkEnd w:id="275"/>
      <w:bookmarkEnd w:id="276"/>
    </w:p>
    <w:p w14:paraId="7C60DA3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2025年3月，淄川区老年开放大学正式成立，以“精准服务银发群体”为宗旨，整合校内外资源，联合体育协会、音乐团体等机构，组建“专业教师+行业专家”双师团队，为老年人提供多样化、个性化教育服务</w:t>
      </w:r>
      <w:r>
        <w:rPr>
          <w:rFonts w:hint="eastAsia" w:ascii="仿宋_GB2312" w:hAnsi="仿宋" w:eastAsia="仿宋_GB2312"/>
          <w:color w:val="000000" w:themeColor="text1"/>
          <w:sz w:val="28"/>
          <w:szCs w:val="28"/>
          <w:lang w:eastAsia="zh-CN"/>
          <w14:textFill>
            <w14:solidFill>
              <w14:schemeClr w14:val="tx1"/>
            </w14:solidFill>
          </w14:textFill>
        </w:rPr>
        <w:t>。</w:t>
      </w:r>
    </w:p>
    <w:p w14:paraId="3A34D9C9">
      <w:pPr>
        <w:jc w:val="center"/>
        <w:rPr>
          <w:rFonts w:ascii="楷体_GB2312" w:hAnsi="楷体_GB2312" w:eastAsia="楷体_GB2312" w:cs="楷体_GB2312"/>
          <w:sz w:val="24"/>
        </w:rPr>
      </w:pPr>
      <w:r>
        <w:rPr>
          <w:rFonts w:hint="default" w:ascii="仿宋_GB2312" w:hAnsi="仿宋_GB2312" w:eastAsia="仿宋_GB2312" w:cs="仿宋_GB2312"/>
          <w:b w:val="0"/>
          <w:bCs w:val="0"/>
          <w:kern w:val="2"/>
          <w:sz w:val="28"/>
          <w:szCs w:val="28"/>
          <w:lang w:val="en-US" w:eastAsia="zh-CN" w:bidi="ar-SA"/>
        </w:rPr>
        <w:drawing>
          <wp:inline distT="0" distB="0" distL="114300" distR="114300">
            <wp:extent cx="3240405" cy="2160270"/>
            <wp:effectExtent l="0" t="0" r="5715" b="3810"/>
            <wp:docPr id="234" name="图片 234" descr="CV9A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CV9A7273"/>
                    <pic:cNvPicPr>
                      <a:picLocks noChangeAspect="1"/>
                    </pic:cNvPicPr>
                  </pic:nvPicPr>
                  <pic:blipFill>
                    <a:blip r:embed="rId49"/>
                    <a:stretch>
                      <a:fillRect/>
                    </a:stretch>
                  </pic:blipFill>
                  <pic:spPr>
                    <a:xfrm>
                      <a:off x="0" y="0"/>
                      <a:ext cx="3240405" cy="2160270"/>
                    </a:xfrm>
                    <a:prstGeom prst="rect">
                      <a:avLst/>
                    </a:prstGeom>
                  </pic:spPr>
                </pic:pic>
              </a:graphicData>
            </a:graphic>
          </wp:inline>
        </w:drawing>
      </w:r>
    </w:p>
    <w:p w14:paraId="09A88689">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277" w:name="_Toc3330"/>
      <w:r>
        <w:rPr>
          <w:rFonts w:hint="eastAsia" w:ascii="楷体_GB2312" w:hAnsi="楷体_GB2312" w:eastAsia="楷体_GB2312" w:cs="楷体_GB2312"/>
          <w:sz w:val="24"/>
          <w:lang w:val="en-US" w:eastAsia="zh-CN"/>
        </w:rPr>
        <w:t>2-5</w:t>
      </w:r>
      <w:r>
        <w:rPr>
          <w:rFonts w:hint="eastAsia" w:ascii="楷体_GB2312" w:hAnsi="楷体_GB2312" w:eastAsia="楷体_GB2312" w:cs="楷体_GB2312"/>
          <w:sz w:val="24"/>
        </w:rPr>
        <w:t xml:space="preserve"> 淄川老年开放大学揭牌</w:t>
      </w:r>
      <w:bookmarkEnd w:id="277"/>
    </w:p>
    <w:p w14:paraId="181B846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构建“主动健康、技能提升、学历圆梦、休闲娱乐”四大课程体系，开设17门特色课程，重点推广声乐、舞蹈、电子钢琴、太极拳、手机摄影及短视频制作五大热门专业，通过社区公告、微信公众号、短视频平台等多渠道宣传，吸引众多学员报名。课程采用小班授课、实践与理论结合的教学模式，确保个性化指导</w:t>
      </w:r>
      <w:r>
        <w:rPr>
          <w:rFonts w:hint="eastAsia" w:ascii="仿宋_GB2312" w:hAnsi="仿宋" w:eastAsia="仿宋_GB2312"/>
          <w:color w:val="000000" w:themeColor="text1"/>
          <w:sz w:val="28"/>
          <w:szCs w:val="28"/>
          <w:lang w:eastAsia="zh-CN"/>
          <w14:textFill>
            <w14:solidFill>
              <w14:schemeClr w14:val="tx1"/>
            </w14:solidFill>
          </w14:textFill>
        </w:rPr>
        <w:t>。</w:t>
      </w:r>
    </w:p>
    <w:p w14:paraId="5621738E">
      <w:pPr>
        <w:jc w:val="center"/>
        <w:rPr>
          <w:rFonts w:ascii="楷体_GB2312" w:hAnsi="楷体_GB2312" w:eastAsia="楷体_GB2312" w:cs="楷体_GB2312"/>
          <w:sz w:val="24"/>
        </w:rPr>
      </w:pPr>
      <w:r>
        <w:rPr>
          <w:rFonts w:hint="default" w:ascii="仿宋_GB2312" w:hAnsi="仿宋_GB2312" w:eastAsia="仿宋_GB2312" w:cs="仿宋_GB2312"/>
          <w:b w:val="0"/>
          <w:bCs w:val="0"/>
          <w:kern w:val="2"/>
          <w:sz w:val="28"/>
          <w:szCs w:val="28"/>
          <w:lang w:val="en-US" w:eastAsia="zh-CN" w:bidi="ar-SA"/>
        </w:rPr>
        <w:drawing>
          <wp:inline distT="0" distB="0" distL="114300" distR="114300">
            <wp:extent cx="2881630" cy="2160270"/>
            <wp:effectExtent l="0" t="0" r="13970" b="3810"/>
            <wp:docPr id="236" name="图片 236" descr="太极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太极拳2"/>
                    <pic:cNvPicPr>
                      <a:picLocks noChangeAspect="1"/>
                    </pic:cNvPicPr>
                  </pic:nvPicPr>
                  <pic:blipFill>
                    <a:blip r:embed="rId50">
                      <a:lum bright="12000" contrast="6000"/>
                    </a:blip>
                    <a:stretch>
                      <a:fillRect/>
                    </a:stretch>
                  </pic:blipFill>
                  <pic:spPr>
                    <a:xfrm>
                      <a:off x="0" y="0"/>
                      <a:ext cx="2881630" cy="2160270"/>
                    </a:xfrm>
                    <a:prstGeom prst="rect">
                      <a:avLst/>
                    </a:prstGeom>
                  </pic:spPr>
                </pic:pic>
              </a:graphicData>
            </a:graphic>
          </wp:inline>
        </w:drawing>
      </w:r>
    </w:p>
    <w:p w14:paraId="601C3DE7">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278" w:name="_Toc17855"/>
      <w:r>
        <w:rPr>
          <w:rFonts w:hint="eastAsia" w:ascii="楷体_GB2312" w:hAnsi="楷体_GB2312" w:eastAsia="楷体_GB2312" w:cs="楷体_GB2312"/>
          <w:sz w:val="24"/>
          <w:lang w:val="en-US" w:eastAsia="zh-CN"/>
        </w:rPr>
        <w:t>2-6</w:t>
      </w:r>
      <w:r>
        <w:rPr>
          <w:rFonts w:hint="eastAsia" w:ascii="楷体_GB2312" w:hAnsi="楷体_GB2312" w:eastAsia="楷体_GB2312" w:cs="楷体_GB2312"/>
          <w:sz w:val="24"/>
        </w:rPr>
        <w:t xml:space="preserve"> 太极拳培训</w:t>
      </w:r>
      <w:bookmarkEnd w:id="278"/>
    </w:p>
    <w:p w14:paraId="15BECBC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在校本部及颐泽社区教学点开展200课时线下教学，累计培训2000人次。教师通过案例演示、互动交流等方式激发学习兴趣，如手机摄影课程从构图、光线运用讲起，逐步引导学员掌握拍摄与剪辑技巧。学员满意度调查显示，整体满意度达92%，续学意愿率超91%，声乐班与数字媒体类课程报名占比超60%。根据反馈，学校动态优化课程安排，增加热门课程课时与资源。学校计划新增智能设备应用、中医养生等适老课程，并探索“学分银行”创新模式，通过弹性学制、课程互认，为老年人提供灵活学习路径。</w:t>
      </w:r>
    </w:p>
    <w:p w14:paraId="21BDD857">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279" w:name="_Toc29620"/>
      <w:r>
        <w:rPr>
          <w:rFonts w:hint="eastAsia" w:ascii="黑体" w:hAnsi="黑体" w:eastAsia="黑体" w:cs="黑体"/>
          <w:b w:val="0"/>
          <w:bCs w:val="0"/>
          <w:sz w:val="30"/>
          <w:szCs w:val="30"/>
          <w:lang w:val="en-US" w:eastAsia="zh-CN"/>
        </w:rPr>
        <w:t>（五）</w:t>
      </w:r>
      <w:r>
        <w:rPr>
          <w:rFonts w:hint="eastAsia" w:ascii="黑体" w:hAnsi="黑体" w:eastAsia="黑体" w:cs="黑体"/>
          <w:b w:val="0"/>
          <w:bCs w:val="0"/>
          <w:sz w:val="30"/>
          <w:szCs w:val="30"/>
        </w:rPr>
        <w:t>具有地域特色的服务</w:t>
      </w:r>
      <w:bookmarkEnd w:id="279"/>
    </w:p>
    <w:p w14:paraId="69195EE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1.陶琉工匠学院助力</w:t>
      </w:r>
      <w:r>
        <w:rPr>
          <w:rFonts w:hint="eastAsia" w:ascii="楷体_GB2312" w:hAnsi="楷体_GB2312" w:eastAsia="楷体_GB2312" w:cs="楷体_GB2312"/>
          <w:color w:val="000000" w:themeColor="text1"/>
          <w:sz w:val="28"/>
          <w:szCs w:val="28"/>
          <w14:textFill>
            <w14:solidFill>
              <w14:schemeClr w14:val="tx1"/>
            </w14:solidFill>
          </w14:textFill>
        </w:rPr>
        <w:t>陶瓷产业发展</w:t>
      </w:r>
    </w:p>
    <w:p w14:paraId="0426F19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市陶瓷琉璃工匠学院（淄博理工学校陶艺分校）依托昆仑镇陶瓷特色地域优势，与淄川区总工会密切合作以“传承匠心、赋能产业”为核心开展系列培训，成效斐然。分校联合周边泰山瓷业、汉青陶瓷等企业及刘永强、李秋峰等大师工作室，组建“校企双师”培训团队，开设拉坯成型、陶瓷彩绘等特色课程5期，覆盖教职工及企业职工421人次。培训创新“理论+实操+竞赛”模式，结合承办省、市、区陶瓷技能大赛经验，以赛促训提升学员技艺。期间培育出多名市级陶瓷技能骨干，教职工参赛获省级奖项4项。同时开展“陶艺进社区”公益培训，服务群众200余人，助力陶瓷文化普及。培训既强化了师资队伍建设，又为区域陶瓷产业发展注入活力。</w:t>
      </w:r>
    </w:p>
    <w:p w14:paraId="661AA290">
      <w:pPr>
        <w:jc w:val="center"/>
        <w:rPr>
          <w:rFonts w:ascii="楷体_GB2312" w:hAnsi="楷体_GB2312" w:eastAsia="楷体_GB2312" w:cs="楷体_GB2312"/>
          <w:sz w:val="24"/>
        </w:rPr>
      </w:pPr>
      <w:r>
        <w:rPr>
          <w:rFonts w:hint="eastAsia"/>
        </w:rPr>
        <w:drawing>
          <wp:inline distT="0" distB="0" distL="0" distR="0">
            <wp:extent cx="3251200" cy="2159635"/>
            <wp:effectExtent l="0" t="0" r="10160" b="4445"/>
            <wp:docPr id="1301791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91359" name="图片 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51359" cy="2160000"/>
                    </a:xfrm>
                    <a:prstGeom prst="rect">
                      <a:avLst/>
                    </a:prstGeom>
                  </pic:spPr>
                </pic:pic>
              </a:graphicData>
            </a:graphic>
          </wp:inline>
        </w:drawing>
      </w:r>
    </w:p>
    <w:p w14:paraId="1C6A4803">
      <w:pPr>
        <w:jc w:val="center"/>
        <w:rPr>
          <w:rFonts w:hint="eastAsia" w:ascii="仿宋_GB2312" w:eastAsia="仿宋_GB2312"/>
          <w:sz w:val="28"/>
          <w:szCs w:val="28"/>
        </w:rPr>
      </w:pPr>
      <w:r>
        <w:rPr>
          <w:rFonts w:hint="eastAsia" w:ascii="楷体_GB2312" w:hAnsi="楷体_GB2312" w:eastAsia="楷体_GB2312" w:cs="楷体_GB2312"/>
          <w:sz w:val="24"/>
        </w:rPr>
        <w:t xml:space="preserve">图 </w:t>
      </w:r>
      <w:bookmarkStart w:id="280" w:name="_Toc19524"/>
      <w:r>
        <w:rPr>
          <w:rFonts w:hint="eastAsia" w:ascii="楷体_GB2312" w:hAnsi="楷体_GB2312" w:eastAsia="楷体_GB2312" w:cs="楷体_GB2312"/>
          <w:sz w:val="24"/>
          <w:lang w:val="en-US" w:eastAsia="zh-CN"/>
        </w:rPr>
        <w:t>2-7</w:t>
      </w:r>
      <w:r>
        <w:rPr>
          <w:rFonts w:hint="eastAsia" w:ascii="楷体_GB2312" w:hAnsi="楷体_GB2312" w:eastAsia="楷体_GB2312" w:cs="楷体_GB2312"/>
          <w:sz w:val="24"/>
        </w:rPr>
        <w:t xml:space="preserve"> 陶瓷琉璃工匠学院培训场景</w:t>
      </w:r>
      <w:bookmarkEnd w:id="280"/>
    </w:p>
    <w:p w14:paraId="359DC642">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rPr>
      </w:pPr>
      <w:bookmarkStart w:id="281" w:name="_Toc5008"/>
      <w:bookmarkStart w:id="282" w:name="_Toc5153"/>
      <w:bookmarkStart w:id="283" w:name="_Toc23368"/>
      <w:bookmarkStart w:id="284" w:name="_Toc8059"/>
      <w:bookmarkStart w:id="285" w:name="_Toc1812"/>
      <w:bookmarkStart w:id="286" w:name="_Toc31188"/>
      <w:bookmarkStart w:id="287" w:name="_Toc9202"/>
      <w:bookmarkStart w:id="288" w:name="_Toc25189"/>
      <w:bookmarkStart w:id="289" w:name="_Toc32294"/>
      <w:bookmarkStart w:id="290" w:name="_Toc10833"/>
      <w:bookmarkStart w:id="291" w:name="_Toc22464"/>
      <w:bookmarkStart w:id="292" w:name="_Toc27781"/>
      <w:bookmarkStart w:id="293" w:name="_Toc1518"/>
      <w:bookmarkStart w:id="294" w:name="_Toc24547"/>
      <w:bookmarkStart w:id="295" w:name="_Toc5665"/>
      <w:bookmarkStart w:id="296" w:name="_Toc6000"/>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2-2</w:t>
      </w:r>
      <w:r>
        <w:rPr>
          <w:rFonts w:hint="eastAsia" w:ascii="楷体_GB2312" w:hAnsi="楷体_GB2312" w:eastAsia="楷体_GB2312" w:cs="楷体_GB2312"/>
          <w:sz w:val="30"/>
          <w:szCs w:val="30"/>
        </w:rPr>
        <w:t>：</w:t>
      </w:r>
      <w:bookmarkEnd w:id="281"/>
      <w:bookmarkEnd w:id="282"/>
      <w:bookmarkEnd w:id="283"/>
      <w:bookmarkEnd w:id="284"/>
      <w:bookmarkEnd w:id="285"/>
      <w:bookmarkEnd w:id="286"/>
      <w:bookmarkEnd w:id="287"/>
      <w:bookmarkEnd w:id="288"/>
      <w:bookmarkEnd w:id="289"/>
      <w:bookmarkEnd w:id="290"/>
      <w:bookmarkEnd w:id="291"/>
      <w:bookmarkEnd w:id="292"/>
      <w:bookmarkEnd w:id="293"/>
      <w:r>
        <w:rPr>
          <w:rFonts w:hint="eastAsia" w:ascii="楷体_GB2312" w:hAnsi="楷体_GB2312" w:eastAsia="楷体_GB2312" w:cs="楷体_GB2312"/>
          <w:sz w:val="30"/>
          <w:szCs w:val="30"/>
        </w:rPr>
        <w:t>以匠育匠传薪火 技融产业兴非遗</w:t>
      </w:r>
      <w:bookmarkEnd w:id="294"/>
      <w:bookmarkEnd w:id="295"/>
      <w:bookmarkEnd w:id="296"/>
    </w:p>
    <w:p w14:paraId="2B30C62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以技载道传非遗，产教融合育匠心。淄博陶瓷琉璃工匠学院（淄博理工学校陶艺分校）立足淄博陶瓷产业根基，以“传承+创新”为核心开展特色培训，让古老技艺在新时代焕发活力。学院联动泰山瓷业、汉青陶瓷等龙头企业，邀请刘永强、李秋峰等国家级大师领衔授课，构建“大师带徒+企业实操”的培训体系。</w:t>
      </w:r>
    </w:p>
    <w:p w14:paraId="281A91BF">
      <w:pPr>
        <w:jc w:val="center"/>
        <w:rPr>
          <w:rFonts w:ascii="仿宋_GB2312" w:hAnsi="仿宋_GB2312" w:eastAsia="仿宋_GB2312" w:cs="仿宋_GB2312"/>
        </w:rPr>
      </w:pPr>
    </w:p>
    <w:p w14:paraId="29F25AF8">
      <w:pPr>
        <w:jc w:val="center"/>
        <w:rPr>
          <w:rFonts w:ascii="仿宋_GB2312" w:hAnsi="仿宋" w:eastAsia="仿宋_GB2312"/>
          <w:sz w:val="28"/>
          <w:szCs w:val="28"/>
        </w:rPr>
      </w:pPr>
      <w:r>
        <w:rPr>
          <w:rFonts w:hint="eastAsia"/>
        </w:rPr>
        <w:drawing>
          <wp:inline distT="0" distB="0" distL="0" distR="0">
            <wp:extent cx="3239770" cy="2159635"/>
            <wp:effectExtent l="0" t="0" r="6350" b="4445"/>
            <wp:docPr id="109437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795" name="图片 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40195" cy="2160000"/>
                    </a:xfrm>
                    <a:prstGeom prst="rect">
                      <a:avLst/>
                    </a:prstGeom>
                  </pic:spPr>
                </pic:pic>
              </a:graphicData>
            </a:graphic>
          </wp:inline>
        </w:drawing>
      </w:r>
    </w:p>
    <w:p w14:paraId="15E338F2">
      <w:pPr>
        <w:ind w:firstLine="2640" w:firstLineChars="1100"/>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297" w:name="_Toc17447"/>
      <w:r>
        <w:rPr>
          <w:rFonts w:hint="eastAsia" w:ascii="楷体_GB2312" w:hAnsi="楷体_GB2312" w:eastAsia="楷体_GB2312" w:cs="楷体_GB2312"/>
          <w:sz w:val="24"/>
          <w:lang w:val="en-US" w:eastAsia="zh-CN"/>
        </w:rPr>
        <w:t>2-8</w:t>
      </w:r>
      <w:r>
        <w:rPr>
          <w:rFonts w:hint="eastAsia" w:ascii="楷体_GB2312" w:hAnsi="楷体_GB2312" w:eastAsia="楷体_GB2312" w:cs="楷体_GB2312"/>
          <w:sz w:val="24"/>
        </w:rPr>
        <w:t xml:space="preserve"> 陶瓷琉璃工匠学院培训场景</w:t>
      </w:r>
      <w:bookmarkEnd w:id="297"/>
    </w:p>
    <w:p w14:paraId="27EC5F0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针对企业职工、院校师生及非遗爱好者，学院开设陶瓷拉坯、琉璃雕刻、陶瓷泥塑等定制化课程5期，培训421人次。创新“技艺传承+产业对接”模式，设置“非遗技艺进企业”专场，为企业培养多名技术骨干；举办山东省“技能兴鲁”职业技能大赛——“泰山瓷业杯”第十一届山东省陶瓷职业技能竞赛，</w:t>
      </w: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教师一人荣获一等奖，一人夺得二等奖，两人获得三等奖，淄博理工学校荣获“优秀组织奖”，展现了学校在陶瓷技能教学与实践领域的扎实功底。同时面向中小学开展“陶艺非遗课堂”多场，让千余名青少年触摸陶瓷温度，筑牢文化自信</w:t>
      </w:r>
      <w:r>
        <w:rPr>
          <w:rFonts w:hint="eastAsia" w:ascii="仿宋_GB2312" w:hAnsi="仿宋" w:eastAsia="仿宋_GB2312"/>
          <w:color w:val="000000" w:themeColor="text1"/>
          <w:sz w:val="28"/>
          <w:szCs w:val="28"/>
          <w:lang w:eastAsia="zh-CN"/>
          <w14:textFill>
            <w14:solidFill>
              <w14:schemeClr w14:val="tx1"/>
            </w14:solidFill>
          </w14:textFill>
        </w:rPr>
        <w:t>。</w:t>
      </w:r>
    </w:p>
    <w:p w14:paraId="35CF5D06">
      <w:pPr>
        <w:jc w:val="center"/>
        <w:rPr>
          <w:rFonts w:ascii="仿宋_GB2312" w:hAnsi="仿宋" w:eastAsia="仿宋_GB2312"/>
          <w:sz w:val="28"/>
          <w:szCs w:val="28"/>
        </w:rPr>
      </w:pPr>
      <w:r>
        <w:rPr>
          <w:rFonts w:hint="eastAsia"/>
        </w:rPr>
        <w:drawing>
          <wp:inline distT="0" distB="0" distL="0" distR="0">
            <wp:extent cx="3239770" cy="2159635"/>
            <wp:effectExtent l="0" t="0" r="6350" b="4445"/>
            <wp:docPr id="300987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8743" name="图片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40195" cy="2160000"/>
                    </a:xfrm>
                    <a:prstGeom prst="rect">
                      <a:avLst/>
                    </a:prstGeom>
                  </pic:spPr>
                </pic:pic>
              </a:graphicData>
            </a:graphic>
          </wp:inline>
        </w:drawing>
      </w:r>
    </w:p>
    <w:p w14:paraId="575A497B">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298" w:name="_Toc27611"/>
      <w:r>
        <w:rPr>
          <w:rFonts w:hint="eastAsia" w:ascii="楷体_GB2312" w:hAnsi="楷体_GB2312" w:eastAsia="楷体_GB2312" w:cs="楷体_GB2312"/>
          <w:sz w:val="24"/>
          <w:lang w:val="en-US" w:eastAsia="zh-CN"/>
        </w:rPr>
        <w:t>2-9</w:t>
      </w:r>
      <w:r>
        <w:rPr>
          <w:rFonts w:hint="eastAsia" w:ascii="楷体_GB2312" w:hAnsi="楷体_GB2312" w:eastAsia="楷体_GB2312" w:cs="楷体_GB2312"/>
          <w:sz w:val="24"/>
        </w:rPr>
        <w:t xml:space="preserve"> 山东省陶瓷职业技能竞赛比赛场景</w:t>
      </w:r>
      <w:bookmarkEnd w:id="298"/>
    </w:p>
    <w:p w14:paraId="41B74C9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培训既实现了陶瓷琉璃非遗技艺的活态传承，又为区域产业输送了高素质技能人才，真正达成“以培训促传承、以技艺兴产业”的目标，为淄博陶瓷文化传承发展注入持久动力。</w:t>
      </w:r>
    </w:p>
    <w:p w14:paraId="09D6BEAE">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299" w:name="_Toc19141"/>
      <w:r>
        <w:rPr>
          <w:rFonts w:hint="eastAsia" w:ascii="黑体" w:hAnsi="黑体" w:eastAsia="黑体" w:cs="黑体"/>
          <w:b w:val="0"/>
          <w:bCs w:val="0"/>
          <w:sz w:val="30"/>
          <w:szCs w:val="30"/>
          <w:lang w:val="en-US" w:eastAsia="zh-CN"/>
        </w:rPr>
        <w:t>（六）</w:t>
      </w:r>
      <w:r>
        <w:rPr>
          <w:rFonts w:hint="eastAsia" w:ascii="黑体" w:hAnsi="黑体" w:eastAsia="黑体" w:cs="黑体"/>
          <w:b w:val="0"/>
          <w:bCs w:val="0"/>
          <w:sz w:val="30"/>
          <w:szCs w:val="30"/>
        </w:rPr>
        <w:t>具有本校特色的服务</w:t>
      </w:r>
      <w:bookmarkEnd w:id="299"/>
    </w:p>
    <w:p w14:paraId="6859651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1.心理健康服务社会发展</w:t>
      </w:r>
    </w:p>
    <w:p w14:paraId="2199D8C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淄博理工学校注重本校特色服务发展，充分利用本校资源，主动与乡镇、办事处、社区联系，大力开展家校共育和心理健康教育服务。2024-2025学年度开展家校共育及心理健康教育服务140次，培训 15000余人次，受到社会各界一致好评</w:t>
      </w:r>
      <w:r>
        <w:rPr>
          <w:rFonts w:hint="eastAsia" w:ascii="仿宋_GB2312" w:hAnsi="仿宋" w:eastAsia="仿宋_GB2312"/>
          <w:color w:val="000000" w:themeColor="text1"/>
          <w:sz w:val="28"/>
          <w:szCs w:val="28"/>
          <w14:textFill>
            <w14:solidFill>
              <w14:schemeClr w14:val="tx1"/>
            </w14:solidFill>
          </w14:textFill>
        </w:rPr>
        <w:t>。</w:t>
      </w:r>
    </w:p>
    <w:p w14:paraId="76683C03">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rPr>
      </w:pPr>
      <w:bookmarkStart w:id="300" w:name="_Toc3967"/>
      <w:bookmarkStart w:id="301" w:name="_Toc10653"/>
      <w:bookmarkStart w:id="302" w:name="_Toc21715"/>
      <w:bookmarkStart w:id="303" w:name="_Toc11207"/>
      <w:bookmarkStart w:id="304" w:name="_Toc14570"/>
      <w:bookmarkStart w:id="305" w:name="_Toc9390"/>
      <w:bookmarkStart w:id="306" w:name="_Toc17994"/>
      <w:bookmarkStart w:id="307" w:name="_Toc15887"/>
      <w:bookmarkStart w:id="308" w:name="_Toc18107"/>
      <w:bookmarkStart w:id="309" w:name="_Toc22337"/>
      <w:bookmarkStart w:id="310" w:name="_Toc5084"/>
      <w:bookmarkStart w:id="311" w:name="_Toc20746"/>
      <w:bookmarkStart w:id="312" w:name="_Toc13369"/>
      <w:bookmarkStart w:id="313" w:name="_Toc10275"/>
      <w:bookmarkStart w:id="314" w:name="_Toc9749"/>
      <w:bookmarkStart w:id="315" w:name="_Toc22681"/>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2-3</w:t>
      </w:r>
      <w:r>
        <w:rPr>
          <w:rFonts w:hint="eastAsia" w:ascii="楷体_GB2312" w:hAnsi="楷体_GB2312" w:eastAsia="楷体_GB2312" w:cs="楷体_GB2312"/>
          <w:sz w:val="30"/>
          <w:szCs w:val="30"/>
        </w:rPr>
        <w:t>：</w:t>
      </w:r>
      <w:bookmarkEnd w:id="300"/>
      <w:bookmarkEnd w:id="301"/>
      <w:bookmarkEnd w:id="302"/>
      <w:bookmarkEnd w:id="303"/>
      <w:bookmarkEnd w:id="304"/>
      <w:bookmarkEnd w:id="305"/>
      <w:bookmarkEnd w:id="306"/>
      <w:bookmarkEnd w:id="307"/>
      <w:bookmarkEnd w:id="308"/>
      <w:bookmarkEnd w:id="309"/>
      <w:bookmarkEnd w:id="310"/>
      <w:bookmarkEnd w:id="311"/>
      <w:bookmarkEnd w:id="312"/>
      <w:r>
        <w:rPr>
          <w:rFonts w:hint="eastAsia" w:ascii="楷体_GB2312" w:hAnsi="楷体_GB2312" w:eastAsia="楷体_GB2312" w:cs="楷体_GB2312"/>
          <w:sz w:val="30"/>
          <w:szCs w:val="30"/>
        </w:rPr>
        <w:t>精准服务，筑牢家长心理健康“防护网</w:t>
      </w:r>
      <w:r>
        <w:rPr>
          <w:rFonts w:hint="eastAsia" w:ascii="楷体_GB2312" w:hAnsi="楷体_GB2312" w:eastAsia="楷体_GB2312" w:cs="楷体_GB2312"/>
        </w:rPr>
        <w:t>”</w:t>
      </w:r>
      <w:bookmarkEnd w:id="313"/>
      <w:bookmarkEnd w:id="314"/>
      <w:bookmarkEnd w:id="315"/>
    </w:p>
    <w:p w14:paraId="0415164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淄博理工学校彩虹之光心理健康中心深化“学校-家庭-专业机构-社会”四位一体模式，建立家长心理健康服务体系。吸引专业团体入驻，汇聚专家形成共建共享生态。</w:t>
      </w:r>
    </w:p>
    <w:p w14:paraId="09F4910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聚焦家长需求开展精准服务，为3000余名家长做心理心理健康教育指导，围绕亲子沟通等主题举办讲座及团体辅导，采用多样形式助家长掌握技巧；为40余名特殊需求家长提供个体咨询，获广泛认可。</w:t>
      </w:r>
    </w:p>
    <w:p w14:paraId="0096E9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仿宋_GB2312" w:hAnsi="仿宋" w:eastAsia="仿宋_GB2312"/>
          <w:sz w:val="28"/>
          <w:szCs w:val="28"/>
        </w:rPr>
      </w:pPr>
      <w:r>
        <w:rPr>
          <w:rFonts w:hint="eastAsia" w:ascii="仿宋_GB2312" w:hAnsi="仿宋_GB2312" w:eastAsia="仿宋_GB2312" w:cs="仿宋_GB2312"/>
          <w:sz w:val="32"/>
          <w:szCs w:val="32"/>
          <w:lang w:eastAsia="zh-CN"/>
        </w:rPr>
        <w:drawing>
          <wp:inline distT="0" distB="0" distL="114300" distR="114300">
            <wp:extent cx="2880360" cy="2160270"/>
            <wp:effectExtent l="0" t="0" r="2540" b="11430"/>
            <wp:docPr id="239" name="图片 239" descr="104a35d350d8c8911e18a43d02ed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104a35d350d8c8911e18a43d02ed637"/>
                    <pic:cNvPicPr>
                      <a:picLocks noChangeAspect="1"/>
                    </pic:cNvPicPr>
                  </pic:nvPicPr>
                  <pic:blipFill>
                    <a:blip r:embed="rId54"/>
                    <a:stretch>
                      <a:fillRect/>
                    </a:stretch>
                  </pic:blipFill>
                  <pic:spPr>
                    <a:xfrm>
                      <a:off x="0" y="0"/>
                      <a:ext cx="2880360" cy="2160270"/>
                    </a:xfrm>
                    <a:prstGeom prst="rect">
                      <a:avLst/>
                    </a:prstGeom>
                  </pic:spPr>
                </pic:pic>
              </a:graphicData>
            </a:graphic>
          </wp:inline>
        </w:drawing>
      </w:r>
    </w:p>
    <w:p w14:paraId="0553FE3C">
      <w:pPr>
        <w:jc w:val="center"/>
        <w:rPr>
          <w:rFonts w:hint="eastAsia" w:ascii="仿宋_GB2312" w:hAnsi="仿宋_GB2312" w:eastAsia="仿宋_GB2312" w:cs="仿宋_GB2312"/>
          <w:sz w:val="32"/>
          <w:szCs w:val="32"/>
          <w:lang w:eastAsia="zh-CN"/>
        </w:rPr>
      </w:pPr>
      <w:r>
        <w:rPr>
          <w:rFonts w:hint="eastAsia" w:ascii="楷体_GB2312" w:hAnsi="楷体_GB2312" w:eastAsia="楷体_GB2312" w:cs="楷体_GB2312"/>
          <w:sz w:val="24"/>
        </w:rPr>
        <w:t xml:space="preserve">图 </w:t>
      </w:r>
      <w:bookmarkStart w:id="316" w:name="_Toc11934"/>
      <w:r>
        <w:rPr>
          <w:rFonts w:hint="eastAsia" w:ascii="楷体_GB2312" w:hAnsi="楷体_GB2312" w:eastAsia="楷体_GB2312" w:cs="楷体_GB2312"/>
          <w:sz w:val="24"/>
          <w:lang w:val="en-US" w:eastAsia="zh-CN"/>
        </w:rPr>
        <w:t>2-10</w:t>
      </w:r>
      <w:r>
        <w:rPr>
          <w:rFonts w:hint="eastAsia" w:ascii="楷体_GB2312" w:hAnsi="楷体_GB2312" w:eastAsia="楷体_GB2312" w:cs="楷体_GB2312"/>
          <w:sz w:val="24"/>
        </w:rPr>
        <w:t xml:space="preserve"> 心理健康沙龙</w:t>
      </w:r>
      <w:bookmarkEnd w:id="316"/>
    </w:p>
    <w:p w14:paraId="4223592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以“家长心理健康赋能行动”拓展服务，线上设“家长心理课堂”，推80余条资源点击超3000次；线下组成长小组开展活动。开通心理健康热线及线上咨询平台，全年服务600余名家长，缓解其压力并树立科学教育理念。</w:t>
      </w:r>
    </w:p>
    <w:p w14:paraId="31B4461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辐射引领，打造社会心理服务“生态圈”。为社区、企业等家长群体举办公益讲座，惠及5000人次，内容覆盖各学段及职场家长需求。推动形成“家校社”协同育人格局，助力和谐社会建设。</w:t>
      </w:r>
    </w:p>
    <w:p w14:paraId="68D0A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eastAsia="zh-CN"/>
        </w:rPr>
      </w:pPr>
      <w:r>
        <w:rPr>
          <w:rFonts w:hint="eastAsia" w:eastAsia="仿宋_GB2312"/>
          <w:lang w:eastAsia="zh-CN"/>
        </w:rPr>
        <w:drawing>
          <wp:inline distT="0" distB="0" distL="114300" distR="114300">
            <wp:extent cx="2879725" cy="2160270"/>
            <wp:effectExtent l="0" t="0" r="3175" b="11430"/>
            <wp:docPr id="240" name="图片 240" descr="1"/>
            <wp:cNvGraphicFramePr/>
            <a:graphic xmlns:a="http://schemas.openxmlformats.org/drawingml/2006/main">
              <a:graphicData uri="http://schemas.openxmlformats.org/drawingml/2006/picture">
                <pic:pic xmlns:pic="http://schemas.openxmlformats.org/drawingml/2006/picture">
                  <pic:nvPicPr>
                    <pic:cNvPr id="240" name="图片 240" descr="1"/>
                    <pic:cNvPicPr/>
                  </pic:nvPicPr>
                  <pic:blipFill>
                    <a:blip r:embed="rId55"/>
                    <a:stretch>
                      <a:fillRect/>
                    </a:stretch>
                  </pic:blipFill>
                  <pic:spPr>
                    <a:xfrm>
                      <a:off x="0" y="0"/>
                      <a:ext cx="2879725" cy="2160270"/>
                    </a:xfrm>
                    <a:prstGeom prst="rect">
                      <a:avLst/>
                    </a:prstGeom>
                  </pic:spPr>
                </pic:pic>
              </a:graphicData>
            </a:graphic>
          </wp:inline>
        </w:drawing>
      </w:r>
    </w:p>
    <w:p w14:paraId="4897C898">
      <w:pPr>
        <w:jc w:val="center"/>
        <w:rPr>
          <w:rFonts w:hint="eastAsia" w:ascii="楷体_GB2312" w:hAnsi="楷体_GB2312" w:eastAsia="楷体_GB2312" w:cs="楷体_GB2312"/>
          <w:b/>
          <w:bCs/>
          <w:sz w:val="24"/>
        </w:rPr>
      </w:pPr>
      <w:r>
        <w:rPr>
          <w:rFonts w:hint="eastAsia" w:ascii="楷体_GB2312" w:hAnsi="楷体_GB2312" w:eastAsia="楷体_GB2312" w:cs="楷体_GB2312"/>
          <w:sz w:val="24"/>
        </w:rPr>
        <w:t xml:space="preserve">图 </w:t>
      </w:r>
      <w:bookmarkStart w:id="317" w:name="_Toc27416"/>
      <w:r>
        <w:rPr>
          <w:rFonts w:hint="eastAsia" w:ascii="楷体_GB2312" w:hAnsi="楷体_GB2312" w:eastAsia="楷体_GB2312" w:cs="楷体_GB2312"/>
          <w:sz w:val="24"/>
          <w:lang w:val="en-US" w:eastAsia="zh-CN"/>
        </w:rPr>
        <w:t>2-11</w:t>
      </w:r>
      <w:r>
        <w:rPr>
          <w:rFonts w:hint="eastAsia" w:ascii="楷体_GB2312" w:hAnsi="楷体_GB2312" w:eastAsia="楷体_GB2312" w:cs="楷体_GB2312"/>
          <w:sz w:val="24"/>
        </w:rPr>
        <w:t xml:space="preserve"> 心理健康教育讲座</w:t>
      </w:r>
      <w:bookmarkEnd w:id="317"/>
    </w:p>
    <w:p w14:paraId="13539B2C">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rPr>
      </w:pPr>
      <w:bookmarkStart w:id="318" w:name="_Toc8060"/>
      <w:bookmarkStart w:id="319" w:name="_Toc30582"/>
      <w:bookmarkStart w:id="320" w:name="_Toc5216"/>
      <w:bookmarkStart w:id="321" w:name="_Toc11227"/>
      <w:bookmarkStart w:id="322" w:name="_Toc13839"/>
      <w:bookmarkStart w:id="323" w:name="_Toc30484"/>
      <w:bookmarkStart w:id="324" w:name="_Toc4914"/>
      <w:bookmarkStart w:id="325" w:name="_Toc3899"/>
      <w:bookmarkStart w:id="326" w:name="_Toc13856"/>
      <w:bookmarkStart w:id="327" w:name="_Toc4943"/>
      <w:bookmarkStart w:id="328" w:name="_Toc16043"/>
      <w:bookmarkStart w:id="329" w:name="_Toc8969"/>
      <w:bookmarkStart w:id="330" w:name="_Toc2588"/>
      <w:bookmarkStart w:id="331" w:name="_Toc29212"/>
      <w:bookmarkStart w:id="332" w:name="_Toc326"/>
      <w:bookmarkStart w:id="333" w:name="_Toc27992"/>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2-4</w:t>
      </w:r>
      <w:r>
        <w:rPr>
          <w:rFonts w:hint="eastAsia" w:ascii="楷体_GB2312" w:hAnsi="楷体_GB2312" w:eastAsia="楷体_GB2312" w:cs="楷体_GB2312"/>
          <w:sz w:val="30"/>
          <w:szCs w:val="30"/>
        </w:rPr>
        <w:t>：</w:t>
      </w:r>
      <w:bookmarkEnd w:id="318"/>
      <w:bookmarkEnd w:id="319"/>
      <w:bookmarkEnd w:id="320"/>
      <w:bookmarkEnd w:id="321"/>
      <w:bookmarkEnd w:id="322"/>
      <w:bookmarkEnd w:id="323"/>
      <w:bookmarkEnd w:id="324"/>
      <w:bookmarkEnd w:id="325"/>
      <w:r>
        <w:rPr>
          <w:rFonts w:hint="eastAsia" w:ascii="楷体_GB2312" w:hAnsi="楷体_GB2312" w:eastAsia="楷体_GB2312" w:cs="楷体_GB2312"/>
          <w:sz w:val="30"/>
          <w:szCs w:val="30"/>
        </w:rPr>
        <w:t>家校智育启航，引领家庭教育新风尚</w:t>
      </w:r>
      <w:bookmarkEnd w:id="326"/>
      <w:bookmarkEnd w:id="327"/>
      <w:bookmarkEnd w:id="328"/>
      <w:bookmarkEnd w:id="329"/>
      <w:bookmarkEnd w:id="330"/>
      <w:bookmarkEnd w:id="331"/>
      <w:bookmarkEnd w:id="332"/>
      <w:bookmarkEnd w:id="333"/>
    </w:p>
    <w:p w14:paraId="1738386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家庭教育指导中心依托淄川区家庭教育指导中心，作为区域协同育人的核心枢纽，始终致力于联动学校、家庭、社会三方力量，构建“资源共享、责任共担、成果共赢”的协同育人服务体系，为驻地青少年健康成长保驾护航。</w:t>
      </w:r>
    </w:p>
    <w:p w14:paraId="677CCE2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该中心聚焦青少年成长全周期需求，联合淄川区检查院、辖区派出所、区妇联等12家单位，创新开展“家校社协同育人季”系列主题活动。活动围绕“青少年法治安全教育”“社区实践能力培养”等核心主题，采用“学校主讲+社区搭台+家庭参与”的联动模式，打造了多场景、沉浸式的协同育人实践平台。</w:t>
      </w:r>
    </w:p>
    <w:p w14:paraId="5B16CF4D">
      <w:pPr>
        <w:jc w:val="center"/>
        <w:rPr>
          <w:rFonts w:ascii="仿宋_GB2312" w:hAnsi="仿宋_GB2312" w:eastAsia="仿宋_GB2312" w:cs="仿宋_GB2312"/>
          <w:sz w:val="24"/>
        </w:rPr>
      </w:pPr>
    </w:p>
    <w:p w14:paraId="62655630">
      <w:pPr>
        <w:jc w:val="center"/>
        <w:rPr>
          <w:rFonts w:ascii="仿宋_GB2312" w:hAnsi="仿宋" w:eastAsia="仿宋_GB2312"/>
          <w:sz w:val="28"/>
          <w:szCs w:val="28"/>
        </w:rPr>
      </w:pPr>
      <w:r>
        <w:rPr>
          <w:rFonts w:hint="eastAsia" w:ascii="仿宋" w:hAnsi="仿宋" w:eastAsia="仿宋" w:cs="仿宋"/>
          <w:color w:val="161616"/>
          <w:kern w:val="2"/>
          <w:sz w:val="32"/>
          <w:szCs w:val="40"/>
          <w:lang w:val="en-US" w:eastAsia="zh-CN" w:bidi="ar-SA"/>
        </w:rPr>
        <w:drawing>
          <wp:inline distT="0" distB="0" distL="114300" distR="114300">
            <wp:extent cx="2881630" cy="2160270"/>
            <wp:effectExtent l="0" t="0" r="13970" b="3810"/>
            <wp:docPr id="241" name="图片 241" descr="799348e538774ead0d56e59a4d26e048"/>
            <wp:cNvGraphicFramePr/>
            <a:graphic xmlns:a="http://schemas.openxmlformats.org/drawingml/2006/main">
              <a:graphicData uri="http://schemas.openxmlformats.org/drawingml/2006/picture">
                <pic:pic xmlns:pic="http://schemas.openxmlformats.org/drawingml/2006/picture">
                  <pic:nvPicPr>
                    <pic:cNvPr id="241" name="图片 241" descr="799348e538774ead0d56e59a4d26e048"/>
                    <pic:cNvPicPr/>
                  </pic:nvPicPr>
                  <pic:blipFill>
                    <a:blip r:embed="rId56"/>
                    <a:stretch>
                      <a:fillRect/>
                    </a:stretch>
                  </pic:blipFill>
                  <pic:spPr>
                    <a:xfrm>
                      <a:off x="0" y="0"/>
                      <a:ext cx="2881630" cy="2160270"/>
                    </a:xfrm>
                    <a:prstGeom prst="rect">
                      <a:avLst/>
                    </a:prstGeom>
                  </pic:spPr>
                </pic:pic>
              </a:graphicData>
            </a:graphic>
          </wp:inline>
        </w:drawing>
      </w:r>
    </w:p>
    <w:p w14:paraId="2E4AE3F1">
      <w:pPr>
        <w:ind w:firstLine="2640" w:firstLineChars="1100"/>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334" w:name="_Toc31296"/>
      <w:r>
        <w:rPr>
          <w:rFonts w:hint="eastAsia" w:ascii="楷体_GB2312" w:hAnsi="楷体_GB2312" w:eastAsia="楷体_GB2312" w:cs="楷体_GB2312"/>
          <w:sz w:val="24"/>
          <w:lang w:val="en-US" w:eastAsia="zh-CN"/>
        </w:rPr>
        <w:t>2-12</w:t>
      </w:r>
      <w:r>
        <w:rPr>
          <w:rFonts w:hint="eastAsia" w:ascii="楷体_GB2312" w:hAnsi="楷体_GB2312" w:eastAsia="楷体_GB2312" w:cs="楷体_GB2312"/>
          <w:sz w:val="24"/>
        </w:rPr>
        <w:t xml:space="preserve"> 走进乡镇开展家庭教育讲座活动</w:t>
      </w:r>
      <w:bookmarkEnd w:id="334"/>
    </w:p>
    <w:p w14:paraId="191145D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在系列活动中，协同育人指导团队精准破解了以往“学校单打独斗”“家庭引导乏力”“社会资源分散”等突出问题，通过“法治课堂进社区”邀请检查院检察官现场讲解青少年权益保护知识，“亲子志愿服务进街区”联动家庭参与环境整治等特色活动，让三方力量深度融合。参与家长和社区工作者纷纷表示，这种联动模式打破了育人壁垒，既让孩子在实践中提升了综合素养，也让家长掌握了协同教育的方法，更激活了社会资源的育人价值。通过一系列家庭教育讲座融合三方资源，形成协同育人长效机制，让育人力量持续赋能青少年成长。</w:t>
      </w:r>
    </w:p>
    <w:bookmarkEnd w:id="258"/>
    <w:p w14:paraId="68923206">
      <w:pPr>
        <w:pStyle w:val="2"/>
        <w:keepNext/>
        <w:keepLines/>
        <w:pageBreakBefore w:val="0"/>
        <w:widowControl w:val="0"/>
        <w:tabs>
          <w:tab w:val="left" w:pos="539"/>
        </w:tabs>
        <w:kinsoku/>
        <w:wordWrap/>
        <w:overflowPunct/>
        <w:topLinePunct w:val="0"/>
        <w:autoSpaceDE/>
        <w:autoSpaceDN/>
        <w:bidi w:val="0"/>
        <w:adjustRightInd/>
        <w:snapToGrid/>
        <w:spacing w:before="0" w:after="0" w:line="560" w:lineRule="exact"/>
        <w:ind w:firstLine="640" w:firstLineChars="200"/>
        <w:textAlignment w:val="auto"/>
        <w:rPr>
          <w:rFonts w:ascii="黑体" w:hAnsi="黑体" w:eastAsia="黑体"/>
          <w:b w:val="0"/>
          <w:bCs/>
          <w:sz w:val="32"/>
          <w:szCs w:val="32"/>
        </w:rPr>
      </w:pPr>
      <w:bookmarkStart w:id="335" w:name="_Toc4954"/>
      <w:bookmarkStart w:id="336" w:name="_Toc32570"/>
      <w:bookmarkStart w:id="337" w:name="_Toc27558921"/>
      <w:bookmarkStart w:id="338" w:name="_Toc27558918"/>
      <w:r>
        <w:rPr>
          <w:rFonts w:hint="eastAsia" w:ascii="黑体" w:hAnsi="黑体" w:eastAsia="黑体"/>
          <w:b w:val="0"/>
          <w:bCs/>
          <w:sz w:val="32"/>
          <w:szCs w:val="32"/>
          <w:lang w:val="en-US" w:eastAsia="zh-CN"/>
        </w:rPr>
        <w:t>三</w:t>
      </w:r>
      <w:r>
        <w:rPr>
          <w:rFonts w:hint="eastAsia" w:ascii="黑体" w:hAnsi="黑体" w:eastAsia="黑体"/>
          <w:b w:val="0"/>
          <w:bCs/>
          <w:sz w:val="32"/>
          <w:szCs w:val="32"/>
          <w:lang w:eastAsia="zh-CN"/>
        </w:rPr>
        <w:t>、</w:t>
      </w:r>
      <w:r>
        <w:rPr>
          <w:rFonts w:hint="eastAsia" w:ascii="黑体" w:hAnsi="黑体" w:eastAsia="黑体"/>
          <w:b w:val="0"/>
          <w:bCs/>
          <w:sz w:val="32"/>
          <w:szCs w:val="32"/>
        </w:rPr>
        <w:t>文化传承</w:t>
      </w:r>
      <w:bookmarkEnd w:id="335"/>
    </w:p>
    <w:p w14:paraId="2C24985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将工匠精神培育融入人才培养全过程，系统化培养学生精益求精、追求卓越的职业素养，以红色基因传承作为思想政治教育的核心内容，在传承与弘扬中华优秀传统文化中涵养学生的爱国主义情感与革命精神，强化立德树人成效。</w:t>
      </w:r>
    </w:p>
    <w:p w14:paraId="3B0F8482">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339" w:name="_Toc22471"/>
      <w:r>
        <w:rPr>
          <w:rFonts w:hint="eastAsia" w:ascii="黑体" w:hAnsi="黑体" w:eastAsia="黑体" w:cs="黑体"/>
          <w:b w:val="0"/>
          <w:bCs w:val="0"/>
          <w:sz w:val="30"/>
          <w:szCs w:val="30"/>
          <w:lang w:val="en-US" w:eastAsia="zh-CN"/>
        </w:rPr>
        <w:t>（一）工匠精神</w:t>
      </w:r>
      <w:bookmarkEnd w:id="339"/>
    </w:p>
    <w:p w14:paraId="3DC7148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1.技能竞赛培育匠心匠艺</w:t>
      </w:r>
    </w:p>
    <w:p w14:paraId="3138F3B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w:t>
      </w:r>
      <w:r>
        <w:rPr>
          <w:rFonts w:hint="eastAsia" w:ascii="仿宋_GB2312" w:hAnsi="仿宋" w:eastAsia="仿宋_GB2312"/>
          <w:color w:val="000000" w:themeColor="text1"/>
          <w:sz w:val="28"/>
          <w:szCs w:val="28"/>
          <w:lang w:val="en-US" w:eastAsia="zh-CN"/>
          <w14:textFill>
            <w14:solidFill>
              <w14:schemeClr w14:val="tx1"/>
            </w14:solidFill>
          </w14:textFill>
        </w:rPr>
        <w:t>了</w:t>
      </w:r>
      <w:r>
        <w:rPr>
          <w:rFonts w:hint="eastAsia" w:ascii="仿宋_GB2312" w:hAnsi="仿宋" w:eastAsia="仿宋_GB2312"/>
          <w:color w:val="000000" w:themeColor="text1"/>
          <w:sz w:val="28"/>
          <w:szCs w:val="28"/>
          <w14:textFill>
            <w14:solidFill>
              <w14:schemeClr w14:val="tx1"/>
            </w14:solidFill>
          </w14:textFill>
        </w:rPr>
        <w:t>将“工匠精神”熔铸于扎实的技能淬炼中，淄博理工学校陶艺分校系统构建了“校-市-省-国”四级贯通的技能竞赛培养体系，将竞赛作为锤炼匠心、检验匠艺的核心抓手。</w:t>
      </w:r>
    </w:p>
    <w:p w14:paraId="43F71379">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color w:val="000000" w:themeColor="text1"/>
          <w:sz w:val="30"/>
          <w:szCs w:val="30"/>
          <w14:textFill>
            <w14:solidFill>
              <w14:schemeClr w14:val="tx1"/>
            </w14:solidFill>
          </w14:textFill>
        </w:rPr>
      </w:pPr>
      <w:bookmarkStart w:id="340" w:name="_Toc1343"/>
      <w:bookmarkStart w:id="341" w:name="_Toc12966"/>
      <w:bookmarkStart w:id="342" w:name="_Toc13291"/>
      <w:bookmarkStart w:id="343" w:name="_Toc25517"/>
      <w:bookmarkStart w:id="344" w:name="_Toc1762"/>
      <w:bookmarkStart w:id="345" w:name="_Toc6802"/>
      <w:bookmarkStart w:id="346" w:name="_Toc23201"/>
      <w:bookmarkStart w:id="347" w:name="_Toc5124"/>
      <w:bookmarkStart w:id="348" w:name="_Toc7505"/>
      <w:bookmarkStart w:id="349" w:name="_Toc8437"/>
      <w:bookmarkStart w:id="350" w:name="_Toc17259"/>
      <w:bookmarkStart w:id="351" w:name="_Toc17766"/>
      <w:bookmarkStart w:id="352" w:name="_Toc32151"/>
      <w:r>
        <w:rPr>
          <w:rFonts w:hint="eastAsia" w:ascii="楷体_GB2312" w:hAnsi="楷体_GB2312" w:eastAsia="楷体_GB2312" w:cs="楷体_GB2312"/>
          <w:color w:val="000000" w:themeColor="text1"/>
          <w:sz w:val="30"/>
          <w:szCs w:val="30"/>
          <w14:textFill>
            <w14:solidFill>
              <w14:schemeClr w14:val="tx1"/>
            </w14:solidFill>
          </w14:textFill>
        </w:rPr>
        <w:t>案例</w:t>
      </w:r>
      <w:bookmarkEnd w:id="340"/>
      <w:bookmarkEnd w:id="341"/>
      <w:bookmarkEnd w:id="342"/>
      <w:bookmarkEnd w:id="343"/>
      <w:bookmarkEnd w:id="344"/>
      <w:bookmarkEnd w:id="345"/>
      <w:r>
        <w:rPr>
          <w:rFonts w:hint="eastAsia" w:ascii="楷体_GB2312" w:hAnsi="楷体_GB2312" w:eastAsia="楷体_GB2312" w:cs="楷体_GB2312"/>
          <w:color w:val="000000" w:themeColor="text1"/>
          <w:sz w:val="30"/>
          <w:szCs w:val="30"/>
          <w:lang w:val="en-US" w:eastAsia="zh-CN"/>
          <w14:textFill>
            <w14:solidFill>
              <w14:schemeClr w14:val="tx1"/>
            </w14:solidFill>
          </w14:textFill>
        </w:rPr>
        <w:t>3-1：</w:t>
      </w:r>
      <w:bookmarkEnd w:id="346"/>
      <w:bookmarkEnd w:id="347"/>
      <w:bookmarkEnd w:id="348"/>
      <w:bookmarkEnd w:id="349"/>
      <w:r>
        <w:rPr>
          <w:rFonts w:hint="eastAsia" w:ascii="楷体_GB2312" w:hAnsi="楷体_GB2312" w:eastAsia="楷体_GB2312" w:cs="楷体_GB2312"/>
          <w:color w:val="000000" w:themeColor="text1"/>
          <w:sz w:val="30"/>
          <w:szCs w:val="30"/>
          <w:lang w:val="en-US" w:eastAsia="zh-CN"/>
          <w14:textFill>
            <w14:solidFill>
              <w14:schemeClr w14:val="tx1"/>
            </w14:solidFill>
          </w14:textFill>
        </w:rPr>
        <w:t>以赛育匠、以技砺心</w:t>
      </w:r>
      <w:bookmarkEnd w:id="350"/>
      <w:bookmarkEnd w:id="351"/>
      <w:bookmarkEnd w:id="352"/>
    </w:p>
    <w:p w14:paraId="6D16960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为弘扬工匠精神、技能宝贵的时代精神，学校每年</w:t>
      </w:r>
      <w:r>
        <w:rPr>
          <w:rFonts w:hint="eastAsia" w:ascii="仿宋_GB2312" w:hAnsi="仿宋" w:eastAsia="仿宋_GB2312"/>
          <w:color w:val="000000" w:themeColor="text1"/>
          <w:sz w:val="28"/>
          <w:szCs w:val="28"/>
          <w:lang w:val="en-US" w:eastAsia="zh-CN"/>
          <w14:textFill>
            <w14:solidFill>
              <w14:schemeClr w14:val="tx1"/>
            </w14:solidFill>
          </w14:textFill>
        </w:rPr>
        <w:t>组织学生参加国家、省、市等各级技能竞赛活动</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引导每位学生从起点便树立对技艺的尊重与专注，在切磋中初尝精益求精的乐趣。</w:t>
      </w:r>
      <w:r>
        <w:rPr>
          <w:rFonts w:hint="eastAsia" w:ascii="仿宋_GB2312" w:hAnsi="仿宋" w:eastAsia="仿宋_GB2312"/>
          <w:color w:val="000000" w:themeColor="text1"/>
          <w:sz w:val="28"/>
          <w:szCs w:val="28"/>
          <w:lang w:val="en-US" w:eastAsia="zh-CN"/>
          <w14:textFill>
            <w14:solidFill>
              <w14:schemeClr w14:val="tx1"/>
            </w14:solidFill>
          </w14:textFill>
        </w:rPr>
        <w:t>学生参加</w:t>
      </w:r>
      <w:r>
        <w:rPr>
          <w:rFonts w:hint="eastAsia" w:ascii="仿宋_GB2312" w:hAnsi="仿宋" w:eastAsia="仿宋_GB2312"/>
          <w:color w:val="000000" w:themeColor="text1"/>
          <w:sz w:val="28"/>
          <w:szCs w:val="28"/>
          <w14:textFill>
            <w14:solidFill>
              <w14:schemeClr w14:val="tx1"/>
            </w14:solidFill>
          </w14:textFill>
        </w:rPr>
        <w:t>淄博市第十五届职业（技工）院校技能大赛“陶瓷琉璃制作”赛项，荣获一等奖7个、二等奖9个</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lang w:val="en-US" w:eastAsia="zh-CN"/>
          <w14:textFill>
            <w14:solidFill>
              <w14:schemeClr w14:val="tx1"/>
            </w14:solidFill>
          </w14:textFill>
        </w:rPr>
        <w:t>在</w:t>
      </w:r>
      <w:r>
        <w:rPr>
          <w:rFonts w:hint="eastAsia" w:ascii="仿宋_GB2312" w:hAnsi="仿宋" w:eastAsia="仿宋_GB2312"/>
          <w:color w:val="000000" w:themeColor="text1"/>
          <w:sz w:val="28"/>
          <w:szCs w:val="28"/>
          <w14:textFill>
            <w14:solidFill>
              <w14:schemeClr w14:val="tx1"/>
            </w14:solidFill>
          </w14:textFill>
        </w:rPr>
        <w:t>山东省职业院校技能大赛“美术造型”赛项</w:t>
      </w:r>
      <w:r>
        <w:rPr>
          <w:rFonts w:hint="eastAsia" w:ascii="仿宋_GB2312" w:hAnsi="仿宋" w:eastAsia="仿宋_GB2312"/>
          <w:color w:val="000000" w:themeColor="text1"/>
          <w:sz w:val="28"/>
          <w:szCs w:val="28"/>
          <w:lang w:val="en-US" w:eastAsia="zh-CN"/>
          <w14:textFill>
            <w14:solidFill>
              <w14:schemeClr w14:val="tx1"/>
            </w14:solidFill>
          </w14:textFill>
        </w:rPr>
        <w:t>中荣获三等奖；</w:t>
      </w:r>
      <w:r>
        <w:rPr>
          <w:rFonts w:hint="eastAsia" w:ascii="仿宋_GB2312" w:hAnsi="仿宋" w:eastAsia="仿宋_GB2312"/>
          <w:color w:val="000000" w:themeColor="text1"/>
          <w:sz w:val="28"/>
          <w:szCs w:val="28"/>
          <w14:textFill>
            <w14:solidFill>
              <w14:schemeClr w14:val="tx1"/>
            </w14:solidFill>
          </w14:textFill>
        </w:rPr>
        <w:t>选派优秀选手参加全国陶瓷行业职业技能竞赛，在2024年全国陶瓷职业院校学生技能竞赛总决赛中，</w:t>
      </w: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学生在“陶瓷产品设计”“陶瓷彩绘”赛项中脱颖而出，共斩获二等奖2个，三等奖2个，在全国舞台上展现了精湛的技艺与追求卓越的工匠风貌</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不仅检验了技能水平，更在实战中强化了以高标准要求自己的职业习惯，深刻体悟“差之毫厘，谬以千里”的严谨精神。</w:t>
      </w:r>
    </w:p>
    <w:p w14:paraId="3EB0BF3A">
      <w:pPr>
        <w:jc w:val="center"/>
        <w:rPr>
          <w:rFonts w:ascii="楷体_GB2312" w:hAnsi="楷体_GB2312" w:eastAsia="楷体_GB2312" w:cs="楷体_GB2312"/>
          <w:color w:val="FF0000"/>
          <w:sz w:val="24"/>
        </w:rPr>
      </w:pPr>
    </w:p>
    <w:p w14:paraId="40900E37">
      <w:pPr>
        <w:jc w:val="center"/>
        <w:rPr>
          <w:rFonts w:ascii="宋体" w:hAnsi="宋体" w:cs="宋体"/>
          <w:sz w:val="24"/>
        </w:rPr>
      </w:pPr>
      <w:r>
        <w:drawing>
          <wp:inline distT="0" distB="0" distL="114300" distR="114300">
            <wp:extent cx="3261360" cy="2160270"/>
            <wp:effectExtent l="0" t="0" r="0" b="3810"/>
            <wp:docPr id="247" name="图片 9" descr="指导学生参加2024年全国陶瓷职业院校学生技能竞赛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9" descr="指导学生参加2024年全国陶瓷职业院校学生技能竞赛 (3)"/>
                    <pic:cNvPicPr>
                      <a:picLocks noChangeAspect="1"/>
                    </pic:cNvPicPr>
                  </pic:nvPicPr>
                  <pic:blipFill>
                    <a:blip r:embed="rId57"/>
                    <a:stretch>
                      <a:fillRect/>
                    </a:stretch>
                  </pic:blipFill>
                  <pic:spPr>
                    <a:xfrm>
                      <a:off x="0" y="0"/>
                      <a:ext cx="3261360" cy="2160270"/>
                    </a:xfrm>
                    <a:prstGeom prst="rect">
                      <a:avLst/>
                    </a:prstGeom>
                    <a:noFill/>
                    <a:ln>
                      <a:noFill/>
                    </a:ln>
                  </pic:spPr>
                </pic:pic>
              </a:graphicData>
            </a:graphic>
          </wp:inline>
        </w:drawing>
      </w:r>
    </w:p>
    <w:p w14:paraId="3E3B214F">
      <w:pPr>
        <w:jc w:val="center"/>
        <w:rPr>
          <w:rFonts w:ascii="楷体_GB2312" w:hAnsi="楷体_GB2312" w:eastAsia="楷体_GB2312" w:cs="楷体_GB2312"/>
          <w:sz w:val="24"/>
        </w:rPr>
      </w:pPr>
      <w:r>
        <w:rPr>
          <w:rFonts w:hint="eastAsia" w:ascii="楷体_GB2312" w:hAnsi="楷体_GB2312" w:eastAsia="楷体_GB2312" w:cs="楷体_GB2312"/>
          <w:sz w:val="24"/>
        </w:rPr>
        <w:t xml:space="preserve">图 </w:t>
      </w:r>
      <w:bookmarkStart w:id="353" w:name="_Toc19224"/>
      <w:r>
        <w:rPr>
          <w:rFonts w:hint="eastAsia" w:ascii="楷体_GB2312" w:hAnsi="楷体_GB2312" w:eastAsia="楷体_GB2312" w:cs="楷体_GB2312"/>
          <w:sz w:val="24"/>
          <w:lang w:val="en-US" w:eastAsia="zh-CN"/>
        </w:rPr>
        <w:t>2-13</w:t>
      </w:r>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eastAsia="zh-CN"/>
        </w:rPr>
        <w:t>学校</w:t>
      </w:r>
      <w:r>
        <w:rPr>
          <w:rFonts w:hint="eastAsia" w:ascii="楷体_GB2312" w:hAnsi="楷体_GB2312" w:eastAsia="楷体_GB2312" w:cs="楷体_GB2312"/>
          <w:sz w:val="24"/>
        </w:rPr>
        <w:t>学生参加全国陶瓷职业院校技能竞赛总决赛</w:t>
      </w:r>
      <w:bookmarkEnd w:id="353"/>
    </w:p>
    <w:p w14:paraId="14E53CDC">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354" w:name="_Toc12177"/>
      <w:bookmarkStart w:id="355" w:name="_Toc17354"/>
      <w:bookmarkStart w:id="356" w:name="_Toc31057"/>
      <w:bookmarkStart w:id="357" w:name="_Toc9744"/>
      <w:r>
        <w:rPr>
          <w:rFonts w:hint="eastAsia" w:ascii="黑体" w:hAnsi="黑体" w:eastAsia="黑体" w:cs="黑体"/>
          <w:b w:val="0"/>
          <w:bCs w:val="0"/>
          <w:sz w:val="30"/>
          <w:szCs w:val="30"/>
          <w:lang w:val="en-US" w:eastAsia="zh-CN"/>
        </w:rPr>
        <w:t>（二）红色基因</w:t>
      </w:r>
      <w:bookmarkEnd w:id="354"/>
    </w:p>
    <w:p w14:paraId="58AAB59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传承红色基因、厚植家国情怀</w:t>
      </w:r>
    </w:p>
    <w:p w14:paraId="75D3A43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淄博理工学校坐落于淄博市淄川区，这里革命底蕴深厚，红色资源富集。学校创新开展系列主题活动，着力构建立体化红色教育模式，助力学生涵养爱国主义情感与革命精神。</w:t>
      </w:r>
    </w:p>
    <w:p w14:paraId="219A8B9C">
      <w:pPr>
        <w:jc w:val="center"/>
      </w:pPr>
      <w:r>
        <w:rPr>
          <w:rFonts w:hint="eastAsia" w:ascii="仿宋_GB2312" w:hAnsi="仿宋_GB2312" w:eastAsia="仿宋_GB2312" w:cs="仿宋_GB2312"/>
          <w:color w:val="000000"/>
          <w:kern w:val="0"/>
          <w:sz w:val="28"/>
          <w:szCs w:val="28"/>
          <w:lang w:val="en-US" w:eastAsia="zh-CN" w:bidi="ar"/>
        </w:rPr>
        <w:drawing>
          <wp:inline distT="0" distB="0" distL="114300" distR="114300">
            <wp:extent cx="3241040" cy="2160270"/>
            <wp:effectExtent l="0" t="0" r="5080" b="3810"/>
            <wp:docPr id="47" name="图片 47" descr="团员宣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团员宣誓"/>
                    <pic:cNvPicPr>
                      <a:picLocks noChangeAspect="1"/>
                    </pic:cNvPicPr>
                  </pic:nvPicPr>
                  <pic:blipFill>
                    <a:blip r:embed="rId58"/>
                    <a:stretch>
                      <a:fillRect/>
                    </a:stretch>
                  </pic:blipFill>
                  <pic:spPr>
                    <a:xfrm>
                      <a:off x="0" y="0"/>
                      <a:ext cx="3241040" cy="2160270"/>
                    </a:xfrm>
                    <a:prstGeom prst="rect">
                      <a:avLst/>
                    </a:prstGeom>
                  </pic:spPr>
                </pic:pic>
              </a:graphicData>
            </a:graphic>
          </wp:inline>
        </w:drawing>
      </w:r>
    </w:p>
    <w:p w14:paraId="44D8ABD9">
      <w:pPr>
        <w:pStyle w:val="6"/>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bookmarkStart w:id="358" w:name="_Toc1210"/>
      <w:bookmarkStart w:id="359" w:name="_Toc10345"/>
      <w:bookmarkStart w:id="360" w:name="_Toc15770"/>
      <w:bookmarkStart w:id="361" w:name="_Toc9482"/>
      <w:r>
        <w:rPr>
          <w:rFonts w:hint="eastAsia" w:ascii="楷体_GB2312" w:hAnsi="楷体_GB2312" w:eastAsia="楷体_GB2312" w:cs="楷体_GB2312"/>
          <w:sz w:val="24"/>
          <w:lang w:val="en-US" w:eastAsia="zh-CN"/>
        </w:rPr>
        <w:t>3-1</w:t>
      </w:r>
      <w:r>
        <w:rPr>
          <w:rFonts w:hint="eastAsia" w:ascii="楷体_GB2312" w:hAnsi="楷体_GB2312" w:eastAsia="楷体_GB2312" w:cs="楷体_GB2312"/>
          <w:sz w:val="24"/>
        </w:rPr>
        <w:t xml:space="preserve"> </w:t>
      </w:r>
      <w:bookmarkEnd w:id="358"/>
      <w:bookmarkEnd w:id="359"/>
      <w:bookmarkEnd w:id="360"/>
      <w:r>
        <w:rPr>
          <w:rFonts w:hint="eastAsia" w:ascii="楷体_GB2312" w:hAnsi="楷体_GB2312" w:eastAsia="楷体_GB2312" w:cs="楷体_GB2312"/>
          <w:color w:val="000000"/>
          <w:kern w:val="0"/>
          <w:sz w:val="24"/>
          <w:szCs w:val="24"/>
          <w:lang w:val="en-US" w:eastAsia="zh-CN" w:bidi="ar"/>
        </w:rPr>
        <w:t>参观红色展馆宣誓活动</w:t>
      </w:r>
      <w:bookmarkEnd w:id="361"/>
    </w:p>
    <w:p w14:paraId="2FE605F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组织学生走访本土红色文化基地开展卫生清理和研学活动，系统探寻当地革命历史脉络，深挖革命英雄事迹与经典战斗故事，并鼓励学生将搜集到的史料转化为生动宣讲内容。通过亲身寻访与深情讲述，学生们对红色文化的精神内核与时代价值有了更为深刻的体悟。</w:t>
      </w:r>
    </w:p>
    <w:p w14:paraId="05486F64">
      <w:pPr>
        <w:jc w:val="center"/>
      </w:pPr>
      <w:r>
        <w:rPr>
          <w:rFonts w:hint="eastAsia" w:ascii="仿宋_GB2312" w:hAnsi="仿宋_GB2312" w:eastAsia="仿宋_GB2312" w:cs="仿宋_GB2312"/>
          <w:color w:val="000000"/>
          <w:kern w:val="0"/>
          <w:sz w:val="28"/>
          <w:szCs w:val="28"/>
          <w:lang w:val="en-US" w:eastAsia="zh-CN" w:bidi="ar"/>
        </w:rPr>
        <w:drawing>
          <wp:inline distT="0" distB="0" distL="114300" distR="114300">
            <wp:extent cx="3559175" cy="2160270"/>
            <wp:effectExtent l="0" t="0" r="6985" b="3810"/>
            <wp:docPr id="250" name="图片 250" descr="祭扫墓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祭扫墓碑"/>
                    <pic:cNvPicPr>
                      <a:picLocks noChangeAspect="1"/>
                    </pic:cNvPicPr>
                  </pic:nvPicPr>
                  <pic:blipFill>
                    <a:blip r:embed="rId59"/>
                    <a:stretch>
                      <a:fillRect/>
                    </a:stretch>
                  </pic:blipFill>
                  <pic:spPr>
                    <a:xfrm>
                      <a:off x="0" y="0"/>
                      <a:ext cx="3559175" cy="2160270"/>
                    </a:xfrm>
                    <a:prstGeom prst="rect">
                      <a:avLst/>
                    </a:prstGeom>
                  </pic:spPr>
                </pic:pic>
              </a:graphicData>
            </a:graphic>
          </wp:inline>
        </w:drawing>
      </w:r>
    </w:p>
    <w:p w14:paraId="3E4B6009">
      <w:pPr>
        <w:pStyle w:val="6"/>
        <w:jc w:val="center"/>
        <w:rPr>
          <w:rFonts w:hint="default" w:ascii="楷体_GB2312" w:hAnsi="楷体_GB2312" w:eastAsia="楷体_GB2312" w:cs="楷体_GB2312"/>
          <w:sz w:val="24"/>
          <w:lang w:val="en-US" w:eastAsia="zh-CN"/>
        </w:rPr>
      </w:pPr>
      <w:bookmarkStart w:id="362" w:name="_Toc19782"/>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3-2</w:t>
      </w:r>
      <w:r>
        <w:rPr>
          <w:rFonts w:hint="eastAsia" w:ascii="楷体_GB2312" w:hAnsi="楷体_GB2312" w:eastAsia="楷体_GB2312" w:cs="楷体_GB2312"/>
          <w:sz w:val="24"/>
        </w:rPr>
        <w:fldChar w:fldCharType="end"/>
      </w:r>
      <w:bookmarkStart w:id="363" w:name="_Toc29407"/>
      <w:bookmarkStart w:id="364" w:name="_Toc5849"/>
      <w:bookmarkStart w:id="365" w:name="_Toc31023"/>
      <w:bookmarkStart w:id="366" w:name="_Toc3687"/>
      <w:r>
        <w:rPr>
          <w:rFonts w:hint="eastAsia" w:ascii="楷体_GB2312" w:hAnsi="楷体_GB2312" w:eastAsia="楷体_GB2312" w:cs="楷体_GB2312"/>
          <w:sz w:val="24"/>
        </w:rPr>
        <w:t xml:space="preserve"> </w:t>
      </w:r>
      <w:bookmarkEnd w:id="362"/>
      <w:bookmarkEnd w:id="363"/>
      <w:bookmarkEnd w:id="364"/>
      <w:bookmarkEnd w:id="365"/>
      <w:r>
        <w:rPr>
          <w:rFonts w:hint="eastAsia" w:ascii="楷体_GB2312" w:hAnsi="楷体_GB2312" w:eastAsia="楷体_GB2312" w:cs="楷体_GB2312"/>
          <w:sz w:val="24"/>
          <w:lang w:val="en-US" w:eastAsia="zh-CN"/>
        </w:rPr>
        <w:t>学生为革命烈士扫墓</w:t>
      </w:r>
      <w:bookmarkEnd w:id="366"/>
    </w:p>
    <w:p w14:paraId="5163F2E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打造红色数字映像体验馆，借助虚拟现实技术复刻爬雪山、过草地等革命场景。学生们沉浸式感受红军长征的艰辛历程，直观体会革命先烈为理想信念付出的巨大牺牲，进一步筑牢了对党和人民军队的爱戴与崇敬之情。</w:t>
      </w:r>
    </w:p>
    <w:p w14:paraId="773DB07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学生们以绘画、书法、摄影等多元艺术形式为载体，抒发对红色精神的理解与感悟。这些作品既展现了学生的艺术素养，更以鲜活的创作传递红色文化的精神力量，让红色基因在艺术表达中得以延续。</w:t>
      </w:r>
    </w:p>
    <w:p w14:paraId="5A042CC7">
      <w:pPr>
        <w:jc w:val="center"/>
      </w:pPr>
      <w:r>
        <w:rPr>
          <w:rFonts w:hint="default" w:ascii="仿宋_GB2312" w:hAnsi="仿宋_GB2312" w:eastAsia="仿宋_GB2312" w:cs="仿宋_GB2312"/>
          <w:color w:val="000000"/>
          <w:kern w:val="0"/>
          <w:sz w:val="28"/>
          <w:szCs w:val="28"/>
          <w:lang w:val="en-US" w:eastAsia="zh-CN" w:bidi="ar"/>
        </w:rPr>
        <w:drawing>
          <wp:inline distT="0" distB="0" distL="114300" distR="114300">
            <wp:extent cx="4121150" cy="2160270"/>
            <wp:effectExtent l="0" t="0" r="8890" b="3810"/>
            <wp:docPr id="254" name="图片 254" descr="51f57f130916fcb3c03aefb129e0e3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51f57f130916fcb3c03aefb129e0e3c3"/>
                    <pic:cNvPicPr>
                      <a:picLocks noChangeAspect="1"/>
                    </pic:cNvPicPr>
                  </pic:nvPicPr>
                  <pic:blipFill>
                    <a:blip r:embed="rId60">
                      <a:alphaModFix amt="80000"/>
                      <a:lum bright="18000" contrast="60000"/>
                    </a:blip>
                    <a:srcRect l="19453" t="21470" b="13943"/>
                    <a:stretch>
                      <a:fillRect/>
                    </a:stretch>
                  </pic:blipFill>
                  <pic:spPr>
                    <a:xfrm>
                      <a:off x="0" y="0"/>
                      <a:ext cx="4121150" cy="2160270"/>
                    </a:xfrm>
                    <a:prstGeom prst="rect">
                      <a:avLst/>
                    </a:prstGeom>
                  </pic:spPr>
                </pic:pic>
              </a:graphicData>
            </a:graphic>
          </wp:inline>
        </w:drawing>
      </w:r>
    </w:p>
    <w:p w14:paraId="7557A2DB">
      <w:pPr>
        <w:pStyle w:val="6"/>
        <w:jc w:val="center"/>
        <w:rPr>
          <w:rFonts w:hint="default"/>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3-3</w:t>
      </w:r>
      <w:r>
        <w:rPr>
          <w:rFonts w:hint="eastAsia" w:ascii="楷体_GB2312" w:hAnsi="楷体_GB2312" w:eastAsia="楷体_GB2312" w:cs="楷体_GB2312"/>
          <w:sz w:val="24"/>
        </w:rPr>
        <w:fldChar w:fldCharType="end"/>
      </w:r>
      <w:bookmarkStart w:id="367" w:name="_Toc32658"/>
      <w:r>
        <w:rPr>
          <w:rFonts w:hint="eastAsia" w:ascii="楷体_GB2312" w:hAnsi="楷体_GB2312" w:eastAsia="楷体_GB2312" w:cs="楷体_GB2312"/>
          <w:sz w:val="24"/>
        </w:rPr>
        <w:t xml:space="preserve"> 学生红色文化作品展示</w:t>
      </w:r>
      <w:bookmarkEnd w:id="367"/>
    </w:p>
    <w:bookmarkEnd w:id="355"/>
    <w:bookmarkEnd w:id="356"/>
    <w:bookmarkEnd w:id="357"/>
    <w:p w14:paraId="6DF954AA">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368" w:name="_Toc14446"/>
      <w:bookmarkStart w:id="369" w:name="_Toc31062"/>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三</w:t>
      </w:r>
      <w:r>
        <w:rPr>
          <w:rFonts w:hint="eastAsia" w:ascii="黑体" w:hAnsi="黑体" w:eastAsia="黑体" w:cs="黑体"/>
          <w:b w:val="0"/>
          <w:bCs w:val="0"/>
          <w:sz w:val="30"/>
          <w:szCs w:val="30"/>
          <w:lang w:eastAsia="zh-CN"/>
        </w:rPr>
        <w:t>）</w:t>
      </w:r>
      <w:bookmarkEnd w:id="368"/>
      <w:r>
        <w:rPr>
          <w:rFonts w:hint="eastAsia" w:ascii="黑体" w:hAnsi="黑体" w:eastAsia="黑体" w:cs="黑体"/>
          <w:b w:val="0"/>
          <w:bCs w:val="0"/>
          <w:sz w:val="30"/>
          <w:szCs w:val="30"/>
          <w:lang w:val="en-US" w:eastAsia="zh-CN"/>
        </w:rPr>
        <w:t>传统文化</w:t>
      </w:r>
      <w:bookmarkEnd w:id="369"/>
    </w:p>
    <w:p w14:paraId="75A12DA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14:textFill>
            <w14:solidFill>
              <w14:schemeClr w14:val="tx1"/>
            </w14:solidFill>
          </w14:textFill>
        </w:rPr>
        <w:t>中国工笔画艺术传承</w:t>
      </w:r>
    </w:p>
    <w:p w14:paraId="356419F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为弘扬优秀传统文化，传承经典文脉、涵养审美情操，</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14:textFill>
            <w14:solidFill>
              <w14:schemeClr w14:val="tx1"/>
            </w14:solidFill>
          </w14:textFill>
        </w:rPr>
        <w:t>学前教育系将中国工笔画教学纳入传统文化教育体系，采用“技法传授+文化浸润”融合教学模式。日常教学中，教师系统讲解笔墨章法、山水花鸟技法及意境营造，通过示范演示与个性化指导，引导学生独立完成作品，有效提升了学生的动手实践能力与艺术创新思维。课后通过校园书画展、职教成果展等活动，为学生提供展示交流平台。学生在掌握基础技法后，不仅在校园内完成大量主题创作，更在实习及就业过程中，将中国工笔画艺术融入教学实践、文化宣传等场景，让传统艺术在新时代场景中焕发活力。</w:t>
      </w:r>
    </w:p>
    <w:p w14:paraId="7D5AFBA3">
      <w:pPr>
        <w:jc w:val="center"/>
        <w:rPr>
          <w:rFonts w:ascii="宋体" w:hAnsi="宋体" w:cs="宋体"/>
          <w:sz w:val="24"/>
        </w:rPr>
      </w:pPr>
      <w:r>
        <w:rPr>
          <w:rFonts w:hint="eastAsia" w:ascii="仿宋_GB2312" w:hAnsi="仿宋_GB2312" w:eastAsia="仿宋_GB2312" w:cs="仿宋_GB2312"/>
          <w:color w:val="000000"/>
          <w:kern w:val="0"/>
          <w:sz w:val="28"/>
          <w:szCs w:val="28"/>
          <w:lang w:val="en-US" w:eastAsia="zh-CN" w:bidi="ar"/>
        </w:rPr>
        <w:drawing>
          <wp:inline distT="0" distB="0" distL="114300" distR="114300">
            <wp:extent cx="2881630" cy="2160270"/>
            <wp:effectExtent l="0" t="0" r="13970" b="3810"/>
            <wp:docPr id="255" name="图片 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2"/>
                    <pic:cNvPicPr>
                      <a:picLocks noChangeAspect="1"/>
                    </pic:cNvPicPr>
                  </pic:nvPicPr>
                  <pic:blipFill>
                    <a:blip r:embed="rId61"/>
                    <a:stretch>
                      <a:fillRect/>
                    </a:stretch>
                  </pic:blipFill>
                  <pic:spPr>
                    <a:xfrm>
                      <a:off x="0" y="0"/>
                      <a:ext cx="2881630" cy="2160270"/>
                    </a:xfrm>
                    <a:prstGeom prst="rect">
                      <a:avLst/>
                    </a:prstGeom>
                  </pic:spPr>
                </pic:pic>
              </a:graphicData>
            </a:graphic>
          </wp:inline>
        </w:drawing>
      </w:r>
    </w:p>
    <w:p w14:paraId="523F884D">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3-4</w:t>
      </w:r>
      <w:r>
        <w:rPr>
          <w:rFonts w:hint="eastAsia" w:ascii="楷体_GB2312" w:hAnsi="楷体_GB2312" w:eastAsia="楷体_GB2312" w:cs="楷体_GB2312"/>
          <w:sz w:val="24"/>
        </w:rPr>
        <w:fldChar w:fldCharType="end"/>
      </w:r>
      <w:bookmarkStart w:id="370" w:name="_Toc4324"/>
      <w:r>
        <w:rPr>
          <w:rFonts w:hint="eastAsia" w:ascii="楷体_GB2312" w:hAnsi="楷体_GB2312" w:eastAsia="楷体_GB2312" w:cs="楷体_GB2312"/>
          <w:sz w:val="24"/>
        </w:rPr>
        <w:t xml:space="preserve"> 名家经典作品临摹</w:t>
      </w:r>
      <w:bookmarkEnd w:id="370"/>
    </w:p>
    <w:p w14:paraId="1E185435">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371" w:name="_Toc21148"/>
      <w:bookmarkStart w:id="372" w:name="_Toc15072"/>
      <w:bookmarkStart w:id="373" w:name="_Toc30309"/>
      <w:bookmarkStart w:id="374" w:name="_Toc26229"/>
      <w:bookmarkStart w:id="375" w:name="_Toc23064"/>
      <w:bookmarkStart w:id="376" w:name="_Toc15526"/>
      <w:bookmarkStart w:id="377" w:name="_Toc14473"/>
      <w:bookmarkStart w:id="378" w:name="_Toc20979"/>
      <w:bookmarkStart w:id="379" w:name="_Toc24622"/>
      <w:bookmarkStart w:id="380" w:name="_Toc8062"/>
      <w:bookmarkStart w:id="381" w:name="_Toc24350"/>
      <w:bookmarkStart w:id="382" w:name="_Toc14392"/>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3-2</w:t>
      </w:r>
      <w:r>
        <w:rPr>
          <w:rFonts w:hint="eastAsia" w:ascii="楷体_GB2312" w:hAnsi="楷体_GB2312" w:eastAsia="楷体_GB2312" w:cs="楷体_GB2312"/>
          <w:sz w:val="30"/>
          <w:szCs w:val="30"/>
        </w:rPr>
        <w:t>：</w:t>
      </w:r>
      <w:bookmarkEnd w:id="371"/>
      <w:bookmarkEnd w:id="372"/>
      <w:bookmarkEnd w:id="373"/>
      <w:bookmarkEnd w:id="374"/>
      <w:bookmarkEnd w:id="375"/>
      <w:bookmarkEnd w:id="376"/>
      <w:bookmarkEnd w:id="377"/>
      <w:bookmarkEnd w:id="378"/>
      <w:bookmarkEnd w:id="379"/>
      <w:r>
        <w:rPr>
          <w:rFonts w:hint="eastAsia" w:ascii="楷体_GB2312" w:hAnsi="楷体_GB2312" w:eastAsia="楷体_GB2312" w:cs="楷体_GB2312"/>
          <w:sz w:val="30"/>
          <w:szCs w:val="30"/>
        </w:rPr>
        <w:t>国画传承，笔墨里的文化赋能</w:t>
      </w:r>
      <w:bookmarkEnd w:id="380"/>
      <w:bookmarkEnd w:id="381"/>
      <w:bookmarkEnd w:id="382"/>
    </w:p>
    <w:p w14:paraId="48C75C0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中国工笔画承载着千年文化底蕴与哲学思想，是中华优秀传统文化的重要载体。淄博理工学校始终立足中职美育与传统文化传承要求，以中国画工笔画“精谨细腻、形神兼备”的艺术特质为抓手，将技能训练与文化浸润、品格培养相结合，打造“艺术+德育”融合育人载体。</w:t>
      </w:r>
    </w:p>
    <w:p w14:paraId="53D2930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以美育育人与传统文化传承为核心，设计分层递进的教学内容，涵盖基础技法、文化认知与创意实践等维度。搭建课后延伸平台，丰富课程实践场景，为传统文化可持续传承提供灵活多元的课程支撑。</w:t>
      </w:r>
    </w:p>
    <w:p w14:paraId="760CD5B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采用“技法传授+文化浸润”融合教学模式，课堂中既注重工笔画勾线、渲染等核心技法的系统教学，又结合经典画作解读其背后的历史文脉与审美理念。通过临摹经典、名师示范、互动研讨等多元形式，打破传统教学局限，让学生在笔墨实践中感悟工笔画“精谨细腻、形神兼备”的艺术特质与文化精神。</w:t>
      </w:r>
    </w:p>
    <w:p w14:paraId="5A883D2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以校园文化活动为载体，举办元旦书画展、中国工笔画主题展览等活动，为学生提供展示学习成果的舞台；将中国工笔画项目纳入区职业教育活动展等平台，通过作品展示、现场创作等形式，呈现传统艺术与职业教育的融合成果。</w:t>
      </w:r>
    </w:p>
    <w:p w14:paraId="7BD9861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中国工笔画课程以传统绘画艺术为载体，创新美育实践。学生在笔墨研习中涵养审美、锤炼品格，文化自信与人文素养持续提升，为学校特色化发展与育人质量提升注入了深厚文化动能，对传承中华优秀传统文化起到了积极的推动作用。</w:t>
      </w:r>
    </w:p>
    <w:p w14:paraId="011E1FCE">
      <w:pPr>
        <w:jc w:val="center"/>
        <w:rPr>
          <w:rFonts w:ascii="宋体" w:hAnsi="宋体" w:cs="宋体"/>
          <w:sz w:val="24"/>
        </w:rPr>
      </w:pPr>
      <w:r>
        <w:rPr>
          <w:rFonts w:hint="eastAsia" w:ascii="仿宋_GB2312" w:hAnsi="仿宋_GB2312" w:eastAsia="仿宋_GB2312" w:cs="仿宋_GB2312"/>
          <w:sz w:val="28"/>
          <w:szCs w:val="28"/>
          <w:lang w:val="en-US" w:eastAsia="zh-CN"/>
        </w:rPr>
        <w:drawing>
          <wp:inline distT="0" distB="0" distL="114300" distR="114300">
            <wp:extent cx="2893060" cy="2160270"/>
            <wp:effectExtent l="0" t="0" r="2540" b="11430"/>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62"/>
                    <a:srcRect t="-433" r="11327" b="-374"/>
                    <a:stretch>
                      <a:fillRect/>
                    </a:stretch>
                  </pic:blipFill>
                  <pic:spPr>
                    <a:xfrm>
                      <a:off x="0" y="0"/>
                      <a:ext cx="2893060" cy="2160270"/>
                    </a:xfrm>
                    <a:prstGeom prst="rect">
                      <a:avLst/>
                    </a:prstGeom>
                  </pic:spPr>
                </pic:pic>
              </a:graphicData>
            </a:graphic>
          </wp:inline>
        </w:drawing>
      </w:r>
    </w:p>
    <w:p w14:paraId="118699BC">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3-5</w:t>
      </w:r>
      <w:r>
        <w:rPr>
          <w:rFonts w:hint="eastAsia" w:ascii="楷体_GB2312" w:hAnsi="楷体_GB2312" w:eastAsia="楷体_GB2312" w:cs="楷体_GB2312"/>
          <w:sz w:val="24"/>
        </w:rPr>
        <w:fldChar w:fldCharType="end"/>
      </w:r>
      <w:bookmarkStart w:id="383" w:name="_Toc73"/>
      <w:r>
        <w:rPr>
          <w:rFonts w:hint="eastAsia" w:ascii="楷体_GB2312" w:hAnsi="楷体_GB2312" w:eastAsia="楷体_GB2312" w:cs="楷体_GB2312"/>
          <w:sz w:val="24"/>
        </w:rPr>
        <w:t xml:space="preserve"> 学生</w:t>
      </w:r>
      <w:r>
        <w:rPr>
          <w:rFonts w:hint="eastAsia" w:ascii="楷体_GB2312" w:hAnsi="楷体_GB2312" w:eastAsia="楷体_GB2312" w:cs="楷体_GB2312"/>
          <w:sz w:val="24"/>
          <w:lang w:val="en-US" w:eastAsia="zh-CN"/>
        </w:rPr>
        <w:t>课堂创作</w:t>
      </w:r>
      <w:bookmarkEnd w:id="383"/>
    </w:p>
    <w:p w14:paraId="1A889A8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w:t>
      </w:r>
      <w:r>
        <w:rPr>
          <w:rFonts w:hint="eastAsia" w:ascii="楷体_GB2312" w:hAnsi="楷体_GB2312" w:eastAsia="楷体_GB2312" w:cs="楷体_GB2312"/>
          <w:color w:val="000000" w:themeColor="text1"/>
          <w:sz w:val="28"/>
          <w:szCs w:val="28"/>
          <w14:textFill>
            <w14:solidFill>
              <w14:schemeClr w14:val="tx1"/>
            </w14:solidFill>
          </w14:textFill>
        </w:rPr>
        <w:t>茶艺文化传承</w:t>
      </w:r>
    </w:p>
    <w:p w14:paraId="6B4466AB">
      <w:pPr>
        <w:pageBreakBefore w:val="0"/>
        <w:widowControl w:val="0"/>
        <w:kinsoku/>
        <w:wordWrap/>
        <w:overflowPunct/>
        <w:topLinePunct w:val="0"/>
        <w:autoSpaceDE/>
        <w:autoSpaceDN/>
        <w:bidi w:val="0"/>
        <w:adjustRightInd/>
        <w:snapToGrid/>
        <w:spacing w:line="560" w:lineRule="exact"/>
        <w:ind w:firstLine="560" w:firstLineChars="200"/>
        <w:textAlignment w:val="auto"/>
        <w:rPr>
          <w:rFonts w:eastAsia="楷体_GB2312"/>
        </w:rPr>
      </w:pPr>
      <w:r>
        <w:rPr>
          <w:rFonts w:hint="eastAsia" w:ascii="仿宋_GB2312" w:hAnsi="仿宋" w:eastAsia="仿宋_GB2312"/>
          <w:color w:val="000000" w:themeColor="text1"/>
          <w:sz w:val="28"/>
          <w:szCs w:val="28"/>
          <w14:textFill>
            <w14:solidFill>
              <w14:schemeClr w14:val="tx1"/>
            </w14:solidFill>
          </w14:textFill>
        </w:rPr>
        <w:t>茶艺是中华民族优秀传统文化的瑰宝，蕴含着深厚的礼仪规范与生活哲学，是中华茶文化的核心载体。为弘扬优秀传统文化，传承和发扬中华茶艺精髓，</w:t>
      </w: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14:textFill>
            <w14:solidFill>
              <w14:schemeClr w14:val="tx1"/>
            </w14:solidFill>
          </w14:textFill>
        </w:rPr>
        <w:t>学前教育系多年来在选修课程中开展茶艺教学尝试，以茶道为媒培育学生人文素养。茶艺课程凭借其独特的文化魅力与实用价值，深受学生青睐，学习参与热情持续高涨。日常教学中，教师细致讲解茶叶分类、水质选择、冲泡流程及礼仪规范，通过手把手示范与针对性指导，引导学生熟练掌握不同茶类的冲泡技巧，独立完成茶艺表演，展现出良好的实践能力与文化领悟力。学生在掌握基础冲泡技艺后，不仅在校园文化节、接待活动中展示茶艺风采，更在实习及社会实践中，将茶艺礼仪、茶文化知识融入日常工作与生活，传递传统生活美学，切实提高了礼仪修养、审美情趣与文化认同感。</w:t>
      </w:r>
    </w:p>
    <w:p w14:paraId="3D0F3105">
      <w:pPr>
        <w:jc w:val="center"/>
        <w:rPr>
          <w:rFonts w:hint="eastAsia" w:ascii="宋体" w:hAnsi="宋体" w:eastAsia="宋体" w:cs="宋体"/>
          <w:sz w:val="24"/>
          <w:lang w:eastAsia="zh-CN"/>
        </w:rPr>
      </w:pPr>
      <w:r>
        <w:rPr>
          <w:rFonts w:hint="eastAsia" w:ascii="仿宋_GB2312" w:hAnsi="仿宋_GB2312" w:eastAsia="仿宋_GB2312" w:cs="仿宋_GB2312"/>
          <w:sz w:val="28"/>
          <w:szCs w:val="28"/>
          <w:lang w:val="en-US" w:eastAsia="zh-CN"/>
        </w:rPr>
        <w:drawing>
          <wp:inline distT="0" distB="0" distL="114300" distR="114300">
            <wp:extent cx="2879725" cy="2160270"/>
            <wp:effectExtent l="0" t="0" r="635" b="3810"/>
            <wp:docPr id="267" name="图片 2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4"/>
                    <pic:cNvPicPr>
                      <a:picLocks noChangeAspect="1"/>
                    </pic:cNvPicPr>
                  </pic:nvPicPr>
                  <pic:blipFill>
                    <a:blip r:embed="rId63"/>
                    <a:stretch>
                      <a:fillRect/>
                    </a:stretch>
                  </pic:blipFill>
                  <pic:spPr>
                    <a:xfrm>
                      <a:off x="0" y="0"/>
                      <a:ext cx="2879725" cy="2160270"/>
                    </a:xfrm>
                    <a:prstGeom prst="rect">
                      <a:avLst/>
                    </a:prstGeom>
                  </pic:spPr>
                </pic:pic>
              </a:graphicData>
            </a:graphic>
          </wp:inline>
        </w:drawing>
      </w:r>
    </w:p>
    <w:p w14:paraId="3421A490">
      <w:pPr>
        <w:jc w:val="center"/>
        <w:rPr>
          <w:rFonts w:hint="eastAsia" w:ascii="仿宋_GB2312" w:hAnsi="宋体" w:eastAsia="仿宋_GB2312"/>
          <w:snapToGrid w:val="0"/>
          <w:kern w:val="0"/>
          <w:sz w:val="28"/>
          <w:szCs w:val="28"/>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3-6</w:t>
      </w:r>
      <w:r>
        <w:rPr>
          <w:rFonts w:hint="eastAsia" w:ascii="楷体_GB2312" w:hAnsi="楷体_GB2312" w:eastAsia="楷体_GB2312" w:cs="楷体_GB2312"/>
          <w:sz w:val="24"/>
        </w:rPr>
        <w:fldChar w:fldCharType="end"/>
      </w:r>
      <w:bookmarkStart w:id="384" w:name="_Toc5410"/>
      <w:r>
        <w:rPr>
          <w:rFonts w:hint="eastAsia" w:ascii="楷体_GB2312" w:hAnsi="楷体_GB2312" w:eastAsia="楷体_GB2312" w:cs="楷体_GB2312"/>
          <w:sz w:val="24"/>
        </w:rPr>
        <w:t xml:space="preserve"> 学生进行茶艺表演</w:t>
      </w:r>
      <w:bookmarkEnd w:id="384"/>
    </w:p>
    <w:p w14:paraId="1B42B423">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385" w:name="_Toc32240"/>
      <w:r>
        <w:rPr>
          <w:rFonts w:hint="eastAsia" w:ascii="黑体" w:hAnsi="黑体" w:eastAsia="黑体" w:cs="黑体"/>
          <w:b w:val="0"/>
          <w:bCs w:val="0"/>
          <w:sz w:val="30"/>
          <w:szCs w:val="30"/>
          <w:lang w:val="en-US" w:eastAsia="zh-CN"/>
        </w:rPr>
        <w:t>（四）学校特色文化</w:t>
      </w:r>
      <w:bookmarkEnd w:id="385"/>
    </w:p>
    <w:p w14:paraId="0C8BE3A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1.打造“职教文化”</w:t>
      </w:r>
    </w:p>
    <w:p w14:paraId="6A7E4CF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牢牢扎根于“职业”属性，突出“技术”色彩，彰显“技能”价值，通过有形与无形、显性与隐性的全方位塑造，营造一个让学生能自信、有尊严、怀梦想、强技能的成长生态，最终实现文化育人、环境育人、活动育人的综合效能，为培养高素质技术技能人才奠定坚实的文化基础。</w:t>
      </w:r>
    </w:p>
    <w:p w14:paraId="65A6643E">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val="en-US" w:eastAsia="zh-CN"/>
        </w:rPr>
      </w:pPr>
      <w:bookmarkStart w:id="386" w:name="_Toc23401"/>
      <w:bookmarkStart w:id="387" w:name="_Toc3013"/>
      <w:r>
        <w:rPr>
          <w:rFonts w:hint="eastAsia" w:ascii="楷体_GB2312" w:hAnsi="楷体_GB2312" w:eastAsia="楷体_GB2312" w:cs="楷体_GB2312"/>
          <w:sz w:val="30"/>
          <w:szCs w:val="30"/>
          <w:lang w:val="en-US" w:eastAsia="zh-CN"/>
        </w:rPr>
        <w:t>案例3-3：弘扬职业精神，打造有职业特色的校园文化</w:t>
      </w:r>
      <w:bookmarkEnd w:id="386"/>
      <w:bookmarkEnd w:id="387"/>
    </w:p>
    <w:p w14:paraId="6360FF3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s="Times New Roman"/>
          <w:kern w:val="2"/>
          <w:sz w:val="28"/>
          <w:szCs w:val="28"/>
          <w:lang w:val="en-US" w:eastAsia="zh-CN" w:bidi="ar-SA"/>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以“先做人，后做事”的育人理念为核心，设计了校园文化识别系统，提炼升华精神文化，融合体现优秀企业精神文化的元素和精髓，形成了自己独特的理念文化。学校“为创业做准备”的校训、“先做人、后做事”的育人理念、“合作、进取、诚信、创新”是的校风、“创新创业、永不满足”的学校精神、“知识改变命运、技能成就人生”的格言无不体现着职教文化特色。孔子圣像、墨子塑像、黄道婆塑像、黄炎培塑像、雷锋塑像，这些矗立的雕塑在诉说着中国职业教育的历史，呼唤着时代精神。在校内实训基地，学生在企业技术人员的指导下，按照企业的生产技术和工艺要求进行生产性实习，实现了实训车间工厂化。整洁的工作、实训场所，严谨、有序的实训秩序，让师生们保持着积极、昂扬的工作和学习状态。顶岗实习，学生完全按照企业正式员工进行管理，使学生在校就完成了由学校人到企业人的转变，实现了毕业与就业零过渡。</w:t>
      </w:r>
    </w:p>
    <w:p w14:paraId="163A79FD">
      <w:pPr>
        <w:jc w:val="center"/>
        <w:rPr>
          <w:rFonts w:ascii="宋体" w:hAnsi="宋体" w:cs="宋体"/>
          <w:sz w:val="24"/>
        </w:rPr>
      </w:pPr>
      <w:r>
        <w:rPr>
          <w:rFonts w:hint="eastAsia" w:ascii="仿宋_GB2312" w:eastAsia="仿宋_GB2312"/>
          <w:sz w:val="32"/>
          <w:szCs w:val="32"/>
        </w:rPr>
        <w:drawing>
          <wp:inline distT="0" distB="0" distL="114300" distR="114300">
            <wp:extent cx="3232785" cy="2160270"/>
            <wp:effectExtent l="0" t="0" r="13335" b="3810"/>
            <wp:docPr id="32" name="图片 3" descr="3励志石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descr="3励志石_副本"/>
                    <pic:cNvPicPr>
                      <a:picLocks noChangeAspect="1"/>
                    </pic:cNvPicPr>
                  </pic:nvPicPr>
                  <pic:blipFill>
                    <a:blip r:embed="rId64"/>
                    <a:stretch>
                      <a:fillRect/>
                    </a:stretch>
                  </pic:blipFill>
                  <pic:spPr>
                    <a:xfrm>
                      <a:off x="0" y="0"/>
                      <a:ext cx="3232785" cy="2160270"/>
                    </a:xfrm>
                    <a:prstGeom prst="rect">
                      <a:avLst/>
                    </a:prstGeom>
                    <a:noFill/>
                    <a:ln>
                      <a:noFill/>
                    </a:ln>
                  </pic:spPr>
                </pic:pic>
              </a:graphicData>
            </a:graphic>
          </wp:inline>
        </w:drawing>
      </w:r>
    </w:p>
    <w:p w14:paraId="7158D771">
      <w:pPr>
        <w:jc w:val="center"/>
        <w:rPr>
          <w:rFonts w:hint="eastAsia" w:ascii="仿宋_GB2312" w:hAnsi="仿宋" w:eastAsia="楷体_GB2312" w:cs="Times New Roman"/>
          <w:kern w:val="2"/>
          <w:sz w:val="28"/>
          <w:szCs w:val="28"/>
          <w:lang w:val="en-US" w:eastAsia="zh-CN" w:bidi="ar-SA"/>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3-7</w:t>
      </w:r>
      <w:r>
        <w:rPr>
          <w:rFonts w:hint="eastAsia" w:ascii="楷体_GB2312" w:hAnsi="楷体_GB2312" w:eastAsia="楷体_GB2312" w:cs="楷体_GB2312"/>
          <w:sz w:val="24"/>
        </w:rPr>
        <w:fldChar w:fldCharType="end"/>
      </w:r>
      <w:bookmarkStart w:id="388" w:name="_Toc23549"/>
      <w:r>
        <w:rPr>
          <w:rFonts w:hint="eastAsia" w:ascii="楷体_GB2312" w:hAnsi="楷体_GB2312" w:eastAsia="楷体_GB2312" w:cs="楷体_GB2312"/>
          <w:sz w:val="24"/>
        </w:rPr>
        <w:t xml:space="preserve"> 学校</w:t>
      </w:r>
      <w:r>
        <w:rPr>
          <w:rFonts w:hint="eastAsia" w:ascii="楷体_GB2312" w:hAnsi="楷体_GB2312" w:eastAsia="楷体_GB2312" w:cs="楷体_GB2312"/>
          <w:sz w:val="24"/>
          <w:lang w:val="en-US" w:eastAsia="zh-CN"/>
        </w:rPr>
        <w:t>育人理念</w:t>
      </w:r>
      <w:bookmarkEnd w:id="388"/>
    </w:p>
    <w:p w14:paraId="7420879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2.劳模精神、劳动精神、工匠精神的弘扬</w:t>
      </w:r>
    </w:p>
    <w:p w14:paraId="0863260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中职学校是培育未来技术技能人才的主阵地，将劳模精神、劳动精神、工匠精神深度融入校园文化宣传，对于学生树立正确的劳动观、职业观、价值观至关重要。淄博理工学校将劳模精神、劳动精神、工匠精神深度融入校园文化宣传，将抽象的“精神”转化为学生可感知、可参与、可模仿的具体人物、故事、场景和行动，实现从“宣传”到“内化”的转变。</w:t>
      </w:r>
    </w:p>
    <w:p w14:paraId="5308A080">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val="en-US" w:eastAsia="zh-CN"/>
        </w:rPr>
      </w:pPr>
      <w:bookmarkStart w:id="389" w:name="_Toc21946"/>
      <w:bookmarkStart w:id="390" w:name="_Toc3913"/>
      <w:r>
        <w:rPr>
          <w:rFonts w:hint="eastAsia" w:ascii="楷体_GB2312" w:hAnsi="楷体_GB2312" w:eastAsia="楷体_GB2312" w:cs="楷体_GB2312"/>
          <w:sz w:val="30"/>
          <w:szCs w:val="30"/>
          <w:lang w:val="en-US" w:eastAsia="zh-CN"/>
        </w:rPr>
        <w:t>案例3-4：弘扬劳模工匠精神，构建沉浸式育人生态</w:t>
      </w:r>
      <w:bookmarkEnd w:id="389"/>
      <w:bookmarkEnd w:id="390"/>
    </w:p>
    <w:p w14:paraId="3E5B61A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致力于构建“环境熏陶、榜样引领、实践养成”的立体化、沉浸式育人生态。学校文化墙、宣传栏以及实训车间中都张贴着国家功勋人物、大国工匠、行业领军人物、优秀校友的画像、事迹和名言，展示其精神风貌，突出其“执着专注、精益求精、一丝不苟、追求卓越”的细节故事，营造无处不在的匠心氛围；学校成立“技能大师工作室”，聘请行业大师驻校指导，定期邀请劳模、技术能手、优秀校友举办专题报告会，分享成长历程、攻坚故事和人生感悟，让学生近距离观察、请教，感受大师风范，树立可敬可学的身边榜样；将此“三种精神”与专业教学深度融合，将案例融入专业课程思政，在学生讲解技术原理、操作规范时受到这三种精神的熏陶，春风化雨，润物无声。</w:t>
      </w:r>
    </w:p>
    <w:p w14:paraId="2EEFB6F0">
      <w:pPr>
        <w:jc w:val="center"/>
        <w:rPr>
          <w:rFonts w:ascii="宋体" w:hAnsi="宋体" w:cs="宋体"/>
          <w:sz w:val="24"/>
        </w:rPr>
      </w:pPr>
      <w:r>
        <w:rPr>
          <w:rFonts w:hint="eastAsia" w:ascii="仿宋_GB2312" w:eastAsia="仿宋_GB2312"/>
          <w:sz w:val="32"/>
          <w:szCs w:val="32"/>
        </w:rPr>
        <w:drawing>
          <wp:inline distT="0" distB="0" distL="114300" distR="114300">
            <wp:extent cx="3314700" cy="2179320"/>
            <wp:effectExtent l="0" t="0" r="7620" b="0"/>
            <wp:docPr id="36" name="图片 4" descr="和谐校园人鸽共舞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descr="和谐校园人鸽共舞_副本"/>
                    <pic:cNvPicPr>
                      <a:picLocks noChangeAspect="1"/>
                    </pic:cNvPicPr>
                  </pic:nvPicPr>
                  <pic:blipFill>
                    <a:blip r:embed="rId65"/>
                    <a:stretch>
                      <a:fillRect/>
                    </a:stretch>
                  </pic:blipFill>
                  <pic:spPr>
                    <a:xfrm>
                      <a:off x="0" y="0"/>
                      <a:ext cx="3314700" cy="2179320"/>
                    </a:xfrm>
                    <a:prstGeom prst="rect">
                      <a:avLst/>
                    </a:prstGeom>
                    <a:noFill/>
                    <a:ln>
                      <a:noFill/>
                    </a:ln>
                  </pic:spPr>
                </pic:pic>
              </a:graphicData>
            </a:graphic>
          </wp:inline>
        </w:drawing>
      </w:r>
    </w:p>
    <w:p w14:paraId="6BC79BEE">
      <w:pPr>
        <w:jc w:val="center"/>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3-8</w:t>
      </w:r>
      <w:r>
        <w:rPr>
          <w:rFonts w:hint="eastAsia" w:ascii="楷体_GB2312" w:hAnsi="楷体_GB2312" w:eastAsia="楷体_GB2312" w:cs="楷体_GB2312"/>
          <w:sz w:val="24"/>
        </w:rPr>
        <w:fldChar w:fldCharType="end"/>
      </w:r>
      <w:bookmarkStart w:id="391" w:name="_Toc16655"/>
      <w:r>
        <w:rPr>
          <w:rFonts w:hint="eastAsia" w:ascii="楷体_GB2312" w:hAnsi="楷体_GB2312" w:eastAsia="楷体_GB2312" w:cs="楷体_GB2312"/>
          <w:sz w:val="24"/>
        </w:rPr>
        <w:t xml:space="preserve"> 近代职业教育创始人黄炎培塑像</w:t>
      </w:r>
      <w:bookmarkEnd w:id="391"/>
    </w:p>
    <w:p w14:paraId="74D70A3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3.塑造重视技能的价值观</w:t>
      </w:r>
    </w:p>
    <w:p w14:paraId="23B2799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将“重视技能”作为校园文化的核心进行宣传与建设，这是彰显职业教育类型特色、提振师生自信、服务产业发展的关键举措。学校将“技能”从一门课程、一项活动，提升为学校的精神内核、价值标准和品牌形象，让“技能宝贵、劳动光荣、创造伟大”成为全校师生的共同信念。</w:t>
      </w:r>
    </w:p>
    <w:p w14:paraId="65F19C91">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default" w:ascii="楷体_GB2312" w:hAnsi="楷体_GB2312" w:eastAsia="楷体_GB2312" w:cs="楷体_GB2312"/>
          <w:sz w:val="30"/>
          <w:szCs w:val="30"/>
          <w:lang w:val="en-US" w:eastAsia="zh-CN"/>
        </w:rPr>
      </w:pPr>
      <w:bookmarkStart w:id="392" w:name="_Toc1697"/>
      <w:bookmarkStart w:id="393" w:name="_Toc17962"/>
      <w:r>
        <w:rPr>
          <w:rFonts w:hint="eastAsia" w:ascii="楷体_GB2312" w:hAnsi="楷体_GB2312" w:eastAsia="楷体_GB2312" w:cs="楷体_GB2312"/>
          <w:sz w:val="30"/>
          <w:szCs w:val="30"/>
          <w:lang w:val="en-US" w:eastAsia="zh-CN"/>
        </w:rPr>
        <w:t>案例3-5：搭建“人人皆可出彩”的实践舞台</w:t>
      </w:r>
      <w:bookmarkEnd w:id="392"/>
      <w:bookmarkEnd w:id="393"/>
    </w:p>
    <w:p w14:paraId="5B9F6FF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弘扬劳动光荣、技能宝贵、人人皆可成才、人人尽展其才的时代精神，不断深化教学改革、促进学校专业建设，在全校掀起学技术、练技能的高潮。学校将“技能”从一门课程、一项活动，提升为学校的精神内核、价值标准和品牌形象，让“技能宝贵、劳动光荣、创造伟大”成为全校师生的共同信念。学校每年开展技能节活动，各专业均设赛项，实现校级技能大赛全覆盖；活动期间鼓励师生进行技能展演与“绝活”展示，面向家长、企业、社区开放；还有企业技能能手进校园、技术创新讲座等活动。通过技能节的宣传发动组织工作，营造勤奋学习、发奋成才的良好氛围。贯彻“人人出彩 技能强国”的活动主题，面向全体学生，人人参与，个个动手，认真对待，精心准备，争取优异成绩，促进校风学风建设。</w:t>
      </w:r>
    </w:p>
    <w:p w14:paraId="69D3F74C">
      <w:pPr>
        <w:jc w:val="cente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3385185" cy="2160270"/>
            <wp:effectExtent l="0" t="0" r="13335" b="3810"/>
            <wp:docPr id="6" name="图片 6" descr="7eda770b944cf367468bb352736b4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eda770b944cf367468bb352736b413f"/>
                    <pic:cNvPicPr>
                      <a:picLocks noChangeAspect="1"/>
                    </pic:cNvPicPr>
                  </pic:nvPicPr>
                  <pic:blipFill>
                    <a:blip r:embed="rId66"/>
                    <a:stretch>
                      <a:fillRect/>
                    </a:stretch>
                  </pic:blipFill>
                  <pic:spPr>
                    <a:xfrm>
                      <a:off x="0" y="0"/>
                      <a:ext cx="3385185" cy="2160270"/>
                    </a:xfrm>
                    <a:prstGeom prst="rect">
                      <a:avLst/>
                    </a:prstGeom>
                  </pic:spPr>
                </pic:pic>
              </a:graphicData>
            </a:graphic>
          </wp:inline>
        </w:drawing>
      </w:r>
    </w:p>
    <w:p w14:paraId="37EF5381">
      <w:pPr>
        <w:jc w:val="center"/>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3-9</w:t>
      </w:r>
      <w:r>
        <w:rPr>
          <w:rFonts w:hint="eastAsia" w:ascii="楷体_GB2312" w:hAnsi="楷体_GB2312" w:eastAsia="楷体_GB2312" w:cs="楷体_GB2312"/>
          <w:sz w:val="24"/>
        </w:rPr>
        <w:fldChar w:fldCharType="end"/>
      </w:r>
      <w:bookmarkStart w:id="394" w:name="_Toc1954"/>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现代生活陶艺比赛现场</w:t>
      </w:r>
      <w:bookmarkEnd w:id="394"/>
    </w:p>
    <w:bookmarkEnd w:id="336"/>
    <w:bookmarkEnd w:id="337"/>
    <w:p w14:paraId="1FAB09B6">
      <w:pPr>
        <w:pStyle w:val="2"/>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leftChars="0" w:firstLine="640" w:firstLineChars="200"/>
        <w:textAlignment w:val="auto"/>
        <w:rPr>
          <w:rFonts w:hint="eastAsia" w:ascii="黑体" w:hAnsi="黑体" w:eastAsia="黑体"/>
          <w:b w:val="0"/>
          <w:bCs/>
          <w:sz w:val="32"/>
          <w:szCs w:val="32"/>
        </w:rPr>
      </w:pPr>
      <w:bookmarkStart w:id="395" w:name="_Toc25159"/>
      <w:r>
        <w:rPr>
          <w:rFonts w:hint="eastAsia" w:ascii="黑体" w:hAnsi="黑体" w:eastAsia="黑体" w:cs="Times New Roman"/>
          <w:b w:val="0"/>
          <w:bCs/>
          <w:kern w:val="44"/>
          <w:sz w:val="32"/>
          <w:szCs w:val="32"/>
          <w:lang w:val="en-US" w:eastAsia="zh-CN" w:bidi="ar-SA"/>
        </w:rPr>
        <w:t>四、</w:t>
      </w:r>
      <w:r>
        <w:rPr>
          <w:rFonts w:hint="eastAsia" w:ascii="黑体" w:hAnsi="黑体" w:eastAsia="黑体"/>
          <w:b w:val="0"/>
          <w:bCs/>
          <w:sz w:val="32"/>
          <w:szCs w:val="32"/>
        </w:rPr>
        <w:t>国际合作质量</w:t>
      </w:r>
      <w:bookmarkEnd w:id="395"/>
    </w:p>
    <w:p w14:paraId="636B1EF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随着我国经济的快速发展和对外开放水平的不断提高，职业教育的国际化已成为推动我国教育现代化、培养具有国际视野和竞争力人才的重要途径。淄博理工学校积极响应国家号召，探索国际交流与合作，加快“职教出海”步伐，这是学校顺应全球化趋势、培养高素质技术技能人才的重要举措。</w:t>
      </w:r>
    </w:p>
    <w:p w14:paraId="6EEC81F9">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rPr>
      </w:pPr>
      <w:bookmarkStart w:id="396" w:name="_Toc29747"/>
      <w:r>
        <w:rPr>
          <w:rFonts w:hint="eastAsia" w:ascii="黑体" w:hAnsi="黑体" w:eastAsia="黑体" w:cs="黑体"/>
          <w:b w:val="0"/>
          <w:bCs w:val="0"/>
          <w:sz w:val="30"/>
          <w:szCs w:val="30"/>
          <w:lang w:val="en-US" w:eastAsia="zh-CN"/>
        </w:rPr>
        <w:t>（一）合作办学</w:t>
      </w:r>
      <w:bookmarkEnd w:id="396"/>
    </w:p>
    <w:p w14:paraId="4E482A5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1.国际交流协同育人</w:t>
      </w:r>
    </w:p>
    <w:p w14:paraId="00BCD23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淄博理工学校先后与山东莱茵科斯特智能科技有限公司、维捷布斯克国立工艺大学和泰国格乐大学签署国际交流合作协议。积极借鉴国际经验，探索具有学校特色的学徒制教学。</w:t>
      </w: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14:textFill>
            <w14:solidFill>
              <w14:schemeClr w14:val="tx1"/>
            </w14:solidFill>
          </w14:textFill>
        </w:rPr>
        <w:t>将德国数控技术应用专业的人才培养方案进行本土化实践，不断完善人才培养方案。开展中国特色学徒制的理论研究和实践应用，成立智能制造国际班，进行校企融合和项目引导式教学方法的实践，推动产学协同育人教育。</w:t>
      </w:r>
    </w:p>
    <w:p w14:paraId="01915612">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397" w:name="_Toc16389"/>
      <w:bookmarkStart w:id="398" w:name="_Toc27558925"/>
      <w:bookmarkStart w:id="399" w:name="_Toc9295"/>
      <w:r>
        <w:rPr>
          <w:rFonts w:hint="eastAsia" w:ascii="黑体" w:hAnsi="黑体" w:eastAsia="黑体" w:cs="黑体"/>
          <w:b w:val="0"/>
          <w:bCs w:val="0"/>
          <w:sz w:val="30"/>
          <w:szCs w:val="30"/>
          <w:lang w:val="en-US" w:eastAsia="zh-CN"/>
        </w:rPr>
        <w:t>（二）国际素养提升</w:t>
      </w:r>
      <w:bookmarkEnd w:id="397"/>
    </w:p>
    <w:p w14:paraId="7F7817C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1.树立国际化办学理念</w:t>
      </w:r>
    </w:p>
    <w:p w14:paraId="643D0FE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淄博理工学校。以国际化的眼光和开放的办学理念，积极了解国际人才市场的供求状况，合理配置教育资源，调整专业设置、人才培养目标等，构建国际化课程体系，在专业课程中引入国际标准。</w:t>
      </w:r>
    </w:p>
    <w:p w14:paraId="1541E6E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2.学校积极促进师资队伍国际化</w:t>
      </w:r>
    </w:p>
    <w:p w14:paraId="5B05B89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组织教师参加跨文化教学能力培训，选派骨干教师赴海外研修，拓展教师国际化视野。学校的王瑜芹、陈淦两名齐鲁名班主任建设工程（2022—2025）人选赴新加坡南洋理工大学交流学习，两位教师均已获得教育管理硕士学位。</w:t>
      </w:r>
    </w:p>
    <w:p w14:paraId="2EF92D6A">
      <w:pPr>
        <w:jc w:val="center"/>
      </w:pPr>
    </w:p>
    <w:p w14:paraId="4AE9942B">
      <w:pPr>
        <w:jc w:val="center"/>
        <w:rPr>
          <w:rFonts w:ascii="宋体" w:hAnsi="宋体" w:cs="宋体"/>
          <w:sz w:val="24"/>
        </w:rPr>
      </w:pPr>
      <w:r>
        <w:drawing>
          <wp:inline distT="0" distB="0" distL="114300" distR="114300">
            <wp:extent cx="3008630" cy="2221865"/>
            <wp:effectExtent l="0" t="0" r="0" b="0"/>
            <wp:docPr id="2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0"/>
                    <pic:cNvPicPr>
                      <a:picLocks noChangeAspect="1"/>
                    </pic:cNvPicPr>
                  </pic:nvPicPr>
                  <pic:blipFill>
                    <a:blip r:embed="rId67"/>
                    <a:srcRect r="50805" b="-923"/>
                    <a:stretch>
                      <a:fillRect/>
                    </a:stretch>
                  </pic:blipFill>
                  <pic:spPr>
                    <a:xfrm>
                      <a:off x="0" y="0"/>
                      <a:ext cx="3008630" cy="2221865"/>
                    </a:xfrm>
                    <a:prstGeom prst="rect">
                      <a:avLst/>
                    </a:prstGeom>
                    <a:noFill/>
                    <a:ln>
                      <a:noFill/>
                    </a:ln>
                  </pic:spPr>
                </pic:pic>
              </a:graphicData>
            </a:graphic>
          </wp:inline>
        </w:drawing>
      </w:r>
    </w:p>
    <w:p w14:paraId="621FFBF9">
      <w:pPr>
        <w:spacing w:line="400" w:lineRule="exact"/>
        <w:jc w:val="center"/>
        <w:rPr>
          <w:rFonts w:hint="eastAsia" w:ascii="楷体_GB2312" w:hAnsi="楷体_GB2312" w:eastAsia="楷体_GB2312" w:cs="楷体_GB2312"/>
          <w:sz w:val="24"/>
          <w:szCs w:val="24"/>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4-1</w:t>
      </w:r>
      <w:r>
        <w:rPr>
          <w:rFonts w:hint="eastAsia" w:ascii="楷体_GB2312" w:hAnsi="楷体_GB2312" w:eastAsia="楷体_GB2312" w:cs="楷体_GB2312"/>
          <w:sz w:val="24"/>
        </w:rPr>
        <w:fldChar w:fldCharType="end"/>
      </w:r>
      <w:bookmarkStart w:id="400" w:name="_Toc19923"/>
      <w:r>
        <w:rPr>
          <w:rFonts w:hint="eastAsia" w:ascii="楷体_GB2312" w:hAnsi="楷体_GB2312" w:eastAsia="楷体_GB2312" w:cs="楷体_GB2312"/>
          <w:sz w:val="24"/>
        </w:rPr>
        <w:t xml:space="preserve"> </w:t>
      </w:r>
      <w:r>
        <w:rPr>
          <w:rFonts w:hint="eastAsia" w:ascii="楷体_GB2312" w:hAnsi="楷体_GB2312" w:eastAsia="楷体_GB2312" w:cs="楷体_GB2312"/>
          <w:sz w:val="24"/>
          <w:szCs w:val="24"/>
          <w:lang w:val="en-US" w:eastAsia="zh-CN"/>
        </w:rPr>
        <w:t>王瑜芹老师南洋理工大学研究生毕业证书</w:t>
      </w:r>
      <w:bookmarkEnd w:id="400"/>
    </w:p>
    <w:p w14:paraId="1AA9A27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3.制度与保障机制</w:t>
      </w:r>
    </w:p>
    <w:p w14:paraId="6BBAFEC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学校为提升国际化素养建立制度与保障机制，制定国际化发展战略，将国际化纳入学校发展规划，对接国际职业教育质量标准，完善教学评估等制度。</w:t>
      </w:r>
    </w:p>
    <w:p w14:paraId="55BAF747">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401" w:name="_Toc18240"/>
      <w:r>
        <w:rPr>
          <w:rFonts w:hint="eastAsia" w:ascii="黑体" w:hAnsi="黑体" w:eastAsia="黑体" w:cs="黑体"/>
          <w:b w:val="0"/>
          <w:bCs w:val="0"/>
          <w:sz w:val="30"/>
          <w:szCs w:val="30"/>
          <w:lang w:val="en-US" w:eastAsia="zh-CN"/>
        </w:rPr>
        <w:t>（三）交流互鉴</w:t>
      </w:r>
      <w:bookmarkEnd w:id="401"/>
    </w:p>
    <w:p w14:paraId="3C24F2E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1.借鉴国际经验提升办学水平</w:t>
      </w:r>
    </w:p>
    <w:p w14:paraId="203A002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坚持“立足本土、开放合作、互学互鉴、提升内涵”的原则，以服务学生全面发展和技术技能人才培养为核心，通过有深度、有实效的国际交流，吸收国际先进职教经验，提升学校办学水平，拓展师生的全球视野。</w:t>
      </w:r>
    </w:p>
    <w:p w14:paraId="456C594F">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color w:val="000000" w:themeColor="text1"/>
          <w:lang w:eastAsia="zh-CN"/>
          <w14:textFill>
            <w14:solidFill>
              <w14:schemeClr w14:val="tx1"/>
            </w14:solidFill>
          </w14:textFill>
        </w:rPr>
      </w:pPr>
      <w:bookmarkStart w:id="402" w:name="_Toc25388"/>
      <w:bookmarkStart w:id="403" w:name="_Toc24605"/>
      <w:bookmarkStart w:id="404" w:name="_Toc21822"/>
      <w:r>
        <w:rPr>
          <w:rFonts w:hint="eastAsia" w:ascii="楷体_GB2312" w:hAnsi="楷体_GB2312" w:eastAsia="楷体_GB2312" w:cs="楷体_GB2312"/>
          <w:color w:val="000000" w:themeColor="text1"/>
          <w:sz w:val="30"/>
          <w:szCs w:val="30"/>
          <w14:textFill>
            <w14:solidFill>
              <w14:schemeClr w14:val="tx1"/>
            </w14:solidFill>
          </w14:textFill>
        </w:rPr>
        <w:t>案例</w:t>
      </w:r>
      <w:r>
        <w:rPr>
          <w:rFonts w:hint="eastAsia" w:ascii="楷体_GB2312" w:hAnsi="楷体_GB2312" w:eastAsia="楷体_GB2312" w:cs="楷体_GB2312"/>
          <w:color w:val="000000" w:themeColor="text1"/>
          <w:sz w:val="30"/>
          <w:szCs w:val="30"/>
          <w:lang w:val="en-US" w:eastAsia="zh-CN"/>
          <w14:textFill>
            <w14:solidFill>
              <w14:schemeClr w14:val="tx1"/>
            </w14:solidFill>
          </w14:textFill>
        </w:rPr>
        <w:t>4-1</w:t>
      </w:r>
      <w:r>
        <w:rPr>
          <w:rFonts w:hint="eastAsia" w:ascii="楷体_GB2312" w:hAnsi="楷体_GB2312" w:eastAsia="楷体_GB2312" w:cs="楷体_GB2312"/>
          <w:color w:val="000000" w:themeColor="text1"/>
          <w:sz w:val="30"/>
          <w:szCs w:val="30"/>
          <w14:textFill>
            <w14:solidFill>
              <w14:schemeClr w14:val="tx1"/>
            </w14:solidFill>
          </w14:textFill>
        </w:rPr>
        <w:t>：深化对外交流合作，构筑国际教育桥梁</w:t>
      </w:r>
      <w:bookmarkEnd w:id="402"/>
      <w:bookmarkEnd w:id="403"/>
      <w:bookmarkEnd w:id="404"/>
    </w:p>
    <w:p w14:paraId="03DCDAE3">
      <w:pPr>
        <w:pStyle w:val="12"/>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宋体" w:eastAsia="仿宋_GB2312"/>
          <w:snapToGrid w:val="0"/>
          <w:kern w:val="0"/>
          <w:sz w:val="28"/>
          <w:szCs w:val="28"/>
        </w:rPr>
      </w:pPr>
      <w:r>
        <w:rPr>
          <w:rFonts w:hint="eastAsia" w:ascii="仿宋_GB2312" w:hAnsi="宋体" w:eastAsia="仿宋_GB2312"/>
          <w:snapToGrid w:val="0"/>
          <w:kern w:val="0"/>
          <w:sz w:val="28"/>
          <w:szCs w:val="28"/>
        </w:rPr>
        <w:t>为促进学校国际交流与合作，提升国际化办学水平，</w:t>
      </w:r>
      <w:r>
        <w:rPr>
          <w:rFonts w:hint="eastAsia" w:ascii="仿宋_GB2312" w:hAnsi="宋体" w:eastAsia="仿宋_GB2312"/>
          <w:snapToGrid w:val="0"/>
          <w:kern w:val="0"/>
          <w:sz w:val="28"/>
          <w:szCs w:val="28"/>
          <w:lang w:val="en-US" w:eastAsia="zh-CN"/>
        </w:rPr>
        <w:t>淄博理工学校积极</w:t>
      </w:r>
      <w:r>
        <w:rPr>
          <w:rFonts w:hint="eastAsia" w:ascii="仿宋_GB2312" w:hAnsi="宋体" w:eastAsia="仿宋_GB2312"/>
          <w:snapToGrid w:val="0"/>
          <w:kern w:val="0"/>
          <w:sz w:val="28"/>
          <w:szCs w:val="28"/>
        </w:rPr>
        <w:t>参加“育见未来——中白教育合作公益讲座”</w:t>
      </w:r>
      <w:r>
        <w:rPr>
          <w:rFonts w:hint="eastAsia" w:ascii="仿宋_GB2312" w:hAnsi="宋体" w:eastAsia="仿宋_GB2312"/>
          <w:snapToGrid w:val="0"/>
          <w:kern w:val="0"/>
          <w:sz w:val="28"/>
          <w:szCs w:val="28"/>
          <w:lang w:val="en-US" w:eastAsia="zh-CN"/>
        </w:rPr>
        <w:t>等国际交流</w:t>
      </w:r>
      <w:r>
        <w:rPr>
          <w:rFonts w:hint="eastAsia" w:ascii="仿宋_GB2312" w:hAnsi="宋体" w:eastAsia="仿宋_GB2312"/>
          <w:snapToGrid w:val="0"/>
          <w:kern w:val="0"/>
          <w:sz w:val="28"/>
          <w:szCs w:val="28"/>
        </w:rPr>
        <w:t>活动</w:t>
      </w:r>
      <w:r>
        <w:rPr>
          <w:rFonts w:hint="eastAsia" w:ascii="仿宋_GB2312" w:hAnsi="宋体" w:eastAsia="仿宋_GB2312"/>
          <w:snapToGrid w:val="0"/>
          <w:kern w:val="0"/>
          <w:sz w:val="28"/>
          <w:szCs w:val="28"/>
          <w:lang w:eastAsia="zh-CN"/>
        </w:rPr>
        <w:t>，聆听国际合作交流专题报告，学习各职业院校的“职教出海”经验，与各国际院校进行交流互鉴。</w:t>
      </w:r>
      <w:r>
        <w:rPr>
          <w:rFonts w:hint="eastAsia" w:ascii="仿宋_GB2312" w:hAnsi="宋体" w:eastAsia="仿宋_GB2312"/>
          <w:snapToGrid w:val="0"/>
          <w:kern w:val="0"/>
          <w:sz w:val="28"/>
          <w:szCs w:val="28"/>
          <w:lang w:val="en-US" w:eastAsia="zh-CN"/>
        </w:rPr>
        <w:t>学校与</w:t>
      </w:r>
      <w:r>
        <w:rPr>
          <w:rFonts w:hint="eastAsia" w:ascii="仿宋_GB2312" w:hAnsi="宋体" w:eastAsia="仿宋_GB2312"/>
          <w:snapToGrid w:val="0"/>
          <w:kern w:val="0"/>
          <w:sz w:val="28"/>
          <w:szCs w:val="28"/>
        </w:rPr>
        <w:t>白俄罗斯维捷布斯克国立大学</w:t>
      </w:r>
      <w:r>
        <w:rPr>
          <w:rFonts w:hint="eastAsia" w:ascii="仿宋_GB2312" w:hAnsi="宋体" w:eastAsia="仿宋_GB2312"/>
          <w:snapToGrid w:val="0"/>
          <w:kern w:val="0"/>
          <w:sz w:val="28"/>
          <w:szCs w:val="28"/>
          <w:lang w:val="en-US" w:eastAsia="zh-CN"/>
        </w:rPr>
        <w:t>等进行</w:t>
      </w:r>
      <w:r>
        <w:rPr>
          <w:rFonts w:hint="eastAsia" w:ascii="仿宋_GB2312" w:hAnsi="宋体" w:eastAsia="仿宋_GB2312"/>
          <w:snapToGrid w:val="0"/>
          <w:kern w:val="0"/>
          <w:sz w:val="28"/>
          <w:szCs w:val="28"/>
        </w:rPr>
        <w:t>交流与合作。</w:t>
      </w:r>
      <w:r>
        <w:rPr>
          <w:rFonts w:hint="eastAsia" w:ascii="仿宋_GB2312" w:hAnsi="宋体" w:eastAsia="仿宋_GB2312"/>
          <w:snapToGrid w:val="0"/>
          <w:kern w:val="0"/>
          <w:sz w:val="28"/>
          <w:szCs w:val="28"/>
          <w:lang w:val="en-US" w:eastAsia="zh-CN"/>
        </w:rPr>
        <w:t>这一系列活动</w:t>
      </w:r>
      <w:r>
        <w:rPr>
          <w:rFonts w:hint="eastAsia" w:ascii="仿宋_GB2312" w:hAnsi="宋体" w:eastAsia="仿宋_GB2312"/>
          <w:snapToGrid w:val="0"/>
          <w:kern w:val="0"/>
          <w:sz w:val="28"/>
          <w:szCs w:val="28"/>
        </w:rPr>
        <w:t>为学校与</w:t>
      </w:r>
      <w:r>
        <w:rPr>
          <w:rFonts w:hint="eastAsia" w:ascii="仿宋_GB2312" w:hAnsi="宋体" w:eastAsia="仿宋_GB2312"/>
          <w:snapToGrid w:val="0"/>
          <w:kern w:val="0"/>
          <w:sz w:val="28"/>
          <w:szCs w:val="28"/>
          <w:lang w:val="en-US" w:eastAsia="zh-CN"/>
        </w:rPr>
        <w:t>国外</w:t>
      </w:r>
      <w:r>
        <w:rPr>
          <w:rFonts w:hint="eastAsia" w:ascii="仿宋_GB2312" w:hAnsi="宋体" w:eastAsia="仿宋_GB2312"/>
          <w:snapToGrid w:val="0"/>
          <w:kern w:val="0"/>
          <w:sz w:val="28"/>
          <w:szCs w:val="28"/>
        </w:rPr>
        <w:t>大学的合作搭建了桥梁。</w:t>
      </w:r>
      <w:r>
        <w:rPr>
          <w:rFonts w:hint="eastAsia" w:ascii="仿宋_GB2312" w:hAnsi="宋体" w:eastAsia="仿宋_GB2312"/>
          <w:snapToGrid w:val="0"/>
          <w:kern w:val="0"/>
          <w:sz w:val="28"/>
          <w:szCs w:val="28"/>
          <w:lang w:val="en-US" w:eastAsia="zh-CN"/>
        </w:rPr>
        <w:t>淄博理工</w:t>
      </w:r>
      <w:r>
        <w:rPr>
          <w:rFonts w:hint="eastAsia" w:ascii="仿宋_GB2312" w:hAnsi="宋体" w:eastAsia="仿宋_GB2312"/>
          <w:snapToGrid w:val="0"/>
          <w:kern w:val="0"/>
          <w:sz w:val="28"/>
          <w:szCs w:val="28"/>
          <w:lang w:eastAsia="zh-CN"/>
        </w:rPr>
        <w:t>学校</w:t>
      </w:r>
      <w:r>
        <w:rPr>
          <w:rFonts w:hint="eastAsia" w:ascii="仿宋_GB2312" w:hAnsi="宋体" w:eastAsia="仿宋_GB2312"/>
          <w:snapToGrid w:val="0"/>
          <w:kern w:val="0"/>
          <w:sz w:val="28"/>
          <w:szCs w:val="28"/>
        </w:rPr>
        <w:t>将以此为契机，进一步扩大合作视角，不断推动国际交流合作绽放新活力。</w:t>
      </w:r>
    </w:p>
    <w:p w14:paraId="1A556203">
      <w:pPr>
        <w:jc w:val="center"/>
        <w:rPr>
          <w:rFonts w:ascii="宋体" w:hAnsi="宋体" w:cs="宋体"/>
          <w:sz w:val="24"/>
        </w:rPr>
      </w:pPr>
      <w:r>
        <w:drawing>
          <wp:inline distT="0" distB="0" distL="114300" distR="114300">
            <wp:extent cx="3238500" cy="2160270"/>
            <wp:effectExtent l="0" t="0" r="7620" b="3810"/>
            <wp:docPr id="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
                    <pic:cNvPicPr>
                      <a:picLocks noChangeAspect="1"/>
                    </pic:cNvPicPr>
                  </pic:nvPicPr>
                  <pic:blipFill>
                    <a:blip r:embed="rId68"/>
                    <a:srcRect t="11346"/>
                    <a:stretch>
                      <a:fillRect/>
                    </a:stretch>
                  </pic:blipFill>
                  <pic:spPr>
                    <a:xfrm>
                      <a:off x="0" y="0"/>
                      <a:ext cx="3238500" cy="2160270"/>
                    </a:xfrm>
                    <a:prstGeom prst="rect">
                      <a:avLst/>
                    </a:prstGeom>
                    <a:noFill/>
                    <a:ln>
                      <a:noFill/>
                    </a:ln>
                  </pic:spPr>
                </pic:pic>
              </a:graphicData>
            </a:graphic>
          </wp:inline>
        </w:drawing>
      </w:r>
    </w:p>
    <w:p w14:paraId="788088FA">
      <w:pPr>
        <w:spacing w:line="400" w:lineRule="exact"/>
        <w:jc w:val="center"/>
        <w:rPr>
          <w:rFonts w:hint="default"/>
          <w:lang w:val="en-US"/>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4-2</w:t>
      </w:r>
      <w:r>
        <w:rPr>
          <w:rFonts w:hint="eastAsia" w:ascii="楷体_GB2312" w:hAnsi="楷体_GB2312" w:eastAsia="楷体_GB2312" w:cs="楷体_GB2312"/>
          <w:sz w:val="24"/>
        </w:rPr>
        <w:fldChar w:fldCharType="end"/>
      </w:r>
      <w:bookmarkStart w:id="405" w:name="_Toc1873"/>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中白教育交流</w:t>
      </w:r>
      <w:r>
        <w:rPr>
          <w:rFonts w:hint="eastAsia" w:ascii="楷体_GB2312" w:hAnsi="楷体_GB2312" w:eastAsia="楷体_GB2312" w:cs="楷体_GB2312"/>
          <w:sz w:val="24"/>
          <w:szCs w:val="24"/>
          <w:lang w:val="en-US" w:eastAsia="zh-CN"/>
        </w:rPr>
        <w:t>互鉴合影</w:t>
      </w:r>
      <w:bookmarkEnd w:id="405"/>
    </w:p>
    <w:bookmarkEnd w:id="398"/>
    <w:bookmarkEnd w:id="399"/>
    <w:p w14:paraId="2417A842">
      <w:pPr>
        <w:pStyle w:val="2"/>
        <w:pageBreakBefore w:val="0"/>
        <w:widowControl w:val="0"/>
        <w:kinsoku/>
        <w:wordWrap/>
        <w:overflowPunct/>
        <w:topLinePunct w:val="0"/>
        <w:autoSpaceDE/>
        <w:autoSpaceDN/>
        <w:bidi w:val="0"/>
        <w:adjustRightInd/>
        <w:snapToGrid/>
        <w:spacing w:before="0" w:after="0" w:line="560" w:lineRule="exact"/>
        <w:ind w:firstLine="640" w:firstLineChars="200"/>
        <w:textAlignment w:val="auto"/>
        <w:rPr>
          <w:rFonts w:hint="eastAsia" w:ascii="黑体" w:hAnsi="黑体" w:eastAsia="黑体"/>
          <w:b w:val="0"/>
          <w:bCs/>
          <w:sz w:val="32"/>
          <w:szCs w:val="32"/>
          <w:lang w:val="en-US" w:eastAsia="zh-CN"/>
        </w:rPr>
      </w:pPr>
      <w:bookmarkStart w:id="406" w:name="_Toc25983"/>
      <w:r>
        <w:rPr>
          <w:rFonts w:hint="eastAsia" w:ascii="黑体" w:hAnsi="黑体" w:eastAsia="黑体"/>
          <w:b w:val="0"/>
          <w:bCs/>
          <w:sz w:val="32"/>
          <w:szCs w:val="32"/>
          <w:lang w:val="en-US" w:eastAsia="zh-CN"/>
        </w:rPr>
        <w:t>五、产教融合</w:t>
      </w:r>
      <w:bookmarkEnd w:id="406"/>
    </w:p>
    <w:p w14:paraId="6319991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学校积极推进产教融合、校企合作，构建政府引导、学校主导、企业参与、行业协同的多元协同机制，以产业学院和实习实训基地建设为抓手，加强在人才培养、专业建设方面的合作，推动优势资源共享。</w:t>
      </w:r>
    </w:p>
    <w:p w14:paraId="683838F9">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eastAsia="zh-CN"/>
        </w:rPr>
      </w:pPr>
      <w:bookmarkStart w:id="407" w:name="_Toc23411"/>
      <w:r>
        <w:rPr>
          <w:rFonts w:hint="eastAsia" w:ascii="黑体" w:hAnsi="黑体" w:eastAsia="黑体" w:cs="黑体"/>
          <w:b w:val="0"/>
          <w:bCs w:val="0"/>
          <w:sz w:val="30"/>
          <w:szCs w:val="30"/>
          <w:lang w:val="en-US" w:eastAsia="zh-CN"/>
        </w:rPr>
        <w:t>（一）产教融合机制</w:t>
      </w:r>
      <w:bookmarkEnd w:id="407"/>
    </w:p>
    <w:p w14:paraId="4FCDDDE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产教融合机制是产业系统与教育系统为了共同的目标，通过制度安排、资源配置和过程管理，形成深度合作、优势互补、协同发展的有机体系。其核心是打破企业与学校之间、生产与教学之间的壁垒，实现“教育链、人才链与产业链、创新链”的有机衔接。</w:t>
      </w:r>
    </w:p>
    <w:p w14:paraId="6101B72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1.组织领导机制</w:t>
      </w:r>
    </w:p>
    <w:p w14:paraId="454210B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由政府牵头，学校主要领导、区域行业企业代表和教育部门负责人组成，成立产教融合理事会，定期召开联席会议，审定学校产教融合发展规划、专业设置调整和重大合作项目，确保人才培养方向与区域产业发展战略同频共振</w:t>
      </w:r>
      <w:r>
        <w:rPr>
          <w:rFonts w:hint="eastAsia" w:ascii="仿宋_GB2312" w:hAnsi="仿宋" w:eastAsia="仿宋_GB2312"/>
          <w:color w:val="000000" w:themeColor="text1"/>
          <w:sz w:val="28"/>
          <w:szCs w:val="28"/>
          <w14:textFill>
            <w14:solidFill>
              <w14:schemeClr w14:val="tx1"/>
            </w14:solidFill>
          </w14:textFill>
        </w:rPr>
        <w:t>。</w:t>
      </w:r>
    </w:p>
    <w:p w14:paraId="3028E854">
      <w:pPr>
        <w:jc w:val="center"/>
        <w:rPr>
          <w:rFonts w:ascii="宋体" w:hAnsi="宋体" w:cs="宋体"/>
          <w:sz w:val="24"/>
        </w:rPr>
      </w:pPr>
      <w:r>
        <w:rPr>
          <w:rFonts w:ascii="仿宋_GB2312" w:eastAsia="仿宋_GB2312"/>
          <w:snapToGrid/>
          <w:color w:val="auto"/>
          <w:sz w:val="28"/>
          <w:szCs w:val="28"/>
          <w:lang w:eastAsia="zh-CN"/>
        </w:rPr>
        <w:drawing>
          <wp:inline distT="0" distB="0" distL="0" distR="0">
            <wp:extent cx="3239770" cy="2159635"/>
            <wp:effectExtent l="0" t="0" r="6350" b="444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a:noFill/>
                    <a:ln>
                      <a:noFill/>
                    </a:ln>
                  </pic:spPr>
                </pic:pic>
              </a:graphicData>
            </a:graphic>
          </wp:inline>
        </w:drawing>
      </w:r>
    </w:p>
    <w:p w14:paraId="272F87C0">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5-1</w:t>
      </w:r>
      <w:r>
        <w:rPr>
          <w:rFonts w:hint="eastAsia" w:ascii="楷体_GB2312" w:hAnsi="楷体_GB2312" w:eastAsia="楷体_GB2312" w:cs="楷体_GB2312"/>
          <w:sz w:val="24"/>
        </w:rPr>
        <w:fldChar w:fldCharType="end"/>
      </w:r>
      <w:bookmarkStart w:id="408" w:name="_Toc28411"/>
      <w:r>
        <w:rPr>
          <w:rFonts w:hint="eastAsia" w:ascii="楷体_GB2312" w:hAnsi="楷体_GB2312" w:eastAsia="楷体_GB2312" w:cs="楷体_GB2312"/>
          <w:sz w:val="24"/>
        </w:rPr>
        <w:t xml:space="preserve"> 产教联合体理事会会场</w:t>
      </w:r>
      <w:bookmarkEnd w:id="408"/>
    </w:p>
    <w:p w14:paraId="781885E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2.多元协同机制</w:t>
      </w:r>
    </w:p>
    <w:p w14:paraId="7FBDA79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为实现职业教育高质量发展，学校积极构建政府引导、学校主导、企业参与、行业协同的多元协同机制，形成产教融合合力。</w:t>
      </w:r>
    </w:p>
    <w:p w14:paraId="51D3269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校企协同，与区域重点企业建立合作伙伴关系，共同开展人才培养、技术研发和社会服务。本学年，学校新增一汽解放青岛汽车有限公司、奇瑞汽车青岛分公司、莫凡高科电子科技有限公司等4家深度合作企业，并签订校企合作协议，合作内容覆盖订单培养、实习实训、技术攻关等多个领域。创新实施“一专一名企”合作模式，与区域内龙头企业建立实质性合作关系。</w:t>
      </w:r>
    </w:p>
    <w:p w14:paraId="043E05D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Times New Roman" w:eastAsia="仿宋_GB2312" w:cs="Times New Roman"/>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校行协同，与行业协会、商会等组织建立密切联系，有助于及时了解行业标准和人才需求。学校先后加入了市域产教联合体、行业产教融合共同体等13个区域性行业联盟，获取了最新行业动态和技术发展信息，为专业调整和课程更新提供了依据。</w:t>
      </w:r>
    </w:p>
    <w:p w14:paraId="33B6BCBF">
      <w:pPr>
        <w:jc w:val="center"/>
        <w:rPr>
          <w:rFonts w:hint="eastAsia" w:ascii="楷体_GB2312" w:hAnsi="楷体_GB2312" w:eastAsia="楷体_GB2312" w:cs="楷体_GB2312"/>
          <w:sz w:val="24"/>
        </w:rPr>
      </w:pPr>
    </w:p>
    <w:p w14:paraId="6E2B78C1">
      <w:pPr>
        <w:jc w:val="center"/>
        <w:rPr>
          <w:rFonts w:ascii="宋体" w:hAnsi="宋体" w:cs="宋体"/>
          <w:sz w:val="24"/>
        </w:rPr>
      </w:pPr>
      <w:r>
        <w:rPr>
          <w:rFonts w:ascii="楷体_GB2312" w:eastAsia="楷体_GB2312"/>
          <w:snapToGrid/>
          <w:color w:val="auto"/>
          <w:sz w:val="24"/>
          <w:szCs w:val="24"/>
          <w:lang w:eastAsia="zh-CN"/>
        </w:rPr>
        <w:drawing>
          <wp:inline distT="0" distB="0" distL="0" distR="0">
            <wp:extent cx="3095625" cy="2063750"/>
            <wp:effectExtent l="0" t="0" r="13335" b="889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96000" cy="2063999"/>
                    </a:xfrm>
                    <a:prstGeom prst="rect">
                      <a:avLst/>
                    </a:prstGeom>
                    <a:noFill/>
                    <a:ln>
                      <a:noFill/>
                    </a:ln>
                  </pic:spPr>
                </pic:pic>
              </a:graphicData>
            </a:graphic>
          </wp:inline>
        </w:drawing>
      </w:r>
    </w:p>
    <w:p w14:paraId="003D5F4C">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5-2</w:t>
      </w:r>
      <w:r>
        <w:rPr>
          <w:rFonts w:hint="eastAsia" w:ascii="楷体_GB2312" w:hAnsi="楷体_GB2312" w:eastAsia="楷体_GB2312" w:cs="楷体_GB2312"/>
          <w:sz w:val="24"/>
        </w:rPr>
        <w:fldChar w:fldCharType="end"/>
      </w:r>
      <w:bookmarkStart w:id="409" w:name="_Toc11921"/>
      <w:r>
        <w:rPr>
          <w:rFonts w:hint="eastAsia" w:ascii="楷体_GB2312" w:hAnsi="楷体_GB2312" w:eastAsia="楷体_GB2312" w:cs="楷体_GB2312"/>
          <w:sz w:val="24"/>
        </w:rPr>
        <w:t xml:space="preserve"> 山东先河悦新机电股份有限公司产学研一体化实践基地揭牌</w:t>
      </w:r>
      <w:bookmarkEnd w:id="409"/>
    </w:p>
    <w:p w14:paraId="6D51CEA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3.资源共享机制</w:t>
      </w:r>
    </w:p>
    <w:p w14:paraId="62E2E45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在产教联合体内，推动人才与资源共享、设备与场地共用、信息与数据互通。实现企业技术专家与学校教师的互聘互用，企业的生产设施与学校的实训场所相互开放，行业发展趋势、岗位需求、技术标准等信息高效流转，最终形成协同发展的良性循环，全面提升人才培养质量与产业竞争力。本年度，学校先后组织汽修系、机电分校学生赴山东宏路重工股份有限公司、山东先河悦新机电股份有限公司参观学习；同时，组织2023级200余名学生赴奇瑞汽车青岛分公司、山东海悦酒店集团、莫凡高科电子科技有限公司等合作企业进行实习。</w:t>
      </w:r>
    </w:p>
    <w:p w14:paraId="4BAE747E">
      <w:pPr>
        <w:jc w:val="center"/>
        <w:rPr>
          <w:rFonts w:ascii="宋体" w:hAnsi="宋体" w:cs="宋体"/>
          <w:sz w:val="24"/>
        </w:rPr>
      </w:pPr>
      <w:r>
        <w:rPr>
          <w:rFonts w:ascii="仿宋_GB2312" w:eastAsia="仿宋_GB2312"/>
          <w:snapToGrid/>
          <w:color w:val="auto"/>
          <w:sz w:val="28"/>
          <w:szCs w:val="28"/>
          <w:lang w:eastAsia="zh-CN"/>
        </w:rPr>
        <w:drawing>
          <wp:inline distT="0" distB="0" distL="0" distR="0">
            <wp:extent cx="3239770" cy="2159635"/>
            <wp:effectExtent l="0" t="0" r="6350" b="4445"/>
            <wp:docPr id="4" name="图片 4" descr="C:\Users\hh\Desktop\图片\汽修系学生赴山东宏路重工股份有限公司参观学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hh\Desktop\图片\汽修系学生赴山东宏路重工股份有限公司参观学习.jpg"/>
                    <pic:cNvPicPr preferRelativeResize="0">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240000" cy="2160000"/>
                    </a:xfrm>
                    <a:prstGeom prst="rect">
                      <a:avLst/>
                    </a:prstGeom>
                    <a:noFill/>
                    <a:ln>
                      <a:noFill/>
                    </a:ln>
                  </pic:spPr>
                </pic:pic>
              </a:graphicData>
            </a:graphic>
          </wp:inline>
        </w:drawing>
      </w:r>
    </w:p>
    <w:p w14:paraId="3FD62D77">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5-3</w:t>
      </w:r>
      <w:r>
        <w:rPr>
          <w:rFonts w:hint="eastAsia" w:ascii="楷体_GB2312" w:hAnsi="楷体_GB2312" w:eastAsia="楷体_GB2312" w:cs="楷体_GB2312"/>
          <w:sz w:val="24"/>
        </w:rPr>
        <w:fldChar w:fldCharType="end"/>
      </w:r>
      <w:bookmarkStart w:id="410" w:name="_Toc13527"/>
      <w:r>
        <w:rPr>
          <w:rFonts w:hint="eastAsia" w:ascii="楷体_GB2312" w:hAnsi="楷体_GB2312" w:eastAsia="楷体_GB2312" w:cs="楷体_GB2312"/>
          <w:sz w:val="24"/>
        </w:rPr>
        <w:t xml:space="preserve"> 汽修系学生赴山东宏路重工股份有限公司参观学习</w:t>
      </w:r>
      <w:bookmarkEnd w:id="410"/>
    </w:p>
    <w:p w14:paraId="72101CF4">
      <w:pPr>
        <w:jc w:val="center"/>
        <w:rPr>
          <w:rFonts w:hint="eastAsia" w:ascii="楷体_GB2312" w:hAnsi="楷体_GB2312" w:eastAsia="楷体_GB2312" w:cs="楷体_GB2312"/>
          <w:sz w:val="24"/>
        </w:rPr>
      </w:pPr>
    </w:p>
    <w:p w14:paraId="30DB4E3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4.过程管理机制</w:t>
      </w:r>
    </w:p>
    <w:p w14:paraId="49DD00D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为确保合作企业深度参与人才培养的全过程，淄博理工学校每年都邀请合作企业的技术骨干、人力资源专家参与各专业人才培养方案的修订与论证工作，紧密结合区域产业发展趋势和岗位能力新要求，坚持以服务为宗旨，以就业为导向，以能力为本位，确保将行业的新技术、新工艺、新规范及时纳入课程标准和教学内容，实现了专业链与产业链、课程内容与职业标准、教学过程与生产过程的紧密对接。</w:t>
      </w:r>
    </w:p>
    <w:p w14:paraId="649E3DA2">
      <w:pPr>
        <w:jc w:val="center"/>
        <w:rPr>
          <w:rFonts w:ascii="宋体" w:hAnsi="宋体" w:cs="宋体"/>
          <w:sz w:val="24"/>
        </w:rPr>
      </w:pPr>
      <w:r>
        <w:rPr>
          <w:rFonts w:ascii="楷体_GB2312" w:eastAsia="楷体_GB2312"/>
          <w:snapToGrid/>
          <w:color w:val="auto"/>
          <w:sz w:val="24"/>
          <w:szCs w:val="24"/>
          <w:lang w:eastAsia="zh-CN"/>
        </w:rPr>
        <w:drawing>
          <wp:inline distT="0" distB="0" distL="0" distR="0">
            <wp:extent cx="2879725" cy="2159635"/>
            <wp:effectExtent l="0" t="0" r="635" b="4445"/>
            <wp:docPr id="285" name="图片 285" descr="F:\招就办\报道\2025.08 23级学生实习誓师大会\微信图片_2025082611420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F:\招就办\报道\2025.08 23级学生实习誓师大会\微信图片_20250826114206_11.jpg"/>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880000" cy="2160000"/>
                    </a:xfrm>
                    <a:prstGeom prst="rect">
                      <a:avLst/>
                    </a:prstGeom>
                    <a:noFill/>
                    <a:ln>
                      <a:noFill/>
                    </a:ln>
                  </pic:spPr>
                </pic:pic>
              </a:graphicData>
            </a:graphic>
          </wp:inline>
        </w:drawing>
      </w:r>
    </w:p>
    <w:p w14:paraId="3CFBB7F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5-4</w:t>
      </w:r>
      <w:r>
        <w:rPr>
          <w:rFonts w:hint="eastAsia" w:ascii="楷体_GB2312" w:hAnsi="楷体_GB2312" w:eastAsia="楷体_GB2312" w:cs="楷体_GB2312"/>
          <w:sz w:val="24"/>
        </w:rPr>
        <w:fldChar w:fldCharType="end"/>
      </w:r>
      <w:bookmarkStart w:id="411" w:name="_Toc13782"/>
      <w:r>
        <w:rPr>
          <w:rFonts w:hint="eastAsia" w:ascii="楷体_GB2312" w:hAnsi="楷体_GB2312" w:eastAsia="楷体_GB2312" w:cs="楷体_GB2312"/>
          <w:sz w:val="24"/>
        </w:rPr>
        <w:t xml:space="preserve"> 2023级实习学生誓师大会</w:t>
      </w:r>
      <w:bookmarkEnd w:id="411"/>
    </w:p>
    <w:p w14:paraId="0DBDE8B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5.保障与评价机制</w:t>
      </w:r>
    </w:p>
    <w:p w14:paraId="2B42C91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国家出台了《职业教育法》等法律法规，从顶层设计上保障产教融合的地位。学校建立多元化、过程性、可量化的产教融合考核评价体系，确保各项工作有效落实。从人才培养质量、技术服务成效、资源共建水平等方面对合作项目进行评估，并将评估结果作为后续合作的重要依据。对教师参与度进行评价，明确教师在课程开发、企业实践和学生实习指导等方面的岗位职责。建立毕业生职业发展数据库，跟踪分析学生就业质量、职业适应性和企业满意度，通过用人单位问卷调查、毕业生访谈等方式，收集对学校人才培养的评价和建议，形成闭环反馈机制。</w:t>
      </w:r>
    </w:p>
    <w:p w14:paraId="6322A71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产教融合机制是一项复杂的系统工程，做好产教联合既能提升产业竞争力，又能解决就业的结构性矛盾。建立一个政府主导、行业指导、企业主体、学校主力的协同育人生态系统，让教育真正成为支撑产业发展的活力源泉。</w:t>
      </w:r>
    </w:p>
    <w:p w14:paraId="53919D38">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eastAsia="zh-CN"/>
        </w:rPr>
      </w:pPr>
      <w:bookmarkStart w:id="412" w:name="_Toc17725"/>
      <w:r>
        <w:rPr>
          <w:rFonts w:hint="eastAsia" w:ascii="黑体" w:hAnsi="黑体" w:eastAsia="黑体" w:cs="黑体"/>
          <w:b w:val="0"/>
          <w:bCs w:val="0"/>
          <w:sz w:val="30"/>
          <w:szCs w:val="30"/>
          <w:lang w:val="en-US" w:eastAsia="zh-CN"/>
        </w:rPr>
        <w:t>（二）校企双元育人</w:t>
      </w:r>
      <w:bookmarkEnd w:id="412"/>
    </w:p>
    <w:p w14:paraId="32A688E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深入贯彻落实《国家职业教育改革实施方案》精神，将“校企双元育人”作为人才培养的核心，深化产教融合、校企合作，致力于构建学校与企业协同规划、协同育人、协同发展的命运共同体。积极探索多种形式的校企协同育人模式，将产业需求融入人才培养全过程，切实提高技术技能人才培养的针对性和适应性，实现人才培养与产业需求的精准对接。</w:t>
      </w:r>
    </w:p>
    <w:p w14:paraId="5A709FB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w:t>
      </w:r>
      <w:r>
        <w:rPr>
          <w:rFonts w:hint="eastAsia" w:ascii="楷体_GB2312" w:hAnsi="楷体_GB2312" w:eastAsia="楷体_GB2312" w:cs="楷体_GB2312"/>
          <w:color w:val="000000" w:themeColor="text1"/>
          <w:sz w:val="28"/>
          <w:szCs w:val="28"/>
          <w:lang w:eastAsia="zh-CN"/>
          <w14:textFill>
            <w14:solidFill>
              <w14:schemeClr w14:val="tx1"/>
            </w14:solidFill>
          </w14:textFill>
        </w:rPr>
        <w:t>现代学徒制</w:t>
      </w:r>
    </w:p>
    <w:p w14:paraId="23E41C4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w:t>
      </w:r>
      <w:r>
        <w:rPr>
          <w:rFonts w:hint="eastAsia" w:ascii="仿宋_GB2312" w:hAnsi="仿宋" w:eastAsia="仿宋_GB2312"/>
          <w:color w:val="000000" w:themeColor="text1"/>
          <w:sz w:val="28"/>
          <w:szCs w:val="28"/>
          <w:lang w:eastAsia="zh-CN"/>
          <w14:textFill>
            <w14:solidFill>
              <w14:schemeClr w14:val="tx1"/>
            </w14:solidFill>
          </w14:textFill>
        </w:rPr>
        <w:t>校在服装设计与工艺、纺织技术与工艺、工艺美术等专业开展现代学徒制试点，实行“招生即招工、入校即入厂”的培养模式。学校与合作企业共同制定培养方案、共同组织教学实训、共同开展考核评价，学生兼具学生和学徒的双重身份，在学校和企业两个场所交替学习。继鲁泰纺织股份有限公司之后，学校又与淄博永强文化艺术有限公司、淄博李秋峰陶瓷艺术有限公司合作，启动了现代学徒制试点项。</w:t>
      </w:r>
    </w:p>
    <w:p w14:paraId="50681627">
      <w:pPr>
        <w:jc w:val="center"/>
        <w:rPr>
          <w:rFonts w:ascii="宋体" w:hAnsi="宋体" w:cs="宋体"/>
          <w:sz w:val="24"/>
        </w:rPr>
      </w:pPr>
      <w:r>
        <w:rPr>
          <w:rFonts w:hint="eastAsia" w:ascii="仿宋_GB2312" w:hAnsi="仿宋" w:eastAsia="仿宋_GB2312" w:cs="仿宋"/>
          <w:snapToGrid/>
          <w:spacing w:val="3"/>
          <w:sz w:val="28"/>
          <w:szCs w:val="28"/>
          <w:lang w:eastAsia="zh-CN"/>
        </w:rPr>
        <w:drawing>
          <wp:inline distT="0" distB="0" distL="0" distR="0">
            <wp:extent cx="3246755" cy="2159635"/>
            <wp:effectExtent l="0" t="0" r="14605" b="444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preferRelativeResize="0">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1540FEA6">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5-5</w:t>
      </w:r>
      <w:r>
        <w:rPr>
          <w:rFonts w:hint="eastAsia" w:ascii="楷体_GB2312" w:hAnsi="楷体_GB2312" w:eastAsia="楷体_GB2312" w:cs="楷体_GB2312"/>
          <w:sz w:val="24"/>
        </w:rPr>
        <w:fldChar w:fldCharType="end"/>
      </w:r>
      <w:bookmarkStart w:id="413" w:name="_Toc28192"/>
      <w:r>
        <w:rPr>
          <w:rFonts w:hint="eastAsia" w:ascii="楷体_GB2312" w:hAnsi="楷体_GB2312" w:eastAsia="楷体_GB2312" w:cs="楷体_GB2312"/>
          <w:sz w:val="24"/>
        </w:rPr>
        <w:t xml:space="preserve"> 刘永强大师收徒仪式</w:t>
      </w:r>
      <w:bookmarkEnd w:id="413"/>
    </w:p>
    <w:p w14:paraId="610B75A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2订单式培养</w:t>
      </w:r>
    </w:p>
    <w:p w14:paraId="63D0A4A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与区域重点企业鲁泰纺织股份有限公司合作，开设订单式培养，按照企业岗位要求定制培养计划。在培养过程中，校企双方坚持“共建共享”，实训基地与企业车间一体化，共同投资860万元建立了实习实训楼。坚持“共育共培”，实现职业教育与职工培训一体化。按照“企业需要什么人才，就培养什么人才”的理念，共商人才培养方案，将企业岗位从业标准融入到专业课程中，校企共编校本教材，课程内容根据企业岗位需求变化动态调整，实现了课程内容与企业岗位标准的实时对接。坚持“共研共进”，实现教育科研与企业研发一体化，将教学研究与产品研发相结合，依托鲁泰科技研发中心，建立了纺织科研中心和服装设计中心，参与企业技术创新和产品设计。坚持“产学融合”实现顶岗实习与企业生产一体化，服装、纺织专业的学生从第三学年开始到鲁泰纺织股份有限公司顶岗实习，进行就业“实战演练”，让学生毕业</w:t>
      </w:r>
      <w:r>
        <w:rPr>
          <w:rFonts w:hint="eastAsia" w:ascii="仿宋_GB2312" w:hAnsi="仿宋" w:eastAsia="仿宋_GB2312"/>
          <w:color w:val="000000" w:themeColor="text1"/>
          <w:sz w:val="28"/>
          <w:szCs w:val="28"/>
          <w:lang w:val="en-US" w:eastAsia="zh-CN"/>
          <w14:textFill>
            <w14:solidFill>
              <w14:schemeClr w14:val="tx1"/>
            </w14:solidFill>
          </w14:textFill>
        </w:rPr>
        <w:t>即</w:t>
      </w:r>
      <w:r>
        <w:rPr>
          <w:rFonts w:hint="eastAsia" w:ascii="仿宋_GB2312" w:hAnsi="仿宋" w:eastAsia="仿宋_GB2312"/>
          <w:color w:val="000000" w:themeColor="text1"/>
          <w:sz w:val="28"/>
          <w:szCs w:val="28"/>
          <w:lang w:eastAsia="zh-CN"/>
          <w14:textFill>
            <w14:solidFill>
              <w14:schemeClr w14:val="tx1"/>
            </w14:solidFill>
          </w14:textFill>
        </w:rPr>
        <w:t>顶岗。</w:t>
      </w:r>
    </w:p>
    <w:p w14:paraId="1056752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3.共建产业学院</w:t>
      </w:r>
    </w:p>
    <w:p w14:paraId="4B4E5B3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学校与淄博普来瑞电器有限公司共建混合所有制汽车产业学院；与淄博泰山瓷业有限公司、淄博汉青陶瓷有限公司等多家企业，联合共建淄博市现代产业学院——1954 陶瓷学院，协同行业、产业建立较为完善的资源共享、协同育人机制，打造育人新平台。学校通过产业学院充分整合校企优质资源，互联互通教学与科研信息，共研共创增强办学活力与企业竞争力，校企合作同向同行实现最大增值。汽修系继续加深与淄博普来瑞电器有限公司合作，共同建设普来瑞汽车产业学院，学校党委副书记、校长王明胜，党委委员张博群，汽修系党支部书记孙磊一行赴淄博普来瑞电器有限公司进行调研。</w:t>
      </w:r>
    </w:p>
    <w:p w14:paraId="611412BF">
      <w:pPr>
        <w:jc w:val="center"/>
        <w:rPr>
          <w:rFonts w:ascii="宋体" w:hAnsi="宋体" w:cs="宋体"/>
          <w:sz w:val="24"/>
        </w:rPr>
      </w:pPr>
      <w:r>
        <w:rPr>
          <w:rFonts w:hint="eastAsia" w:ascii="仿宋_GB2312" w:hAnsi="仿宋" w:eastAsia="仿宋_GB2312" w:cs="仿宋"/>
          <w:snapToGrid/>
          <w:spacing w:val="3"/>
          <w:sz w:val="28"/>
          <w:szCs w:val="28"/>
          <w:lang w:eastAsia="zh-CN"/>
        </w:rPr>
        <w:drawing>
          <wp:inline distT="0" distB="0" distL="0" distR="0">
            <wp:extent cx="3239770" cy="2159635"/>
            <wp:effectExtent l="0" t="0" r="6350" b="444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preferRelativeResize="0">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p w14:paraId="51F97F8B">
      <w:pPr>
        <w:spacing w:line="400" w:lineRule="exact"/>
        <w:jc w:val="center"/>
        <w:rPr>
          <w:rFonts w:hint="eastAsia" w:ascii="楷体_GB2312" w:eastAsia="楷体_GB2312"/>
          <w:color w:val="auto"/>
          <w:sz w:val="24"/>
          <w:szCs w:val="24"/>
          <w:lang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5-6</w:t>
      </w:r>
      <w:r>
        <w:rPr>
          <w:rFonts w:hint="eastAsia" w:ascii="楷体_GB2312" w:hAnsi="楷体_GB2312" w:eastAsia="楷体_GB2312" w:cs="楷体_GB2312"/>
          <w:sz w:val="24"/>
        </w:rPr>
        <w:fldChar w:fldCharType="end"/>
      </w:r>
      <w:bookmarkStart w:id="414" w:name="_Toc18759"/>
      <w:r>
        <w:rPr>
          <w:rFonts w:hint="eastAsia" w:ascii="楷体_GB2312" w:hAnsi="楷体_GB2312" w:eastAsia="楷体_GB2312" w:cs="楷体_GB2312"/>
          <w:sz w:val="24"/>
        </w:rPr>
        <w:t xml:space="preserve"> </w:t>
      </w:r>
      <w:r>
        <w:rPr>
          <w:rFonts w:hint="eastAsia" w:ascii="楷体_GB2312" w:eastAsia="楷体_GB2312"/>
          <w:color w:val="auto"/>
          <w:sz w:val="24"/>
          <w:szCs w:val="24"/>
          <w:lang w:eastAsia="zh-CN"/>
        </w:rPr>
        <w:t>学校领导赴普莱瑞电器有限公司调研</w:t>
      </w:r>
      <w:bookmarkEnd w:id="414"/>
    </w:p>
    <w:p w14:paraId="4228738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4.中高企一体化培养</w:t>
      </w:r>
    </w:p>
    <w:p w14:paraId="7CA6D2D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积极探索中职、高职、企业联动的人才培养模式，打通技术技能人才成长通道，先后与山东轻工职业学院、淄博师范高等专科学校、山东工业职业学院等多家高职院校合作，实施了初中后五年制高职教育培养。目前开设数控技术、动漫制作技术、新能源汽车检测与维修技术等9个专业，530余名学生在校就读。该模式通过一体化设计人才培养方案，避免了中高职课程重复，增强了人才培养的系统性和连贯性。</w:t>
      </w:r>
    </w:p>
    <w:p w14:paraId="0F292C1D">
      <w:pPr>
        <w:jc w:val="center"/>
        <w:rPr>
          <w:rFonts w:ascii="宋体" w:hAnsi="宋体" w:cs="宋体"/>
          <w:sz w:val="24"/>
        </w:rPr>
      </w:pPr>
      <w:r>
        <w:rPr>
          <w:rFonts w:hint="eastAsia" w:ascii="仿宋_GB2312" w:hAnsi="仿宋" w:eastAsia="仿宋_GB2312" w:cs="仿宋"/>
          <w:snapToGrid/>
          <w:spacing w:val="3"/>
          <w:sz w:val="28"/>
          <w:szCs w:val="28"/>
          <w:lang w:eastAsia="zh-CN"/>
        </w:rPr>
        <w:drawing>
          <wp:inline distT="0" distB="0" distL="0" distR="0">
            <wp:extent cx="3239770" cy="2159635"/>
            <wp:effectExtent l="0" t="0" r="6350" b="444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preferRelativeResize="0">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p w14:paraId="53CE1CF3">
      <w:pPr>
        <w:spacing w:line="400" w:lineRule="exact"/>
        <w:jc w:val="center"/>
        <w:rPr>
          <w:rFonts w:hint="eastAsia" w:ascii="楷体_GB2312" w:eastAsia="楷体_GB2312"/>
          <w:color w:val="auto"/>
          <w:sz w:val="24"/>
          <w:szCs w:val="24"/>
          <w:lang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5-7</w:t>
      </w:r>
      <w:r>
        <w:rPr>
          <w:rFonts w:hint="eastAsia" w:ascii="楷体_GB2312" w:hAnsi="楷体_GB2312" w:eastAsia="楷体_GB2312" w:cs="楷体_GB2312"/>
          <w:sz w:val="24"/>
        </w:rPr>
        <w:fldChar w:fldCharType="end"/>
      </w:r>
      <w:bookmarkStart w:id="415" w:name="_Toc19678"/>
      <w:r>
        <w:rPr>
          <w:rFonts w:hint="eastAsia" w:ascii="楷体_GB2312" w:hAnsi="楷体_GB2312" w:eastAsia="楷体_GB2312" w:cs="楷体_GB2312"/>
          <w:sz w:val="24"/>
        </w:rPr>
        <w:t xml:space="preserve"> 与山东工业职业学院座谈</w:t>
      </w:r>
      <w:bookmarkEnd w:id="415"/>
    </w:p>
    <w:p w14:paraId="40A32D5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学校</w:t>
      </w:r>
      <w:r>
        <w:rPr>
          <w:rFonts w:hint="eastAsia" w:ascii="仿宋_GB2312" w:hAnsi="仿宋" w:eastAsia="仿宋_GB2312"/>
          <w:color w:val="000000" w:themeColor="text1"/>
          <w:sz w:val="28"/>
          <w:szCs w:val="28"/>
          <w:lang w:val="en-US" w:eastAsia="zh-CN"/>
          <w14:textFill>
            <w14:solidFill>
              <w14:schemeClr w14:val="tx1"/>
            </w14:solidFill>
          </w14:textFill>
        </w:rPr>
        <w:t>承诺</w:t>
      </w:r>
      <w:r>
        <w:rPr>
          <w:rFonts w:hint="eastAsia" w:ascii="仿宋_GB2312" w:hAnsi="仿宋" w:eastAsia="仿宋_GB2312"/>
          <w:color w:val="000000" w:themeColor="text1"/>
          <w:sz w:val="28"/>
          <w:szCs w:val="28"/>
          <w:lang w:eastAsia="zh-CN"/>
          <w14:textFill>
            <w14:solidFill>
              <w14:schemeClr w14:val="tx1"/>
            </w14:solidFill>
          </w14:textFill>
        </w:rPr>
        <w:t>将进一步完善产教融合机制，积极探索职业教育办学的有效模式，广泛开展校企合作、校际合作和企企合作，深化产教融合，集聚优势资源，促进联合体成员单位密切交流，提升办学综合实力，打造“共建、共享、共赢、共长”合作发展平台，助力成员企业经济发展，提升职业教育的社会影响力和吸引力，为区域经济高质量发展作出新贡献。</w:t>
      </w:r>
    </w:p>
    <w:p w14:paraId="6FFC2391">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eastAsia="zh-CN"/>
        </w:rPr>
      </w:pPr>
      <w:bookmarkStart w:id="416" w:name="_Toc7579"/>
      <w:r>
        <w:rPr>
          <w:rFonts w:hint="eastAsia" w:ascii="黑体" w:hAnsi="黑体" w:eastAsia="黑体" w:cs="黑体"/>
          <w:b w:val="0"/>
          <w:bCs w:val="0"/>
          <w:sz w:val="30"/>
          <w:szCs w:val="30"/>
          <w:lang w:val="en-US" w:eastAsia="zh-CN"/>
        </w:rPr>
        <w:t>（三）</w:t>
      </w:r>
      <w:r>
        <w:rPr>
          <w:rFonts w:hint="eastAsia" w:ascii="黑体" w:hAnsi="黑体" w:eastAsia="黑体" w:cs="黑体"/>
          <w:b w:val="0"/>
          <w:bCs w:val="0"/>
          <w:sz w:val="30"/>
          <w:szCs w:val="30"/>
        </w:rPr>
        <w:t>“双师型”教师培养</w:t>
      </w:r>
      <w:bookmarkEnd w:id="416"/>
    </w:p>
    <w:p w14:paraId="018F26C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1.打造双师队伍提高育人能力</w:t>
      </w:r>
    </w:p>
    <w:p w14:paraId="3761169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坚持以职业资格为引领，深化“双师型”教师队伍建设。通过实施“走出去、请进来”双向机制，积极聘请企业技术骨干与高技能人才担任兼职教师，并联动政校行企共建多个培养培训基地，推动资源共享与优势互补，促进教育链、人才链与创新链深度衔接。学校常态化组织教师参加国家级、省级企业实践与教学能力提升培训，着力打造专兼结合的高素质“双师型”教学团队。</w:t>
      </w:r>
    </w:p>
    <w:p w14:paraId="78105888">
      <w:pPr>
        <w:jc w:val="center"/>
        <w:rPr>
          <w:rFonts w:ascii="宋体" w:hAnsi="宋体" w:cs="宋体"/>
          <w:sz w:val="24"/>
        </w:rPr>
      </w:pPr>
      <w:r>
        <w:rPr>
          <w:rFonts w:hint="eastAsia" w:ascii="楷体_GB2312" w:hAnsi="楷体_GB2312" w:eastAsia="楷体_GB2312" w:cs="楷体_GB2312"/>
          <w:color w:val="000000"/>
          <w:kern w:val="0"/>
          <w:sz w:val="24"/>
          <w:szCs w:val="24"/>
          <w:lang w:val="en-US" w:eastAsia="zh-CN" w:bidi="ar"/>
        </w:rPr>
        <w:drawing>
          <wp:inline distT="0" distB="0" distL="114300" distR="114300">
            <wp:extent cx="2880360" cy="2160270"/>
            <wp:effectExtent l="0" t="0" r="0" b="3810"/>
            <wp:docPr id="9" name="图片 1" descr="“双师型”教师认定工作部署培训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双师型”教师认定工作部署培训会"/>
                    <pic:cNvPicPr>
                      <a:picLocks noChangeAspect="1"/>
                    </pic:cNvPicPr>
                  </pic:nvPicPr>
                  <pic:blipFill>
                    <a:blip r:embed="rId76"/>
                    <a:stretch>
                      <a:fillRect/>
                    </a:stretch>
                  </pic:blipFill>
                  <pic:spPr>
                    <a:xfrm>
                      <a:off x="0" y="0"/>
                      <a:ext cx="2880360" cy="2160270"/>
                    </a:xfrm>
                    <a:prstGeom prst="rect">
                      <a:avLst/>
                    </a:prstGeom>
                    <a:noFill/>
                    <a:ln>
                      <a:noFill/>
                    </a:ln>
                  </pic:spPr>
                </pic:pic>
              </a:graphicData>
            </a:graphic>
          </wp:inline>
        </w:drawing>
      </w:r>
    </w:p>
    <w:p w14:paraId="761FF6D1">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5-8</w:t>
      </w:r>
      <w:r>
        <w:rPr>
          <w:rFonts w:hint="eastAsia" w:ascii="楷体_GB2312" w:hAnsi="楷体_GB2312" w:eastAsia="楷体_GB2312" w:cs="楷体_GB2312"/>
          <w:sz w:val="24"/>
        </w:rPr>
        <w:fldChar w:fldCharType="end"/>
      </w:r>
      <w:bookmarkStart w:id="417" w:name="_Toc29892"/>
      <w:r>
        <w:rPr>
          <w:rFonts w:hint="eastAsia" w:ascii="楷体_GB2312" w:hAnsi="楷体_GB2312" w:eastAsia="楷体_GB2312" w:cs="楷体_GB2312"/>
          <w:sz w:val="24"/>
        </w:rPr>
        <w:t xml:space="preserve"> “双师型”教师认定工作部署会议</w:t>
      </w:r>
      <w:bookmarkEnd w:id="417"/>
    </w:p>
    <w:p w14:paraId="0B37288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继续夯实“双师型”教师队伍建设基础，严格遵循个人申报、学校及区县审核、市级认定、省级复核的规范流程，新增“双师型”教师11人次，实现了队伍结构上层级覆盖与质量提升，进一步彰显了队伍建设的实效与内涵发展</w:t>
      </w:r>
      <w:r>
        <w:rPr>
          <w:rFonts w:hint="eastAsia" w:ascii="仿宋_GB2312" w:hAnsi="仿宋" w:eastAsia="仿宋_GB2312"/>
          <w:color w:val="000000" w:themeColor="text1"/>
          <w:sz w:val="28"/>
          <w:szCs w:val="28"/>
          <w:lang w:eastAsia="zh-CN"/>
          <w14:textFill>
            <w14:solidFill>
              <w14:schemeClr w14:val="tx1"/>
            </w14:solidFill>
          </w14:textFill>
        </w:rPr>
        <w:t>。</w:t>
      </w:r>
    </w:p>
    <w:p w14:paraId="03A672D3">
      <w:pPr>
        <w:spacing w:line="400" w:lineRule="exact"/>
        <w:ind w:firstLine="560" w:firstLineChars="200"/>
        <w:rPr>
          <w:rFonts w:hint="eastAsia" w:ascii="仿宋_GB2312" w:hAnsi="Times New Roman" w:eastAsia="仿宋_GB2312" w:cs="Times New Roman"/>
          <w:sz w:val="28"/>
          <w:szCs w:val="28"/>
          <w:lang w:eastAsia="zh-CN"/>
        </w:rPr>
      </w:pPr>
    </w:p>
    <w:p w14:paraId="34F575D5">
      <w:pPr>
        <w:jc w:val="center"/>
        <w:rPr>
          <w:rFonts w:ascii="宋体" w:hAnsi="宋体" w:cs="宋体"/>
          <w:sz w:val="24"/>
        </w:rPr>
      </w:pPr>
      <w:r>
        <w:rPr>
          <w:rFonts w:hint="eastAsia" w:ascii="楷体_GB2312" w:hAnsi="楷体_GB2312" w:eastAsia="楷体_GB2312" w:cs="楷体_GB2312"/>
          <w:color w:val="000000"/>
          <w:kern w:val="0"/>
          <w:sz w:val="24"/>
          <w:szCs w:val="24"/>
          <w:lang w:val="en-US" w:eastAsia="zh-CN" w:bidi="ar"/>
        </w:rPr>
        <w:drawing>
          <wp:inline distT="0" distB="0" distL="114300" distR="114300">
            <wp:extent cx="2880360" cy="2160270"/>
            <wp:effectExtent l="0" t="0" r="0" b="3810"/>
            <wp:docPr id="10" name="图片 2" descr="“双师型”教师认定工作校级初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双师型”教师认定工作校级初审"/>
                    <pic:cNvPicPr>
                      <a:picLocks noChangeAspect="1"/>
                    </pic:cNvPicPr>
                  </pic:nvPicPr>
                  <pic:blipFill>
                    <a:blip r:embed="rId77"/>
                    <a:stretch>
                      <a:fillRect/>
                    </a:stretch>
                  </pic:blipFill>
                  <pic:spPr>
                    <a:xfrm>
                      <a:off x="0" y="0"/>
                      <a:ext cx="2880360" cy="2160270"/>
                    </a:xfrm>
                    <a:prstGeom prst="rect">
                      <a:avLst/>
                    </a:prstGeom>
                    <a:noFill/>
                    <a:ln>
                      <a:noFill/>
                    </a:ln>
                  </pic:spPr>
                </pic:pic>
              </a:graphicData>
            </a:graphic>
          </wp:inline>
        </w:drawing>
      </w:r>
    </w:p>
    <w:p w14:paraId="7C5413BB">
      <w:pPr>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5-9</w:t>
      </w:r>
      <w:r>
        <w:rPr>
          <w:rFonts w:hint="eastAsia" w:ascii="楷体_GB2312" w:hAnsi="楷体_GB2312" w:eastAsia="楷体_GB2312" w:cs="楷体_GB2312"/>
          <w:sz w:val="24"/>
        </w:rPr>
        <w:fldChar w:fldCharType="end"/>
      </w:r>
      <w:bookmarkStart w:id="418" w:name="_Toc21129"/>
      <w:r>
        <w:rPr>
          <w:rFonts w:hint="eastAsia" w:ascii="楷体_GB2312" w:hAnsi="楷体_GB2312" w:eastAsia="楷体_GB2312" w:cs="楷体_GB2312"/>
          <w:sz w:val="24"/>
        </w:rPr>
        <w:t xml:space="preserve"> “双师型”教师认定工作校级初审</w:t>
      </w:r>
      <w:bookmarkEnd w:id="418"/>
    </w:p>
    <w:p w14:paraId="355D9ABF">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419" w:name="_Toc10556"/>
      <w:r>
        <w:rPr>
          <w:rFonts w:hint="eastAsia" w:ascii="黑体" w:hAnsi="黑体" w:eastAsia="黑体" w:cs="黑体"/>
          <w:b w:val="0"/>
          <w:bCs w:val="0"/>
          <w:sz w:val="30"/>
          <w:szCs w:val="30"/>
          <w:lang w:val="en-US" w:eastAsia="zh-CN"/>
        </w:rPr>
        <w:t>（四）产业学院建设</w:t>
      </w:r>
      <w:bookmarkEnd w:id="419"/>
    </w:p>
    <w:p w14:paraId="7FEB979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1.产业学院开启校企合作新局面</w:t>
      </w:r>
    </w:p>
    <w:p w14:paraId="2246DD7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为积极响应新质生产力发展要求，进一步对接我市20条产业链，推进全市“人才链、教育链、产业链、创新链”四链融合，培养战略性新兴产业亟需的高技术人才，塑强产业人才队伍，深化科教赋能产业高质量发展，2025年淄博理工学校在现有普来瑞汽车产业学院、1954陶瓷学院基础上新增数智制造产业学院，进一步推动校企协同育人新模式。</w:t>
      </w:r>
    </w:p>
    <w:p w14:paraId="15E010E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sz w:val="24"/>
        </w:rPr>
      </w:pPr>
      <w:r>
        <w:rPr>
          <w:rFonts w:hint="eastAsia" w:ascii="仿宋_GB2312" w:hAnsi="仿宋" w:eastAsia="仿宋_GB2312"/>
          <w:color w:val="000000" w:themeColor="text1"/>
          <w:sz w:val="28"/>
          <w:szCs w:val="28"/>
          <w:lang w:val="en-US" w:eastAsia="zh-CN"/>
          <w14:textFill>
            <w14:solidFill>
              <w14:schemeClr w14:val="tx1"/>
            </w14:solidFill>
          </w14:textFill>
        </w:rPr>
        <w:t>学校与合作企业共建的3个特色产业学院，以校企深度融合为铆合点，深入推进“六个共同”校企双主体育人模式：即共同开展思政教育、共同开发专业与课程标准、共同打造高水平教学团队、共同攻克关键技术和工艺、共同开展创新创业教育、共同开展现代学徒制人才培养。校企共建产业学院充分发挥了学校、企业的优势特色，为校企双方扩大交流与合作，强化专业人才培养提供了坚实的平台，开启了校企战略合作的新篇章。</w:t>
      </w:r>
    </w:p>
    <w:p w14:paraId="7151F68D">
      <w:pPr>
        <w:jc w:val="center"/>
        <w:rPr>
          <w:rFonts w:ascii="宋体" w:hAnsi="宋体" w:cs="宋体"/>
          <w:sz w:val="24"/>
        </w:rPr>
      </w:pPr>
      <w:r>
        <w:rPr>
          <w:rFonts w:hint="eastAsia" w:ascii="楷体_GB2312" w:hAnsi="楷体_GB2312" w:eastAsia="楷体_GB2312" w:cs="楷体_GB2312"/>
          <w:b w:val="0"/>
          <w:bCs w:val="0"/>
          <w:color w:val="000000"/>
          <w:sz w:val="24"/>
          <w:szCs w:val="24"/>
          <w:lang w:val="en-US" w:eastAsia="zh-CN"/>
        </w:rPr>
        <w:drawing>
          <wp:inline distT="0" distB="0" distL="114300" distR="114300">
            <wp:extent cx="2880360" cy="2161540"/>
            <wp:effectExtent l="0" t="0" r="0" b="2540"/>
            <wp:docPr id="23" name="图片 2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3"/>
                    <pic:cNvPicPr>
                      <a:picLocks noChangeAspect="1"/>
                    </pic:cNvPicPr>
                  </pic:nvPicPr>
                  <pic:blipFill>
                    <a:blip r:embed="rId78">
                      <a:lum bright="-6000"/>
                    </a:blip>
                    <a:stretch>
                      <a:fillRect/>
                    </a:stretch>
                  </pic:blipFill>
                  <pic:spPr>
                    <a:xfrm>
                      <a:off x="0" y="0"/>
                      <a:ext cx="2880360" cy="2161540"/>
                    </a:xfrm>
                    <a:prstGeom prst="rect">
                      <a:avLst/>
                    </a:prstGeom>
                  </pic:spPr>
                </pic:pic>
              </a:graphicData>
            </a:graphic>
          </wp:inline>
        </w:drawing>
      </w:r>
    </w:p>
    <w:p w14:paraId="08EED970">
      <w:pPr>
        <w:jc w:val="center"/>
        <w:rPr>
          <w:rFonts w:hint="eastAsia" w:ascii="仿宋_GB2312" w:eastAsia="仿宋_GB2312" w:cs="Times New Roman"/>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5-10</w:t>
      </w:r>
      <w:r>
        <w:rPr>
          <w:rFonts w:hint="eastAsia" w:ascii="楷体_GB2312" w:hAnsi="楷体_GB2312" w:eastAsia="楷体_GB2312" w:cs="楷体_GB2312"/>
          <w:sz w:val="24"/>
        </w:rPr>
        <w:fldChar w:fldCharType="end"/>
      </w:r>
      <w:bookmarkStart w:id="420" w:name="_Toc4392"/>
      <w:r>
        <w:rPr>
          <w:rFonts w:hint="eastAsia" w:ascii="楷体_GB2312" w:hAnsi="楷体_GB2312" w:eastAsia="楷体_GB2312" w:cs="楷体_GB2312"/>
          <w:sz w:val="24"/>
        </w:rPr>
        <w:t xml:space="preserve"> 淄博市第三批现代产业学院--数智制造产业学院</w:t>
      </w:r>
      <w:bookmarkEnd w:id="420"/>
    </w:p>
    <w:p w14:paraId="36BEA4DF">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421" w:name="_Toc764"/>
      <w:bookmarkStart w:id="422" w:name="_Toc24878"/>
      <w:bookmarkStart w:id="423" w:name="_Toc1626"/>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5-1</w:t>
      </w:r>
      <w:r>
        <w:rPr>
          <w:rFonts w:hint="eastAsia" w:ascii="楷体_GB2312" w:hAnsi="楷体_GB2312" w:eastAsia="楷体_GB2312" w:cs="楷体_GB2312"/>
          <w:sz w:val="30"/>
          <w:szCs w:val="30"/>
        </w:rPr>
        <w:t>：普来瑞汽车产业学院构建产教融合新生态</w:t>
      </w:r>
      <w:bookmarkEnd w:id="421"/>
      <w:bookmarkEnd w:id="422"/>
      <w:bookmarkEnd w:id="423"/>
    </w:p>
    <w:p w14:paraId="7B0350B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自2021年与淄博普来瑞电器有限公司共建普来瑞汽车产业学院以来，坚持“专业共办、教材共编、师资共育、平台共建、资源共享”的原则，聚焦汽车运用与维修、新能源汽车运用与维修两大专业，构建“教学－实训－竞赛－服务”四位一体功能体系</w:t>
      </w:r>
      <w:r>
        <w:rPr>
          <w:rFonts w:hint="eastAsia" w:ascii="仿宋_GB2312" w:hAnsi="仿宋" w:eastAsia="仿宋_GB2312"/>
          <w:color w:val="000000" w:themeColor="text1"/>
          <w:sz w:val="28"/>
          <w:szCs w:val="28"/>
          <w:lang w:eastAsia="zh-CN"/>
          <w14:textFill>
            <w14:solidFill>
              <w14:schemeClr w14:val="tx1"/>
            </w14:solidFill>
          </w14:textFill>
        </w:rPr>
        <w:t>。</w:t>
      </w:r>
    </w:p>
    <w:p w14:paraId="124F719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院构建“理事会与教学指导委员会”双重治理架构，理事会采用“2+2+1”模式，由“学校代表2人、企业代表2人以及政府或行业代表1人”组成，作为最高决策机构负责审批专业设置、年度预算、薪酬标准等重大事项；教学指导委员会由政府相关业务主管部门代表、汽车维修行业专家及企业技术总监构成，负责审核人才培养方案的修订内容、监督教学质量，并推动专业课程模块的教学实施。</w:t>
      </w:r>
    </w:p>
    <w:p w14:paraId="0F04E56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w:t>
      </w:r>
      <w:r>
        <w:rPr>
          <w:rFonts w:hint="eastAsia" w:ascii="仿宋_GB2312" w:hAnsi="仿宋" w:eastAsia="仿宋_GB2312"/>
          <w:color w:val="000000" w:themeColor="text1"/>
          <w:sz w:val="28"/>
          <w:szCs w:val="28"/>
          <w:lang w:val="en-US" w:eastAsia="zh-CN"/>
          <w14:textFill>
            <w14:solidFill>
              <w14:schemeClr w14:val="tx1"/>
            </w14:solidFill>
          </w14:textFill>
        </w:rPr>
        <w:t>院</w:t>
      </w:r>
      <w:r>
        <w:rPr>
          <w:rFonts w:hint="eastAsia" w:ascii="仿宋_GB2312" w:hAnsi="仿宋" w:eastAsia="仿宋_GB2312"/>
          <w:color w:val="000000" w:themeColor="text1"/>
          <w:sz w:val="28"/>
          <w:szCs w:val="28"/>
          <w14:textFill>
            <w14:solidFill>
              <w14:schemeClr w14:val="tx1"/>
            </w14:solidFill>
          </w14:textFill>
        </w:rPr>
        <w:t>投入180余万元采购新能源实训设备，通过这些设备的引入，学校建成了新能源汽车实训专区，可开展电池模块拆装、电驱动总成检修等实战训练</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lang w:val="en-US" w:eastAsia="zh-CN"/>
          <w14:textFill>
            <w14:solidFill>
              <w14:schemeClr w14:val="tx1"/>
            </w14:solidFill>
          </w14:textFill>
        </w:rPr>
        <w:t>为学生提供了真实场景实训体验。</w:t>
      </w:r>
    </w:p>
    <w:p w14:paraId="47394487">
      <w:pPr>
        <w:jc w:val="center"/>
        <w:rPr>
          <w:rFonts w:ascii="宋体" w:hAnsi="宋体" w:cs="宋体"/>
          <w:sz w:val="24"/>
        </w:rPr>
      </w:pPr>
      <w:r>
        <w:drawing>
          <wp:inline distT="0" distB="0" distL="114300" distR="114300">
            <wp:extent cx="2880360" cy="2160270"/>
            <wp:effectExtent l="0" t="0" r="0" b="381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79"/>
                    <a:stretch>
                      <a:fillRect/>
                    </a:stretch>
                  </pic:blipFill>
                  <pic:spPr>
                    <a:xfrm>
                      <a:off x="0" y="0"/>
                      <a:ext cx="2880360" cy="2160270"/>
                    </a:xfrm>
                    <a:prstGeom prst="rect">
                      <a:avLst/>
                    </a:prstGeom>
                    <a:noFill/>
                    <a:ln>
                      <a:noFill/>
                    </a:ln>
                  </pic:spPr>
                </pic:pic>
              </a:graphicData>
            </a:graphic>
          </wp:inline>
        </w:drawing>
      </w:r>
    </w:p>
    <w:p w14:paraId="1CA39F9B">
      <w:pPr>
        <w:jc w:val="center"/>
        <w:rPr>
          <w:rFonts w:hint="eastAsia" w:ascii="仿宋_GB2312" w:hAnsi="仿宋_GB2312" w:eastAsia="仿宋_GB2312" w:cs="仿宋_GB2312"/>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5-11</w:t>
      </w:r>
      <w:r>
        <w:rPr>
          <w:rFonts w:hint="eastAsia" w:ascii="楷体_GB2312" w:hAnsi="楷体_GB2312" w:eastAsia="楷体_GB2312" w:cs="楷体_GB2312"/>
          <w:sz w:val="24"/>
        </w:rPr>
        <w:fldChar w:fldCharType="end"/>
      </w:r>
      <w:bookmarkStart w:id="424" w:name="_Toc18287"/>
      <w:r>
        <w:rPr>
          <w:rFonts w:hint="eastAsia" w:ascii="楷体_GB2312" w:hAnsi="楷体_GB2312" w:eastAsia="楷体_GB2312" w:cs="楷体_GB2312"/>
          <w:sz w:val="24"/>
        </w:rPr>
        <w:t xml:space="preserve"> 产业学院实训基地及实训设备</w:t>
      </w:r>
      <w:bookmarkEnd w:id="424"/>
    </w:p>
    <w:p w14:paraId="30A0794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校企双方共同构建项目引导、模块分层式“53”实训教学模式</w:t>
      </w:r>
      <w:r>
        <w:rPr>
          <w:rFonts w:hint="eastAsia" w:ascii="仿宋_GB2312" w:hAnsi="仿宋" w:eastAsia="仿宋_GB2312"/>
          <w:color w:val="000000" w:themeColor="text1"/>
          <w:sz w:val="28"/>
          <w:szCs w:val="28"/>
          <w:lang w:eastAsia="zh-CN"/>
          <w14:textFill>
            <w14:solidFill>
              <w14:schemeClr w14:val="tx1"/>
            </w14:solidFill>
          </w14:textFill>
        </w:rPr>
        <w:t>。结合汽修专业学生发展需求，围绕“实训、春考、大赛和工作”</w:t>
      </w:r>
      <w:r>
        <w:rPr>
          <w:rFonts w:hint="eastAsia" w:ascii="仿宋_GB2312" w:hAnsi="仿宋" w:eastAsia="仿宋_GB2312"/>
          <w:color w:val="000000" w:themeColor="text1"/>
          <w:sz w:val="28"/>
          <w:szCs w:val="28"/>
          <w:lang w:val="en-US" w:eastAsia="zh-CN"/>
          <w14:textFill>
            <w14:solidFill>
              <w14:schemeClr w14:val="tx1"/>
            </w14:solidFill>
          </w14:textFill>
        </w:rPr>
        <w:t>四</w:t>
      </w:r>
      <w:r>
        <w:rPr>
          <w:rFonts w:hint="eastAsia" w:ascii="仿宋_GB2312" w:hAnsi="仿宋" w:eastAsia="仿宋_GB2312"/>
          <w:color w:val="000000" w:themeColor="text1"/>
          <w:sz w:val="28"/>
          <w:szCs w:val="28"/>
          <w:lang w:eastAsia="zh-CN"/>
          <w14:textFill>
            <w14:solidFill>
              <w14:schemeClr w14:val="tx1"/>
            </w14:solidFill>
          </w14:textFill>
        </w:rPr>
        <w:t>个方面，校企共同构建“模块化实践教学体系”，按照由浅入深的原则，将专业实践教学体系分为“基础认知、专业技能、综合实践”三个模块，突出专业技能和职业素质的培养，满足学生在“竞技、考证、升学、大赛、入职”五个方面的需求，有效地促进学生综合能力的提升。</w:t>
      </w:r>
    </w:p>
    <w:p w14:paraId="0939FCDE">
      <w:pPr>
        <w:pStyle w:val="2"/>
        <w:pageBreakBefore w:val="0"/>
        <w:widowControl w:val="0"/>
        <w:kinsoku/>
        <w:wordWrap/>
        <w:overflowPunct/>
        <w:topLinePunct w:val="0"/>
        <w:autoSpaceDE/>
        <w:autoSpaceDN/>
        <w:bidi w:val="0"/>
        <w:adjustRightInd/>
        <w:snapToGrid/>
        <w:spacing w:before="0" w:after="0" w:line="560" w:lineRule="exact"/>
        <w:ind w:firstLine="640" w:firstLineChars="200"/>
        <w:textAlignment w:val="auto"/>
        <w:rPr>
          <w:rFonts w:ascii="黑体" w:hAnsi="黑体" w:eastAsia="黑体"/>
          <w:b w:val="0"/>
          <w:bCs/>
          <w:sz w:val="32"/>
          <w:szCs w:val="32"/>
        </w:rPr>
      </w:pPr>
      <w:bookmarkStart w:id="425" w:name="_Toc29801"/>
      <w:r>
        <w:rPr>
          <w:rFonts w:hint="eastAsia" w:ascii="黑体" w:hAnsi="黑体" w:eastAsia="黑体"/>
          <w:b w:val="0"/>
          <w:bCs/>
          <w:sz w:val="32"/>
          <w:szCs w:val="32"/>
          <w:lang w:val="en-US" w:eastAsia="zh-CN"/>
        </w:rPr>
        <w:t>六、</w:t>
      </w:r>
      <w:r>
        <w:rPr>
          <w:rFonts w:hint="eastAsia" w:ascii="黑体" w:hAnsi="黑体" w:eastAsia="黑体"/>
          <w:b w:val="0"/>
          <w:bCs/>
          <w:sz w:val="32"/>
          <w:szCs w:val="32"/>
        </w:rPr>
        <w:t>发展保障</w:t>
      </w:r>
      <w:bookmarkEnd w:id="425"/>
    </w:p>
    <w:p w14:paraId="75BE2075">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sz w:val="30"/>
          <w:szCs w:val="30"/>
          <w:lang w:val="en-US" w:eastAsia="zh-CN"/>
        </w:rPr>
      </w:pPr>
      <w:bookmarkStart w:id="426" w:name="_Toc18870"/>
      <w:bookmarkStart w:id="427" w:name="_Toc27558929"/>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一</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党建引领</w:t>
      </w:r>
      <w:bookmarkEnd w:id="426"/>
    </w:p>
    <w:p w14:paraId="1C968C5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1.健全党建领导体系，夯实办学治校根基</w:t>
      </w:r>
    </w:p>
    <w:p w14:paraId="2EAD42E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严格执行《淄博理工学校党委领导的校长负责制实施方案（试行）》，以《党委会议议事规则》《校长办公会议议事规则》为遵循，科学谋划学校发展全局，稳步推进各项事业落地。健全“党委主体责任、党委书记第一责任人责任、班子成员一岗双责”责任体系，将政治标准贯穿办学治校全流程、各环节。深化班子成员挂包下属党支部机制，强化对支部工作的常态化督导指导，推动党建工作与业务工作深度融合。</w:t>
      </w:r>
    </w:p>
    <w:p w14:paraId="27DF588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2.强化党风廉政建设，筑牢廉洁自律防线</w:t>
      </w:r>
    </w:p>
    <w:p w14:paraId="725D890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聚焦“三个责任清单”（领导班子主体责任、“第一责任人”责任、“一岗双责”），将责任落实作为重大政治任务，层层传导压力、逐级压实责任。常态化开展廉政谈话与警示教育，动态掌握党员干部思想动态，及时发现并纠正苗头性、倾向性问题，从严管好干部、带好队伍。严格执行中央八项规定精神，坚持日常监督与专项检查相结合，把纪律挺在前面。深入开展 “四风”专项整治，重点纠治形式主义、官僚主义突出问题；推进厉行节约、反对浪费专项行动，严肃整治 “舌尖上的浪费”，大力弘扬“浪费可耻、节约为荣”的新风正气。</w:t>
      </w:r>
    </w:p>
    <w:p w14:paraId="23D82E03">
      <w:pPr>
        <w:jc w:val="center"/>
        <w:rPr>
          <w:rFonts w:ascii="宋体" w:hAnsi="宋体" w:cs="宋体"/>
          <w:sz w:val="24"/>
        </w:rPr>
      </w:pPr>
      <w:r>
        <w:drawing>
          <wp:inline distT="0" distB="0" distL="114300" distR="114300">
            <wp:extent cx="2873375" cy="2160270"/>
            <wp:effectExtent l="0" t="0" r="698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0">
                      <a:lum bright="12000"/>
                    </a:blip>
                    <a:stretch>
                      <a:fillRect/>
                    </a:stretch>
                  </pic:blipFill>
                  <pic:spPr>
                    <a:xfrm>
                      <a:off x="0" y="0"/>
                      <a:ext cx="2873375" cy="2160270"/>
                    </a:xfrm>
                    <a:prstGeom prst="rect">
                      <a:avLst/>
                    </a:prstGeom>
                    <a:noFill/>
                    <a:ln>
                      <a:noFill/>
                    </a:ln>
                  </pic:spPr>
                </pic:pic>
              </a:graphicData>
            </a:graphic>
          </wp:inline>
        </w:drawing>
      </w:r>
    </w:p>
    <w:p w14:paraId="1D730050">
      <w:pPr>
        <w:jc w:val="center"/>
        <w:rPr>
          <w:rFonts w:hint="default" w:ascii="仿宋_GB2312" w:hAnsi="仿宋" w:eastAsia="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1</w:t>
      </w:r>
      <w:r>
        <w:rPr>
          <w:rFonts w:hint="eastAsia" w:ascii="楷体_GB2312" w:hAnsi="楷体_GB2312" w:eastAsia="楷体_GB2312" w:cs="楷体_GB2312"/>
          <w:sz w:val="24"/>
        </w:rPr>
        <w:fldChar w:fldCharType="end"/>
      </w:r>
      <w:bookmarkStart w:id="428" w:name="_Toc5835"/>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党员参观红色教育基地</w:t>
      </w:r>
      <w:bookmarkEnd w:id="428"/>
    </w:p>
    <w:p w14:paraId="756A3E82">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hint="eastAsia" w:ascii="楷体_GB2312" w:hAnsi="楷体_GB2312" w:eastAsia="楷体_GB2312" w:cs="楷体_GB2312"/>
          <w:sz w:val="30"/>
          <w:szCs w:val="30"/>
          <w:lang w:val="en-US" w:eastAsia="zh-CN"/>
        </w:rPr>
      </w:pPr>
      <w:bookmarkStart w:id="429" w:name="_Toc7256"/>
      <w:bookmarkStart w:id="430" w:name="_Toc11222"/>
      <w:r>
        <w:rPr>
          <w:rFonts w:hint="eastAsia" w:ascii="楷体_GB2312" w:hAnsi="楷体_GB2312" w:eastAsia="楷体_GB2312" w:cs="楷体_GB2312"/>
          <w:sz w:val="30"/>
          <w:szCs w:val="30"/>
          <w:lang w:val="en-US" w:eastAsia="zh-CN"/>
        </w:rPr>
        <w:t>案例6-1：创建特色品牌项目  推动党建走深走实</w:t>
      </w:r>
      <w:bookmarkEnd w:id="429"/>
      <w:bookmarkEnd w:id="430"/>
    </w:p>
    <w:p w14:paraId="71722B1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深入学习贯彻党的二十大和二十届二中、三中全会精神，扎实开展学习贯彻习近平新时代中国特色社会主义思想主题教育和党纪学习教育，在教育教学、学校管理、教研教改等中心工作中，突出了党支部的政治功能和组织功能，冲锋在前、攻坚克难，充分发挥了党员干部的先锋模范和党组织的战斗堡垒作用。学前教育系党支部坚持“围绕教学抓党建，抓好党建促教学”的党建工作基本理念，通过开展内容丰富、形式多样的支部活动，打造出了一支师德高尚，业务精良，锐意进取，勇于创新的“复合型”党员教师队伍，树立了“党旗引领，职教先锋，润德尚技，赛考赋能”的党建特色品牌，成功入选淄川区教体系统第三批党建特色品牌项目，确保起到示范引领和辐射带动作用。</w:t>
      </w:r>
    </w:p>
    <w:p w14:paraId="38FFD08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3.严明纪律规矩，厚植群众基础与群团合力</w:t>
      </w:r>
    </w:p>
    <w:p w14:paraId="30481BE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以强化政治担当为核心，严守政治规矩与廉洁纪律，始终践行党的群众路线。通过党员教师座谈会、师生面对面交流、家委会座谈等多元形式，主动接受群众监督、吸纳合理意见，持续厚植党的群众基础，赋能学校高质量发展。树立 党建统领，群团共建”理念，将工会、共青团工作纳入党建总体规划，强化党对群团工作的全面领导。聚焦共青团育人主责，积极探索群团工作与教育教学的融合路径，充分释放群团组织的协同育人效能。</w:t>
      </w:r>
    </w:p>
    <w:p w14:paraId="55C6B610">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431" w:name="_Toc23045"/>
      <w:r>
        <w:rPr>
          <w:rFonts w:hint="eastAsia" w:ascii="黑体" w:hAnsi="黑体" w:eastAsia="黑体" w:cs="黑体"/>
          <w:b w:val="0"/>
          <w:bCs w:val="0"/>
          <w:sz w:val="30"/>
          <w:szCs w:val="30"/>
          <w:lang w:val="en-US" w:eastAsia="zh-CN"/>
        </w:rPr>
        <w:t>（二）</w:t>
      </w:r>
      <w:r>
        <w:rPr>
          <w:rFonts w:hint="eastAsia" w:ascii="黑体" w:hAnsi="黑体" w:eastAsia="黑体" w:cs="黑体"/>
          <w:b w:val="0"/>
          <w:bCs w:val="0"/>
          <w:sz w:val="30"/>
          <w:szCs w:val="30"/>
          <w:lang w:eastAsia="zh-CN"/>
        </w:rPr>
        <w:t>经费投入</w:t>
      </w:r>
      <w:r>
        <w:rPr>
          <w:rFonts w:hint="eastAsia" w:ascii="黑体" w:hAnsi="黑体" w:eastAsia="黑体" w:cs="黑体"/>
          <w:b w:val="0"/>
          <w:bCs w:val="0"/>
          <w:sz w:val="30"/>
          <w:szCs w:val="30"/>
          <w:lang w:val="en-US" w:eastAsia="zh-CN"/>
        </w:rPr>
        <w:t>与政策落实</w:t>
      </w:r>
      <w:bookmarkEnd w:id="431"/>
    </w:p>
    <w:p w14:paraId="132C532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1.细化经费投入增强发展动力</w:t>
      </w:r>
    </w:p>
    <w:p w14:paraId="43D87F2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2024年学校年度经费总收入7978.68万元，全年财政拨款为7852.85万元，生均拨款为2.004万元，生均公用经费拨款标准执行鲁财教[2013]58号文件。学校年度经费总支出7978.68，日常教学经费支出投入279.9万元，其中：教学日常运行支出为168.41万元，教师培训支出为30.91万元，信息网络及软件购置更新支出8.8万元，学生实习设备购置支出43万元，图书购置支出11.25万元，实习专项经费17.53万元，其中：年实习责任保险经费2.57万元。2024年教学经费支出情况</w:t>
      </w:r>
      <w:r>
        <w:rPr>
          <w:rFonts w:hint="eastAsia" w:ascii="仿宋_GB2312" w:hAnsi="仿宋" w:eastAsia="仿宋_GB2312"/>
          <w:color w:val="000000" w:themeColor="text1"/>
          <w:sz w:val="28"/>
          <w:szCs w:val="28"/>
          <w:lang w:val="en-US" w:eastAsia="zh-CN"/>
          <w14:textFill>
            <w14:solidFill>
              <w14:schemeClr w14:val="tx1"/>
            </w14:solidFill>
          </w14:textFill>
        </w:rPr>
        <w:t>如表6-1、图6-2所示：</w:t>
      </w:r>
    </w:p>
    <w:p w14:paraId="29647757">
      <w:pPr>
        <w:pStyle w:val="6"/>
        <w:jc w:val="center"/>
        <w:rPr>
          <w:rFonts w:ascii="仿宋_GB2312" w:eastAsia="仿宋_GB2312"/>
          <w:color w:val="000000" w:themeColor="text1"/>
          <w:sz w:val="24"/>
          <w14:textFill>
            <w14:solidFill>
              <w14:schemeClr w14:val="tx1"/>
            </w14:solidFill>
          </w14:textFill>
        </w:rPr>
      </w:pPr>
      <w:r>
        <w:rPr>
          <w:rFonts w:hint="eastAsia" w:ascii="楷体_GB2312" w:hAnsi="楷体_GB2312" w:eastAsia="楷体_GB2312" w:cs="楷体_GB2312"/>
          <w:sz w:val="24"/>
        </w:rPr>
        <w:t xml:space="preserve">表 </w:t>
      </w:r>
      <w:r>
        <w:rPr>
          <w:rFonts w:hint="eastAsia" w:ascii="楷体_GB2312" w:hAnsi="楷体_GB2312" w:eastAsia="楷体_GB2312" w:cs="楷体_GB2312"/>
          <w:sz w:val="24"/>
          <w:lang w:val="en-US" w:eastAsia="zh-CN"/>
        </w:rPr>
        <w:t>6-1</w:t>
      </w:r>
      <w:bookmarkStart w:id="432" w:name="_Toc15591"/>
      <w:bookmarkStart w:id="433" w:name="_Toc23153"/>
      <w:bookmarkStart w:id="434" w:name="_Toc20223"/>
      <w:bookmarkStart w:id="435" w:name="_Toc4902"/>
      <w:r>
        <w:rPr>
          <w:rFonts w:hint="eastAsia" w:ascii="楷体_GB2312" w:hAnsi="楷体_GB2312" w:eastAsia="楷体_GB2312" w:cs="楷体_GB2312"/>
          <w:sz w:val="24"/>
        </w:rPr>
        <w:t xml:space="preserve"> </w:t>
      </w:r>
      <w:bookmarkEnd w:id="432"/>
      <w:bookmarkEnd w:id="433"/>
      <w:bookmarkEnd w:id="434"/>
      <w:r>
        <w:rPr>
          <w:rFonts w:hint="eastAsia" w:ascii="楷体_GB2312" w:hAnsi="楷体_GB2312" w:eastAsia="楷体_GB2312" w:cs="楷体_GB2312"/>
          <w:sz w:val="24"/>
        </w:rPr>
        <w:t>202</w:t>
      </w:r>
      <w:r>
        <w:rPr>
          <w:rFonts w:hint="eastAsia" w:ascii="楷体_GB2312" w:hAnsi="楷体_GB2312" w:eastAsia="楷体_GB2312" w:cs="楷体_GB2312"/>
          <w:sz w:val="24"/>
          <w:lang w:val="en-US" w:eastAsia="zh-CN"/>
        </w:rPr>
        <w:t>4</w:t>
      </w:r>
      <w:r>
        <w:rPr>
          <w:rFonts w:hint="eastAsia" w:ascii="楷体_GB2312" w:hAnsi="楷体_GB2312" w:eastAsia="楷体_GB2312" w:cs="楷体_GB2312"/>
          <w:sz w:val="24"/>
        </w:rPr>
        <w:t>年教学经费支出情况一览表</w:t>
      </w:r>
      <w:bookmarkEnd w:id="435"/>
    </w:p>
    <w:tbl>
      <w:tblPr>
        <w:tblStyle w:val="17"/>
        <w:tblW w:w="838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80"/>
        <w:gridCol w:w="4009"/>
      </w:tblGrid>
      <w:tr w14:paraId="0A5477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jc w:val="center"/>
        </w:trPr>
        <w:tc>
          <w:tcPr>
            <w:tcW w:w="8398" w:type="dxa"/>
            <w:gridSpan w:val="2"/>
            <w:tcBorders>
              <w:top w:val="nil"/>
              <w:left w:val="nil"/>
              <w:bottom w:val="nil"/>
              <w:right w:val="nil"/>
            </w:tcBorders>
            <w:shd w:val="clear" w:color="auto" w:fill="auto"/>
            <w:vAlign w:val="center"/>
          </w:tcPr>
          <w:p w14:paraId="176B2ABA">
            <w:pPr>
              <w:keepNext w:val="0"/>
              <w:keepLines w:val="0"/>
              <w:widowControl/>
              <w:suppressLineNumbers w:val="0"/>
              <w:jc w:val="center"/>
              <w:textAlignment w:val="center"/>
              <w:rPr>
                <w:rFonts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2024年教学经费支出情况一览表</w:t>
            </w:r>
          </w:p>
        </w:tc>
      </w:tr>
      <w:tr w14:paraId="16AA17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155A403">
            <w:pPr>
              <w:keepNext w:val="0"/>
              <w:keepLines w:val="0"/>
              <w:widowControl/>
              <w:suppressLineNumbers w:val="0"/>
              <w:jc w:val="center"/>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AE5A9A">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经费支出总额（万元）</w:t>
            </w:r>
          </w:p>
        </w:tc>
      </w:tr>
      <w:tr w14:paraId="2ABBF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782A68">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教学日常运行支出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D1A6B6">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168.41</w:t>
            </w:r>
          </w:p>
        </w:tc>
      </w:tr>
      <w:tr w14:paraId="3F3BE4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2DB97F">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教师培训费支出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7632750A">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30.91</w:t>
            </w:r>
          </w:p>
        </w:tc>
      </w:tr>
      <w:tr w14:paraId="1D496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0C21BCE1">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信息网络及软件购置更新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000D35C0">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8.8</w:t>
            </w:r>
          </w:p>
        </w:tc>
      </w:tr>
      <w:tr w14:paraId="1A1CE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B0A58E1">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学生实习设备购置费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EC4AE4">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43</w:t>
            </w:r>
          </w:p>
        </w:tc>
      </w:tr>
      <w:tr w14:paraId="7707F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950001">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图书购置费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BEA3BF8">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11.25</w:t>
            </w:r>
          </w:p>
        </w:tc>
      </w:tr>
      <w:tr w14:paraId="593AA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8696BAF">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实习专项经费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C0A3D6">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17.53</w:t>
            </w:r>
          </w:p>
        </w:tc>
      </w:tr>
      <w:tr w14:paraId="0B8658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0AF5A1E5">
            <w:pPr>
              <w:keepNext w:val="0"/>
              <w:keepLines w:val="0"/>
              <w:widowControl/>
              <w:suppressLineNumbers w:val="0"/>
              <w:jc w:val="center"/>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87FAEC">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279.9</w:t>
            </w:r>
          </w:p>
        </w:tc>
      </w:tr>
    </w:tbl>
    <w:p w14:paraId="5360B94A">
      <w:pPr>
        <w:jc w:val="center"/>
      </w:pPr>
    </w:p>
    <w:p w14:paraId="483C6531">
      <w:pPr>
        <w:jc w:val="center"/>
      </w:pPr>
      <w:r>
        <w:drawing>
          <wp:inline distT="0" distB="0" distL="114300" distR="114300">
            <wp:extent cx="4875530" cy="3128010"/>
            <wp:effectExtent l="4445" t="4445" r="12065" b="6985"/>
            <wp:docPr id="11" name="图表 2" descr="7b0a202020202263686172745265734964223a202234353536333835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EBEA9F8">
      <w:pPr>
        <w:pStyle w:val="6"/>
        <w:jc w:val="center"/>
        <w:rPr>
          <w:rFonts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2</w:t>
      </w:r>
      <w:r>
        <w:rPr>
          <w:rFonts w:hint="eastAsia" w:ascii="楷体_GB2312" w:hAnsi="楷体_GB2312" w:eastAsia="楷体_GB2312" w:cs="楷体_GB2312"/>
          <w:sz w:val="24"/>
        </w:rPr>
        <w:fldChar w:fldCharType="end"/>
      </w:r>
      <w:bookmarkStart w:id="436" w:name="_Toc8952"/>
      <w:bookmarkStart w:id="437" w:name="_Toc16725"/>
      <w:bookmarkStart w:id="438" w:name="_Toc6175"/>
      <w:bookmarkStart w:id="439" w:name="_Toc18055"/>
      <w:bookmarkStart w:id="440" w:name="_Toc20157"/>
      <w:r>
        <w:rPr>
          <w:rFonts w:hint="eastAsia" w:ascii="楷体_GB2312" w:hAnsi="楷体_GB2312" w:eastAsia="楷体_GB2312" w:cs="楷体_GB2312"/>
          <w:sz w:val="24"/>
        </w:rPr>
        <w:t xml:space="preserve"> 202</w:t>
      </w:r>
      <w:r>
        <w:rPr>
          <w:rFonts w:hint="eastAsia" w:ascii="楷体_GB2312" w:hAnsi="楷体_GB2312" w:eastAsia="楷体_GB2312" w:cs="楷体_GB2312"/>
          <w:sz w:val="24"/>
          <w:lang w:val="en-US" w:eastAsia="zh-CN"/>
        </w:rPr>
        <w:t>4</w:t>
      </w:r>
      <w:r>
        <w:rPr>
          <w:rFonts w:hint="eastAsia" w:ascii="楷体_GB2312" w:hAnsi="楷体_GB2312" w:eastAsia="楷体_GB2312" w:cs="楷体_GB2312"/>
          <w:sz w:val="24"/>
        </w:rPr>
        <w:t>年教学经费支出情况</w:t>
      </w:r>
      <w:bookmarkEnd w:id="436"/>
      <w:bookmarkEnd w:id="437"/>
      <w:bookmarkEnd w:id="438"/>
      <w:bookmarkEnd w:id="439"/>
      <w:bookmarkEnd w:id="440"/>
    </w:p>
    <w:p w14:paraId="6ED976E6">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（数据来源：学校财务处）</w:t>
      </w:r>
    </w:p>
    <w:p w14:paraId="5279F4F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szCs w:val="21"/>
          <w:lang w:val="en-US"/>
        </w:rPr>
      </w:pPr>
      <w:r>
        <w:rPr>
          <w:rFonts w:hint="eastAsia" w:ascii="仿宋_GB2312" w:hAnsi="仿宋" w:eastAsia="仿宋_GB2312"/>
          <w:color w:val="000000" w:themeColor="text1"/>
          <w:sz w:val="28"/>
          <w:szCs w:val="28"/>
          <w14:textFill>
            <w14:solidFill>
              <w14:schemeClr w14:val="tx1"/>
            </w14:solidFill>
          </w14:textFill>
        </w:rPr>
        <w:t>项目投入262.7万元，其中：山东省高水平中职校建设投入49.5万元，学生公寓建设投入30万元，技能大赛奖励投入6万元，设备购置项目投入177.2万元。2024年教学经费</w:t>
      </w:r>
      <w:r>
        <w:rPr>
          <w:rFonts w:hint="eastAsia" w:ascii="仿宋_GB2312" w:hAnsi="仿宋" w:eastAsia="仿宋_GB2312"/>
          <w:color w:val="000000" w:themeColor="text1"/>
          <w:sz w:val="28"/>
          <w:szCs w:val="28"/>
          <w:lang w:val="en-US" w:eastAsia="zh-CN"/>
          <w14:textFill>
            <w14:solidFill>
              <w14:schemeClr w14:val="tx1"/>
            </w14:solidFill>
          </w14:textFill>
        </w:rPr>
        <w:t>投入</w:t>
      </w:r>
      <w:r>
        <w:rPr>
          <w:rFonts w:hint="eastAsia" w:ascii="仿宋_GB2312" w:hAnsi="仿宋" w:eastAsia="仿宋_GB2312"/>
          <w:color w:val="000000" w:themeColor="text1"/>
          <w:sz w:val="28"/>
          <w:szCs w:val="28"/>
          <w14:textFill>
            <w14:solidFill>
              <w14:schemeClr w14:val="tx1"/>
            </w14:solidFill>
          </w14:textFill>
        </w:rPr>
        <w:t>情况</w:t>
      </w:r>
      <w:r>
        <w:rPr>
          <w:rFonts w:hint="eastAsia" w:ascii="仿宋_GB2312" w:hAnsi="仿宋" w:eastAsia="仿宋_GB2312"/>
          <w:color w:val="000000" w:themeColor="text1"/>
          <w:sz w:val="28"/>
          <w:szCs w:val="28"/>
          <w:lang w:val="en-US" w:eastAsia="zh-CN"/>
          <w14:textFill>
            <w14:solidFill>
              <w14:schemeClr w14:val="tx1"/>
            </w14:solidFill>
          </w14:textFill>
        </w:rPr>
        <w:t>如表6-2、图6-3所示：</w:t>
      </w:r>
    </w:p>
    <w:p w14:paraId="66FD2A31">
      <w:pPr>
        <w:jc w:val="center"/>
        <w:rPr>
          <w:sz w:val="24"/>
          <w:szCs w:val="24"/>
        </w:rPr>
      </w:pPr>
      <w:r>
        <w:rPr>
          <w:rFonts w:hint="eastAsia" w:ascii="楷体_GB2312" w:hAnsi="楷体_GB2312" w:eastAsia="楷体_GB2312" w:cs="楷体_GB2312"/>
          <w:sz w:val="24"/>
          <w:szCs w:val="24"/>
        </w:rPr>
        <w:t xml:space="preserve">表 </w:t>
      </w:r>
      <w:bookmarkStart w:id="441" w:name="_Toc17651"/>
      <w:bookmarkStart w:id="442" w:name="_Toc25105"/>
      <w:bookmarkStart w:id="443" w:name="_Toc32333"/>
      <w:bookmarkStart w:id="444" w:name="_Toc14132"/>
      <w:r>
        <w:rPr>
          <w:rFonts w:hint="eastAsia" w:ascii="楷体_GB2312" w:hAnsi="楷体_GB2312" w:eastAsia="楷体_GB2312" w:cs="楷体_GB2312"/>
          <w:sz w:val="24"/>
          <w:szCs w:val="24"/>
          <w:lang w:val="en-US" w:eastAsia="zh-CN"/>
        </w:rPr>
        <w:t>6-2</w:t>
      </w:r>
      <w:r>
        <w:rPr>
          <w:rFonts w:hint="eastAsia" w:ascii="楷体_GB2312" w:hAnsi="楷体_GB2312" w:eastAsia="楷体_GB2312" w:cs="楷体_GB2312"/>
          <w:sz w:val="24"/>
          <w:szCs w:val="24"/>
        </w:rPr>
        <w:t xml:space="preserve"> </w:t>
      </w:r>
      <w:bookmarkEnd w:id="441"/>
      <w:bookmarkEnd w:id="442"/>
      <w:bookmarkEnd w:id="443"/>
      <w:r>
        <w:rPr>
          <w:rFonts w:hint="eastAsia" w:ascii="楷体_GB2312" w:hAnsi="楷体_GB2312" w:eastAsia="楷体_GB2312" w:cs="楷体_GB2312"/>
          <w:sz w:val="24"/>
          <w:szCs w:val="24"/>
        </w:rPr>
        <w:t>202</w:t>
      </w:r>
      <w:r>
        <w:rPr>
          <w:rFonts w:hint="eastAsia" w:ascii="楷体_GB2312" w:hAnsi="楷体_GB2312" w:eastAsia="楷体_GB2312" w:cs="楷体_GB2312"/>
          <w:sz w:val="24"/>
          <w:szCs w:val="24"/>
          <w:lang w:val="en-US" w:eastAsia="zh-CN"/>
        </w:rPr>
        <w:t>4</w:t>
      </w:r>
      <w:r>
        <w:rPr>
          <w:rFonts w:hint="eastAsia" w:ascii="楷体_GB2312" w:hAnsi="楷体_GB2312" w:eastAsia="楷体_GB2312" w:cs="楷体_GB2312"/>
          <w:sz w:val="24"/>
          <w:szCs w:val="24"/>
        </w:rPr>
        <w:t>年项目投入情况一览表</w:t>
      </w:r>
      <w:bookmarkEnd w:id="444"/>
    </w:p>
    <w:tbl>
      <w:tblPr>
        <w:tblStyle w:val="17"/>
        <w:tblW w:w="838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57"/>
        <w:gridCol w:w="3541"/>
      </w:tblGrid>
      <w:tr w14:paraId="114A3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jc w:val="center"/>
        </w:trPr>
        <w:tc>
          <w:tcPr>
            <w:tcW w:w="8398" w:type="dxa"/>
            <w:gridSpan w:val="2"/>
            <w:tcBorders>
              <w:top w:val="nil"/>
              <w:left w:val="nil"/>
              <w:bottom w:val="nil"/>
              <w:right w:val="nil"/>
            </w:tcBorders>
            <w:shd w:val="clear" w:color="auto" w:fill="auto"/>
            <w:noWrap/>
            <w:vAlign w:val="center"/>
          </w:tcPr>
          <w:p w14:paraId="5EE6D8F4">
            <w:pPr>
              <w:keepNext w:val="0"/>
              <w:keepLines w:val="0"/>
              <w:widowControl/>
              <w:suppressLineNumbers w:val="0"/>
              <w:jc w:val="center"/>
              <w:textAlignment w:val="center"/>
              <w:rPr>
                <w:rFonts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2024年项目投入情况一览表</w:t>
            </w:r>
          </w:p>
        </w:tc>
      </w:tr>
      <w:tr w14:paraId="34F34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7C607793">
            <w:pPr>
              <w:keepNext w:val="0"/>
              <w:keepLines w:val="0"/>
              <w:widowControl/>
              <w:suppressLineNumbers w:val="0"/>
              <w:jc w:val="center"/>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250ED4">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项目投入总额（万元）</w:t>
            </w:r>
          </w:p>
        </w:tc>
      </w:tr>
      <w:tr w14:paraId="7B39E8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C4A348B">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山东省高水平中职校建设投入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5C066C">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49.5</w:t>
            </w:r>
          </w:p>
        </w:tc>
      </w:tr>
      <w:tr w14:paraId="37FB9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81E763">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学生公寓建设投入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26EFA44">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30</w:t>
            </w:r>
          </w:p>
        </w:tc>
      </w:tr>
      <w:tr w14:paraId="22EA8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933FC3">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技能大赛奖励投入（服装专业）</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F3D97BC">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6</w:t>
            </w:r>
          </w:p>
        </w:tc>
      </w:tr>
      <w:tr w14:paraId="7D130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F23EFE">
            <w:pPr>
              <w:keepNext w:val="0"/>
              <w:keepLines w:val="0"/>
              <w:widowControl/>
              <w:suppressLineNumbers w:val="0"/>
              <w:jc w:val="lef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设备购置项目投入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9EB9A45">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177.2</w:t>
            </w:r>
          </w:p>
        </w:tc>
      </w:tr>
      <w:tr w14:paraId="3BFD4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22906A">
            <w:pPr>
              <w:keepNext w:val="0"/>
              <w:keepLines w:val="0"/>
              <w:widowControl/>
              <w:suppressLineNumbers w:val="0"/>
              <w:jc w:val="center"/>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99E441">
            <w:pPr>
              <w:keepNext w:val="0"/>
              <w:keepLines w:val="0"/>
              <w:widowControl/>
              <w:suppressLineNumbers w:val="0"/>
              <w:jc w:val="right"/>
              <w:textAlignment w:val="bottom"/>
              <w:rPr>
                <w:rFonts w:hint="eastAsia" w:ascii="仿宋_GB2312" w:hAnsi="宋体" w:eastAsia="仿宋_GB2312" w:cs="仿宋_GB2312"/>
                <w:i w:val="0"/>
                <w:iCs w:val="0"/>
                <w:color w:val="000000"/>
                <w:sz w:val="28"/>
                <w:szCs w:val="28"/>
                <w:u w:val="none"/>
              </w:rPr>
            </w:pPr>
            <w:r>
              <w:rPr>
                <w:rFonts w:hint="eastAsia" w:ascii="仿宋_GB2312" w:hAnsi="宋体" w:eastAsia="仿宋_GB2312" w:cs="仿宋_GB2312"/>
                <w:i w:val="0"/>
                <w:iCs w:val="0"/>
                <w:color w:val="000000"/>
                <w:kern w:val="0"/>
                <w:sz w:val="28"/>
                <w:szCs w:val="28"/>
                <w:u w:val="none"/>
                <w:lang w:val="en-US" w:eastAsia="zh-CN" w:bidi="ar"/>
              </w:rPr>
              <w:t>262.7</w:t>
            </w:r>
          </w:p>
        </w:tc>
      </w:tr>
    </w:tbl>
    <w:p w14:paraId="1AB5482F">
      <w:pPr>
        <w:jc w:val="center"/>
      </w:pPr>
    </w:p>
    <w:p w14:paraId="4795B2F0">
      <w:pPr>
        <w:jc w:val="center"/>
      </w:pPr>
      <w:r>
        <w:drawing>
          <wp:inline distT="0" distB="0" distL="114300" distR="114300">
            <wp:extent cx="4857115" cy="3154045"/>
            <wp:effectExtent l="4445" t="4445" r="15240" b="11430"/>
            <wp:docPr id="18" name="图表 4" descr="7b0a202020202263686172745265734964223a202234353536333835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ECF1516">
      <w:pPr>
        <w:pStyle w:val="6"/>
        <w:ind w:firstLine="480" w:firstLineChars="200"/>
        <w:jc w:val="center"/>
        <w:rPr>
          <w:rFonts w:hint="eastAsia" w:ascii="楷体_GB2312" w:hAnsi="楷体_GB2312" w:eastAsia="楷体_GB2312" w:cs="楷体_GB2312"/>
          <w:sz w:val="24"/>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3</w:t>
      </w:r>
      <w:r>
        <w:rPr>
          <w:rFonts w:hint="eastAsia" w:ascii="楷体_GB2312" w:hAnsi="楷体_GB2312" w:eastAsia="楷体_GB2312" w:cs="楷体_GB2312"/>
          <w:sz w:val="24"/>
        </w:rPr>
        <w:fldChar w:fldCharType="end"/>
      </w:r>
      <w:bookmarkStart w:id="445" w:name="_Toc12166"/>
      <w:bookmarkStart w:id="446" w:name="_Toc31052"/>
      <w:bookmarkStart w:id="447" w:name="_Toc16029"/>
      <w:bookmarkStart w:id="448" w:name="_Toc27617"/>
      <w:bookmarkStart w:id="449" w:name="_Toc4409"/>
      <w:r>
        <w:rPr>
          <w:rFonts w:hint="eastAsia" w:ascii="楷体_GB2312" w:hAnsi="楷体_GB2312" w:eastAsia="楷体_GB2312" w:cs="楷体_GB2312"/>
          <w:sz w:val="24"/>
        </w:rPr>
        <w:t xml:space="preserve"> 202</w:t>
      </w:r>
      <w:r>
        <w:rPr>
          <w:rFonts w:hint="eastAsia" w:ascii="楷体_GB2312" w:hAnsi="楷体_GB2312" w:eastAsia="楷体_GB2312" w:cs="楷体_GB2312"/>
          <w:sz w:val="24"/>
          <w:lang w:val="en-US" w:eastAsia="zh-CN"/>
        </w:rPr>
        <w:t>4</w:t>
      </w:r>
      <w:r>
        <w:rPr>
          <w:rFonts w:hint="eastAsia" w:ascii="楷体_GB2312" w:hAnsi="楷体_GB2312" w:eastAsia="楷体_GB2312" w:cs="楷体_GB2312"/>
          <w:sz w:val="24"/>
        </w:rPr>
        <w:t>年项目投入情况</w:t>
      </w:r>
      <w:bookmarkEnd w:id="445"/>
      <w:bookmarkEnd w:id="446"/>
      <w:bookmarkEnd w:id="447"/>
      <w:bookmarkEnd w:id="448"/>
      <w:bookmarkEnd w:id="449"/>
    </w:p>
    <w:p w14:paraId="3D97A11C">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楷体_GB2312" w:hAnsi="楷体_GB2312" w:eastAsia="楷体_GB2312" w:cs="楷体_GB2312"/>
          <w:kern w:val="2"/>
          <w:sz w:val="24"/>
          <w:szCs w:val="24"/>
          <w:lang w:val="en-US" w:eastAsia="zh-CN" w:bidi="ar-SA"/>
        </w:rPr>
      </w:pPr>
      <w:r>
        <w:rPr>
          <w:rFonts w:hint="eastAsia" w:ascii="楷体_GB2312" w:hAnsi="楷体_GB2312" w:eastAsia="楷体_GB2312" w:cs="楷体_GB2312"/>
          <w:kern w:val="2"/>
          <w:sz w:val="24"/>
          <w:szCs w:val="24"/>
          <w:lang w:val="en-US" w:eastAsia="zh-CN" w:bidi="ar-SA"/>
        </w:rPr>
        <w:t>（数据来源：学校财务处）</w:t>
      </w:r>
    </w:p>
    <w:bookmarkEnd w:id="427"/>
    <w:p w14:paraId="561DEFE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2.推动政策落实提升办学水平。</w:t>
      </w:r>
    </w:p>
    <w:p w14:paraId="4FAD0B7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淄博理工学校坚持以习近平新时代中国特色社会主义思想为指导，深入落实省、市各项决策部署和工作要求，以改革增强活力、提高质量、推动发展，一些标志性改革举措取得显著成效，培养质量稳步提高，专业布局持续优化，技能人才培养质量和社会服务能力全面提高，师生的获得感全面强化。</w:t>
      </w:r>
    </w:p>
    <w:p w14:paraId="573E4BE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w:t>
      </w:r>
      <w:r>
        <w:rPr>
          <w:rFonts w:hint="eastAsia" w:ascii="楷体_GB2312" w:hAnsi="楷体_GB2312" w:eastAsia="楷体_GB2312" w:cs="楷体_GB2312"/>
          <w:color w:val="000000" w:themeColor="text1"/>
          <w:sz w:val="28"/>
          <w:szCs w:val="28"/>
          <w14:textFill>
            <w14:solidFill>
              <w14:schemeClr w14:val="tx1"/>
            </w14:solidFill>
          </w14:textFill>
        </w:rPr>
        <w:t>人才培养与专业建设提质增效，供需对接更加精准</w:t>
      </w:r>
    </w:p>
    <w:p w14:paraId="76376A9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推进五年制高等职业教育贯通培养项目，学校与淄博职业技术大学、山东轻工职业学院、淄博师范高等专科学校、山东工业职业学院等院校共建9个五年制贯通培养专业，为学生搭建起更为畅通的学历提升和职业发展通道。建立专业动态调整机制，新增新能源汽车运用与维修、虚拟现实技术应用、高星级饭店运营与管理等贴合产业需求的专业，专业结构与产业结构更加匹配，人才培养的针对性和适应性显著提升。</w:t>
      </w:r>
    </w:p>
    <w:p w14:paraId="2FD022E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4.师资队伍建设不断加强，“双师”素养显著提升</w:t>
      </w:r>
    </w:p>
    <w:p w14:paraId="44B47FA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组织专业教师深入企业一线，参与企业生产实践、技术研发等工作。邀请企业技术骨干、行业专家走进校园，有效提升了教师的实践教学能力和专业技术水平。学校专业课教师中“双师型”比例稳定在80％以上。从产教联合体成员单位中选聘具有丰富行业经验、精湛技术技能的企业高管、技术总监和技能大师担任产业教授，为人才培养注入鲜活的产业元素。</w:t>
      </w:r>
    </w:p>
    <w:p w14:paraId="0F364D29">
      <w:pPr>
        <w:jc w:val="cente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2837180" cy="2160270"/>
            <wp:effectExtent l="0" t="0" r="12700" b="3810"/>
            <wp:docPr id="41" name="图片 41" descr="7a63d773-7032-4eb1-a1c9-a4d3c0331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a63d773-7032-4eb1-a1c9-a4d3c0331bac"/>
                    <pic:cNvPicPr>
                      <a:picLocks noChangeAspect="1"/>
                    </pic:cNvPicPr>
                  </pic:nvPicPr>
                  <pic:blipFill>
                    <a:blip r:embed="rId83"/>
                    <a:stretch>
                      <a:fillRect/>
                    </a:stretch>
                  </pic:blipFill>
                  <pic:spPr>
                    <a:xfrm>
                      <a:off x="0" y="0"/>
                      <a:ext cx="2837180" cy="2160270"/>
                    </a:xfrm>
                    <a:prstGeom prst="rect">
                      <a:avLst/>
                    </a:prstGeom>
                  </pic:spPr>
                </pic:pic>
              </a:graphicData>
            </a:graphic>
          </wp:inline>
        </w:drawing>
      </w:r>
    </w:p>
    <w:p w14:paraId="109DDA01">
      <w:pPr>
        <w:jc w:val="center"/>
        <w:rPr>
          <w:rFonts w:hint="eastAsia" w:ascii="仿宋_GB2312" w:hAnsi="仿宋" w:eastAsia="仿宋_GB2312"/>
          <w:color w:val="000000" w:themeColor="text1"/>
          <w:sz w:val="28"/>
          <w:szCs w:val="28"/>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4</w:t>
      </w:r>
      <w:r>
        <w:rPr>
          <w:rFonts w:hint="eastAsia" w:ascii="楷体_GB2312" w:hAnsi="楷体_GB2312" w:eastAsia="楷体_GB2312" w:cs="楷体_GB2312"/>
          <w:sz w:val="24"/>
        </w:rPr>
        <w:fldChar w:fldCharType="end"/>
      </w:r>
      <w:bookmarkStart w:id="450" w:name="_Toc32097"/>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指导教师为学生讲解加工技巧</w:t>
      </w:r>
      <w:bookmarkEnd w:id="450"/>
    </w:p>
    <w:p w14:paraId="4CE82F4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5.产教融合与校企合作深化拓展，平台载体更加坚实</w:t>
      </w:r>
    </w:p>
    <w:p w14:paraId="3E4D861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通过整合校企双方资源，共建现代产业学院、公共实训项目，实现教学与生产、实训与岗位的深度融合。学校与山东轻工职业学院、鲁泰集团联合申报的成果荣获中国服装纺织教育学会教学成果竞赛二等奖。推动产学研用，服务区域发展，学校与山东省国瓷陶艺书画院共建了山东省第一批工匠学院—淄博市陶瓷琉璃工匠学院，联合企业申报三个开放型区域产教融合实践中心，为区域内企业提供生产与技术服务。</w:t>
      </w:r>
    </w:p>
    <w:p w14:paraId="2A4D7180">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eastAsia="zh-CN"/>
        </w:rPr>
      </w:pPr>
      <w:bookmarkStart w:id="451" w:name="_Toc14516"/>
      <w:r>
        <w:rPr>
          <w:rFonts w:hint="eastAsia" w:ascii="黑体" w:hAnsi="黑体" w:eastAsia="黑体" w:cs="黑体"/>
          <w:b w:val="0"/>
          <w:bCs w:val="0"/>
          <w:sz w:val="30"/>
          <w:szCs w:val="30"/>
          <w:lang w:val="en-US" w:eastAsia="zh-CN"/>
        </w:rPr>
        <w:t>（三）</w:t>
      </w:r>
      <w:r>
        <w:rPr>
          <w:rFonts w:hint="eastAsia" w:ascii="黑体" w:hAnsi="黑体" w:eastAsia="黑体" w:cs="黑体"/>
          <w:b w:val="0"/>
          <w:bCs w:val="0"/>
          <w:sz w:val="30"/>
          <w:szCs w:val="30"/>
          <w:lang w:eastAsia="zh-CN"/>
        </w:rPr>
        <w:t>师资队伍</w:t>
      </w:r>
      <w:bookmarkEnd w:id="451"/>
    </w:p>
    <w:p w14:paraId="197FE467">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学校始终将师资队伍建设置于内涵发展的核心位置，秉持“引培并举、梯次发展、团队共进”的原则，系统构建并深入实践“进阶＋引领”双轮驱动培养体系，有效推动了教师队伍整体素质的持续提升。</w:t>
      </w:r>
    </w:p>
    <w:p w14:paraId="34990C3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1.系统构建“五级进阶”成长通道，激活教师专业发展内驱力</w:t>
      </w:r>
    </w:p>
    <w:p w14:paraId="6CC80CB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为打破教师职业发展的“天花板”，学校创新设计并实施了“教坛新秀→骨干教师→教学能手→教学名师→教学专家”五级递进式培养阶梯。该体系为每一层级设定了明确的素质能力标准与考核评价指标，并将其与薪酬待遇、职称晋升、荣誉评定等直接关联，形成了一套目标清晰、路径明确、激励有效的成长导航系统</w:t>
      </w:r>
      <w:r>
        <w:rPr>
          <w:rFonts w:hint="eastAsia" w:ascii="仿宋_GB2312" w:hAnsi="仿宋" w:eastAsia="仿宋_GB2312"/>
          <w:color w:val="000000" w:themeColor="text1"/>
          <w:sz w:val="28"/>
          <w:szCs w:val="28"/>
          <w14:textFill>
            <w14:solidFill>
              <w14:schemeClr w14:val="tx1"/>
            </w14:solidFill>
          </w14:textFill>
        </w:rPr>
        <w:t>。</w:t>
      </w:r>
    </w:p>
    <w:p w14:paraId="3DC22F5B">
      <w:pPr>
        <w:jc w:val="center"/>
        <w:rPr>
          <w:rFonts w:ascii="仿宋_GB2312" w:eastAsia="仿宋_GB2312"/>
          <w:color w:val="000000" w:themeColor="text1"/>
          <w:sz w:val="28"/>
          <w:szCs w:val="28"/>
          <w14:textFill>
            <w14:solidFill>
              <w14:schemeClr w14:val="tx1"/>
            </w14:solidFill>
          </w14:textFill>
        </w:rPr>
      </w:pPr>
      <w:r>
        <w:rPr>
          <w:rFonts w:hint="default" w:ascii="仿宋_GB2312" w:hAnsi="仿宋_GB2312" w:eastAsia="仿宋_GB2312" w:cs="仿宋_GB2312"/>
          <w:b w:val="0"/>
          <w:bCs w:val="0"/>
          <w:i w:val="0"/>
          <w:iCs w:val="0"/>
          <w:caps w:val="0"/>
          <w:color w:val="auto"/>
          <w:spacing w:val="0"/>
          <w:kern w:val="2"/>
          <w:sz w:val="28"/>
          <w:szCs w:val="28"/>
          <w:shd w:val="clear" w:fill="FFFFFF"/>
          <w:lang w:val="en-US" w:eastAsia="zh-CN" w:bidi="ar-SA"/>
        </w:rPr>
        <w:drawing>
          <wp:inline distT="0" distB="0" distL="114300" distR="114300">
            <wp:extent cx="4056380" cy="2160270"/>
            <wp:effectExtent l="0" t="0" r="12700" b="3810"/>
            <wp:docPr id="19" name="图片 19" descr="上课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上课照片1"/>
                    <pic:cNvPicPr>
                      <a:picLocks noChangeAspect="1"/>
                    </pic:cNvPicPr>
                  </pic:nvPicPr>
                  <pic:blipFill>
                    <a:blip r:embed="rId84"/>
                    <a:stretch>
                      <a:fillRect/>
                    </a:stretch>
                  </pic:blipFill>
                  <pic:spPr>
                    <a:xfrm>
                      <a:off x="0" y="0"/>
                      <a:ext cx="4056380" cy="2160270"/>
                    </a:xfrm>
                    <a:prstGeom prst="rect">
                      <a:avLst/>
                    </a:prstGeom>
                  </pic:spPr>
                </pic:pic>
              </a:graphicData>
            </a:graphic>
          </wp:inline>
        </w:drawing>
      </w:r>
    </w:p>
    <w:p w14:paraId="6D6F3FC6">
      <w:pPr>
        <w:pStyle w:val="6"/>
        <w:spacing w:line="400" w:lineRule="exact"/>
        <w:jc w:val="cente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5</w:t>
      </w:r>
      <w:r>
        <w:rPr>
          <w:rFonts w:hint="eastAsia" w:ascii="楷体_GB2312" w:hAnsi="楷体_GB2312" w:eastAsia="楷体_GB2312" w:cs="楷体_GB2312"/>
          <w:sz w:val="24"/>
        </w:rPr>
        <w:fldChar w:fldCharType="end"/>
      </w:r>
      <w:bookmarkStart w:id="452" w:name="_Toc312"/>
      <w:bookmarkStart w:id="453" w:name="_Toc17946"/>
      <w:bookmarkStart w:id="454" w:name="_Toc20875"/>
      <w:bookmarkStart w:id="455" w:name="_Toc28813"/>
      <w:r>
        <w:rPr>
          <w:rFonts w:hint="eastAsia" w:ascii="楷体_GB2312" w:hAnsi="楷体_GB2312" w:eastAsia="楷体_GB2312" w:cs="楷体_GB2312"/>
          <w:sz w:val="24"/>
        </w:rPr>
        <w:t xml:space="preserve"> </w:t>
      </w:r>
      <w:bookmarkEnd w:id="452"/>
      <w:bookmarkEnd w:id="453"/>
      <w:bookmarkEnd w:id="454"/>
      <w:r>
        <w:rPr>
          <w:rFonts w:hint="eastAsia" w:ascii="楷体_GB2312" w:hAnsi="楷体_GB2312" w:eastAsia="楷体_GB2312" w:cs="楷体_GB2312"/>
          <w:sz w:val="24"/>
        </w:rPr>
        <w:t>教师教学能力提升培训</w:t>
      </w:r>
      <w:bookmarkEnd w:id="455"/>
    </w:p>
    <w:p w14:paraId="177E749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2.全面强化“四大引领”支撑平台，凝聚教师团队协同发展合力</w:t>
      </w:r>
    </w:p>
    <w:p w14:paraId="13FFA9A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学校以各级名师为核心引擎，着力打造四大引领平台，将个体优势转化为群体效能，形成了强大的“聚能环”效应。</w:t>
      </w:r>
    </w:p>
    <w:p w14:paraId="7B044B9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实施教学示范引领：实施名师“一师一案”个性化培养方案，鼓励其深耕课堂，打造系列高品质示范课与公开课。通过可视化呈现项目教学、情境教学等创新方法与先进理念，为全校教师提供了“看得见、学得会”的鲜活样板，有力推动了课堂教学改革</w:t>
      </w:r>
      <w:r>
        <w:rPr>
          <w:rFonts w:hint="eastAsia" w:ascii="仿宋_GB2312" w:hAnsi="仿宋" w:eastAsia="仿宋_GB2312"/>
          <w:color w:val="000000" w:themeColor="text1"/>
          <w:sz w:val="28"/>
          <w:szCs w:val="28"/>
          <w14:textFill>
            <w14:solidFill>
              <w14:schemeClr w14:val="tx1"/>
            </w14:solidFill>
          </w14:textFill>
        </w:rPr>
        <w:t>。</w:t>
      </w:r>
    </w:p>
    <w:p w14:paraId="629C5837">
      <w:pPr>
        <w:spacing w:line="400" w:lineRule="exact"/>
        <w:ind w:firstLine="560" w:firstLineChars="200"/>
        <w:rPr>
          <w:rFonts w:ascii="仿宋_GB2312" w:hAnsi="仿宋_GB2312" w:eastAsia="仿宋_GB2312" w:cs="仿宋_GB2312"/>
          <w:sz w:val="28"/>
          <w:szCs w:val="28"/>
        </w:rPr>
      </w:pPr>
    </w:p>
    <w:p w14:paraId="0671C6A0">
      <w:pPr>
        <w:jc w:val="center"/>
        <w:rPr>
          <w:rFonts w:hint="eastAsia" w:ascii="仿宋_GB2312" w:eastAsia="仿宋_GB2312"/>
          <w:color w:val="000000" w:themeColor="text1"/>
          <w:sz w:val="28"/>
          <w:szCs w:val="28"/>
          <w:lang w:eastAsia="zh-CN"/>
          <w14:textFill>
            <w14:solidFill>
              <w14:schemeClr w14:val="tx1"/>
            </w14:solidFill>
          </w14:textFill>
        </w:rPr>
      </w:pPr>
      <w:r>
        <w:rPr>
          <w:rFonts w:hint="default" w:ascii="仿宋_GB2312" w:hAnsi="仿宋_GB2312" w:eastAsia="仿宋_GB2312" w:cs="仿宋_GB2312"/>
          <w:b w:val="0"/>
          <w:bCs w:val="0"/>
          <w:i w:val="0"/>
          <w:iCs w:val="0"/>
          <w:caps w:val="0"/>
          <w:color w:val="auto"/>
          <w:spacing w:val="0"/>
          <w:kern w:val="2"/>
          <w:sz w:val="28"/>
          <w:szCs w:val="28"/>
          <w:shd w:val="clear" w:fill="FFFFFF"/>
          <w:lang w:val="en-US" w:eastAsia="zh-CN" w:bidi="ar-SA"/>
        </w:rPr>
        <w:drawing>
          <wp:inline distT="0" distB="0" distL="114300" distR="114300">
            <wp:extent cx="2884170" cy="2160270"/>
            <wp:effectExtent l="0" t="0" r="11430" b="3810"/>
            <wp:docPr id="24" name="图片 24" descr="赵双-省优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赵双-省优课"/>
                    <pic:cNvPicPr>
                      <a:picLocks noChangeAspect="1"/>
                    </pic:cNvPicPr>
                  </pic:nvPicPr>
                  <pic:blipFill>
                    <a:blip r:embed="rId85"/>
                    <a:stretch>
                      <a:fillRect/>
                    </a:stretch>
                  </pic:blipFill>
                  <pic:spPr>
                    <a:xfrm>
                      <a:off x="0" y="0"/>
                      <a:ext cx="2884170" cy="2160270"/>
                    </a:xfrm>
                    <a:prstGeom prst="rect">
                      <a:avLst/>
                    </a:prstGeom>
                  </pic:spPr>
                </pic:pic>
              </a:graphicData>
            </a:graphic>
          </wp:inline>
        </w:drawing>
      </w:r>
    </w:p>
    <w:p w14:paraId="7FE5B9F3">
      <w:pPr>
        <w:pStyle w:val="6"/>
        <w:spacing w:line="400" w:lineRule="exact"/>
        <w:jc w:val="center"/>
        <w:rPr>
          <w:rFonts w:hint="eastAsia" w:ascii="楷体_GB2312" w:hAnsi="楷体_GB2312" w:eastAsia="楷体_GB2312" w:cs="楷体_GB2312"/>
          <w:sz w:val="24"/>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6</w:t>
      </w:r>
      <w:r>
        <w:rPr>
          <w:rFonts w:hint="eastAsia" w:ascii="楷体_GB2312" w:hAnsi="楷体_GB2312" w:eastAsia="楷体_GB2312" w:cs="楷体_GB2312"/>
          <w:sz w:val="24"/>
        </w:rPr>
        <w:fldChar w:fldCharType="end"/>
      </w:r>
      <w:bookmarkStart w:id="456" w:name="_Toc4408"/>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名师优课</w:t>
      </w:r>
      <w:bookmarkEnd w:id="456"/>
    </w:p>
    <w:p w14:paraId="3F8B64D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精准培训引领：变革传统培训模式，由名师主导开展主题化、模块化、互动式的校本研修。培训内容紧密对接教改前沿与教学实需，采用案例研讨、工作坊等多元形式，提升了培训的针对性与实效性，成为教师专业成长的精准“加油站”。</w:t>
      </w:r>
    </w:p>
    <w:p w14:paraId="0F362E4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教研攻关引领：推行“名师领衔·团队攻坚”的教研模式。名师牵头组建跨领域项目团队，聚焦课程思政、岗课赛证融通等关键课题进行深度研究。通过定期举办成果分享与反思沙龙，促进研究成果向教学实践的转化，有效破解了教育教学中的难点问题</w:t>
      </w:r>
      <w:r>
        <w:rPr>
          <w:rFonts w:hint="eastAsia" w:ascii="仿宋_GB2312" w:hAnsi="仿宋" w:eastAsia="仿宋_GB2312"/>
          <w:color w:val="000000" w:themeColor="text1"/>
          <w:sz w:val="28"/>
          <w:szCs w:val="28"/>
          <w14:textFill>
            <w14:solidFill>
              <w14:schemeClr w14:val="tx1"/>
            </w14:solidFill>
          </w14:textFill>
        </w:rPr>
        <w:t>。</w:t>
      </w:r>
    </w:p>
    <w:p w14:paraId="5DC0BC4C">
      <w:pPr>
        <w:jc w:val="center"/>
        <w:rPr>
          <w:rFonts w:hint="eastAsia" w:ascii="仿宋_GB2312" w:eastAsia="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b w:val="0"/>
          <w:bCs w:val="0"/>
          <w:i w:val="0"/>
          <w:iCs w:val="0"/>
          <w:caps w:val="0"/>
          <w:color w:val="auto"/>
          <w:spacing w:val="0"/>
          <w:kern w:val="2"/>
          <w:sz w:val="28"/>
          <w:szCs w:val="28"/>
          <w:shd w:val="clear" w:fill="FFFFFF"/>
          <w:lang w:val="en-US" w:eastAsia="zh-CN" w:bidi="ar-SA"/>
        </w:rPr>
        <w:drawing>
          <wp:inline distT="0" distB="0" distL="114300" distR="114300">
            <wp:extent cx="2875280" cy="2160270"/>
            <wp:effectExtent l="0" t="0" r="5080" b="3810"/>
            <wp:docPr id="35" name="图片 35" descr="王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王萍"/>
                    <pic:cNvPicPr>
                      <a:picLocks noChangeAspect="1"/>
                    </pic:cNvPicPr>
                  </pic:nvPicPr>
                  <pic:blipFill>
                    <a:blip r:embed="rId86"/>
                    <a:stretch>
                      <a:fillRect/>
                    </a:stretch>
                  </pic:blipFill>
                  <pic:spPr>
                    <a:xfrm>
                      <a:off x="0" y="0"/>
                      <a:ext cx="2875280" cy="2160270"/>
                    </a:xfrm>
                    <a:prstGeom prst="rect">
                      <a:avLst/>
                    </a:prstGeom>
                  </pic:spPr>
                </pic:pic>
              </a:graphicData>
            </a:graphic>
          </wp:inline>
        </w:drawing>
      </w:r>
    </w:p>
    <w:p w14:paraId="7E07DB80">
      <w:pPr>
        <w:pStyle w:val="6"/>
        <w:spacing w:line="400" w:lineRule="exact"/>
        <w:jc w:val="center"/>
        <w:rPr>
          <w:rFonts w:hint="default" w:ascii="仿宋_GB2312" w:hAnsi="仿宋_GB2312" w:eastAsia="仿宋_GB2312" w:cs="仿宋_GB2312"/>
          <w:sz w:val="28"/>
          <w:szCs w:val="28"/>
          <w:lang w:val="en-US"/>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7</w:t>
      </w:r>
      <w:r>
        <w:rPr>
          <w:rFonts w:hint="eastAsia" w:ascii="楷体_GB2312" w:hAnsi="楷体_GB2312" w:eastAsia="楷体_GB2312" w:cs="楷体_GB2312"/>
          <w:sz w:val="24"/>
        </w:rPr>
        <w:fldChar w:fldCharType="end"/>
      </w:r>
      <w:bookmarkStart w:id="457" w:name="_Toc21246"/>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课例研讨</w:t>
      </w:r>
      <w:bookmarkEnd w:id="457"/>
    </w:p>
    <w:p w14:paraId="6304366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团队生态引领：以“名师工作室”“教学创新团队”为载体，构建了教学、科研、大赛等多类型教师成长共同体。这些共同体围绕明确目标协同作战，实现了资源共享、智慧互启，促进了“双师型”教师能力提升与青年教师快速成长，形成了“1+1&gt;2”的团队合力与协同成长生态</w:t>
      </w:r>
      <w:r>
        <w:rPr>
          <w:rFonts w:hint="eastAsia" w:ascii="仿宋_GB2312" w:hAnsi="仿宋" w:eastAsia="仿宋_GB2312"/>
          <w:color w:val="000000" w:themeColor="text1"/>
          <w:sz w:val="28"/>
          <w:szCs w:val="28"/>
          <w14:textFill>
            <w14:solidFill>
              <w14:schemeClr w14:val="tx1"/>
            </w14:solidFill>
          </w14:textFill>
        </w:rPr>
        <w:t>。</w:t>
      </w:r>
    </w:p>
    <w:p w14:paraId="09B4BD1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3.持续夯实“引育结合”基础工程，优化师资队伍结构与根基</w:t>
      </w:r>
    </w:p>
    <w:p w14:paraId="2290335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default" w:ascii="仿宋_GB2312" w:hAnsi="仿宋" w:eastAsia="仿宋_GB2312"/>
          <w:color w:val="000000" w:themeColor="text1"/>
          <w:sz w:val="28"/>
          <w:szCs w:val="28"/>
          <w:lang w:val="en-US" w:eastAsia="zh-CN"/>
          <w14:textFill>
            <w14:solidFill>
              <w14:schemeClr w14:val="tx1"/>
            </w14:solidFill>
          </w14:textFill>
        </w:rPr>
        <w:t>在“引才”方面，</w:t>
      </w: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default" w:ascii="仿宋_GB2312" w:hAnsi="仿宋" w:eastAsia="仿宋_GB2312"/>
          <w:color w:val="000000" w:themeColor="text1"/>
          <w:sz w:val="28"/>
          <w:szCs w:val="28"/>
          <w:lang w:val="en-US" w:eastAsia="zh-CN"/>
          <w14:textFill>
            <w14:solidFill>
              <w14:schemeClr w14:val="tx1"/>
            </w14:solidFill>
          </w14:textFill>
        </w:rPr>
        <w:t>学校严把入口关，积极拓宽渠道，精准引进高学历、高技能人才，持续优化师资队伍的学历结构与专业背景。在“育才”方面，高度重视新教师培养，通过规范化、情感化的“师徒结对”促进经验传承与文化融入，依托精准化的“专项听评课”活动进行诊断与指导，助力新教师快速实现角色转换，站稳讲台，筑牢了师资队伍持续壮大的“蓄水池”</w:t>
      </w:r>
      <w:r>
        <w:rPr>
          <w:rFonts w:hint="eastAsia" w:ascii="仿宋_GB2312" w:hAnsi="仿宋" w:eastAsia="仿宋_GB2312"/>
          <w:color w:val="000000" w:themeColor="text1"/>
          <w:sz w:val="28"/>
          <w:szCs w:val="28"/>
          <w:lang w:val="en-US" w:eastAsia="zh-CN"/>
          <w14:textFill>
            <w14:solidFill>
              <w14:schemeClr w14:val="tx1"/>
            </w14:solidFill>
          </w14:textFill>
        </w:rPr>
        <w:t>。</w:t>
      </w:r>
    </w:p>
    <w:p w14:paraId="36D66FDB">
      <w:pPr>
        <w:pStyle w:val="3"/>
        <w:pageBreakBefore w:val="0"/>
        <w:widowControl w:val="0"/>
        <w:kinsoku/>
        <w:wordWrap/>
        <w:overflowPunct/>
        <w:topLinePunct w:val="0"/>
        <w:autoSpaceDE/>
        <w:autoSpaceDN/>
        <w:bidi w:val="0"/>
        <w:adjustRightInd/>
        <w:snapToGrid/>
        <w:spacing w:before="0" w:after="0" w:line="560" w:lineRule="exact"/>
        <w:ind w:firstLine="602" w:firstLineChars="200"/>
        <w:textAlignment w:val="auto"/>
        <w:rPr>
          <w:rFonts w:ascii="楷体_GB2312" w:hAnsi="楷体_GB2312" w:eastAsia="楷体_GB2312" w:cs="楷体_GB2312"/>
          <w:sz w:val="30"/>
          <w:szCs w:val="30"/>
        </w:rPr>
      </w:pPr>
      <w:bookmarkStart w:id="458" w:name="_Toc28826"/>
      <w:bookmarkStart w:id="459" w:name="_Toc6809"/>
      <w:bookmarkStart w:id="460" w:name="_Toc8164"/>
      <w:bookmarkStart w:id="461" w:name="_Toc18694"/>
      <w:bookmarkStart w:id="462" w:name="_Toc24236"/>
      <w:bookmarkStart w:id="463" w:name="_Toc31796"/>
      <w:bookmarkStart w:id="464" w:name="_Toc2185"/>
      <w:bookmarkStart w:id="465" w:name="_Toc2761"/>
      <w:bookmarkStart w:id="466" w:name="_Toc16532"/>
      <w:bookmarkStart w:id="467" w:name="_Toc17160"/>
      <w:bookmarkStart w:id="468" w:name="_Toc27404"/>
      <w:bookmarkStart w:id="469" w:name="_Toc15554"/>
      <w:bookmarkStart w:id="470" w:name="_Toc458"/>
      <w:bookmarkStart w:id="471" w:name="_Toc27699"/>
      <w:bookmarkStart w:id="472" w:name="_Toc1069"/>
      <w:r>
        <w:rPr>
          <w:rFonts w:hint="eastAsia" w:ascii="楷体_GB2312" w:hAnsi="楷体_GB2312" w:eastAsia="楷体_GB2312" w:cs="楷体_GB2312"/>
          <w:sz w:val="30"/>
          <w:szCs w:val="30"/>
        </w:rPr>
        <w:t>案例</w:t>
      </w:r>
      <w:r>
        <w:rPr>
          <w:rFonts w:hint="eastAsia" w:ascii="楷体_GB2312" w:hAnsi="楷体_GB2312" w:eastAsia="楷体_GB2312" w:cs="楷体_GB2312"/>
          <w:sz w:val="30"/>
          <w:szCs w:val="30"/>
          <w:lang w:val="en-US" w:eastAsia="zh-CN"/>
        </w:rPr>
        <w:t>6-2</w:t>
      </w:r>
      <w:r>
        <w:rPr>
          <w:rFonts w:hint="eastAsia" w:ascii="楷体_GB2312" w:hAnsi="楷体_GB2312" w:eastAsia="楷体_GB2312" w:cs="楷体_GB2312"/>
          <w:sz w:val="30"/>
          <w:szCs w:val="30"/>
        </w:rPr>
        <w:t>：</w:t>
      </w:r>
      <w:bookmarkEnd w:id="458"/>
      <w:bookmarkEnd w:id="459"/>
      <w:bookmarkEnd w:id="460"/>
      <w:bookmarkEnd w:id="461"/>
      <w:bookmarkEnd w:id="462"/>
      <w:bookmarkEnd w:id="463"/>
      <w:bookmarkEnd w:id="464"/>
      <w:bookmarkEnd w:id="465"/>
      <w:bookmarkEnd w:id="466"/>
      <w:bookmarkEnd w:id="467"/>
      <w:bookmarkEnd w:id="468"/>
      <w:bookmarkEnd w:id="469"/>
      <w:r>
        <w:rPr>
          <w:rFonts w:hint="eastAsia" w:ascii="楷体_GB2312" w:hAnsi="楷体_GB2312" w:eastAsia="楷体_GB2312" w:cs="楷体_GB2312"/>
          <w:b/>
          <w:bCs/>
          <w:i w:val="0"/>
          <w:color w:val="0F1115"/>
          <w:spacing w:val="-6"/>
          <w:sz w:val="30"/>
          <w:szCs w:val="30"/>
        </w:rPr>
        <w:t>体系赋能，雏鹰振翅</w:t>
      </w:r>
      <w:r>
        <w:rPr>
          <w:rFonts w:hint="eastAsia" w:ascii="楷体_GB2312" w:hAnsi="楷体_GB2312" w:eastAsia="楷体_GB2312" w:cs="楷体_GB2312"/>
          <w:b/>
          <w:bCs/>
          <w:i w:val="0"/>
          <w:color w:val="0F1115"/>
          <w:spacing w:val="-6"/>
          <w:sz w:val="30"/>
          <w:szCs w:val="30"/>
          <w:lang w:eastAsia="zh-CN"/>
        </w:rPr>
        <w:t>——</w:t>
      </w:r>
      <w:r>
        <w:rPr>
          <w:rFonts w:hint="eastAsia" w:ascii="楷体_GB2312" w:hAnsi="楷体_GB2312" w:eastAsia="楷体_GB2312" w:cs="楷体_GB2312"/>
          <w:b/>
          <w:bCs/>
          <w:i w:val="0"/>
          <w:color w:val="0F1115"/>
          <w:spacing w:val="-6"/>
          <w:sz w:val="30"/>
          <w:szCs w:val="30"/>
          <w:lang w:val="en-US" w:eastAsia="zh-CN"/>
        </w:rPr>
        <w:t>淄博理工</w:t>
      </w:r>
      <w:r>
        <w:rPr>
          <w:rFonts w:hint="eastAsia" w:ascii="楷体_GB2312" w:hAnsi="楷体_GB2312" w:eastAsia="楷体_GB2312" w:cs="楷体_GB2312"/>
          <w:b/>
          <w:bCs/>
          <w:i w:val="0"/>
          <w:color w:val="0F1115"/>
          <w:spacing w:val="-6"/>
          <w:sz w:val="30"/>
          <w:szCs w:val="30"/>
        </w:rPr>
        <w:t>学校青年教师培养实践</w:t>
      </w:r>
      <w:bookmarkEnd w:id="470"/>
      <w:bookmarkEnd w:id="471"/>
      <w:bookmarkEnd w:id="472"/>
    </w:p>
    <w:p w14:paraId="5898A18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面对产业升级与师资新老交替的双重挑战，淄博理工学校35周岁以下青年教师占比约15%。为破解其“经验少、成长慢”的难题，学校系统构建了“三段递进、四方协同”的培养体系，为青年教师成长铺设清晰路径。</w:t>
      </w:r>
    </w:p>
    <w:p w14:paraId="62E259E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学校依据成长规律，为青年教师设计阶梯式发展轨道。</w:t>
      </w:r>
    </w:p>
    <w:p w14:paraId="30F27D8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入职适应期（入职1-2年）：以“青蓝工程”为核心，通过庄严的师徒结对，由资深导师进行“一对一”全程指导，帮助新教师站稳讲台，完成角色转变</w:t>
      </w:r>
      <w:r>
        <w:rPr>
          <w:rFonts w:hint="eastAsia" w:ascii="仿宋_GB2312" w:hAnsi="仿宋" w:eastAsia="仿宋_GB2312"/>
          <w:color w:val="000000" w:themeColor="text1"/>
          <w:sz w:val="28"/>
          <w:szCs w:val="28"/>
          <w:lang w:eastAsia="zh-CN"/>
          <w14:textFill>
            <w14:solidFill>
              <w14:schemeClr w14:val="tx1"/>
            </w14:solidFill>
          </w14:textFill>
        </w:rPr>
        <w:t>。</w:t>
      </w:r>
    </w:p>
    <w:p w14:paraId="415EDDD3">
      <w:pPr>
        <w:jc w:val="center"/>
        <w:rPr>
          <w:rFonts w:hint="eastAsia" w:ascii="仿宋_GB2312" w:eastAsia="仿宋_GB2312"/>
          <w:color w:val="000000" w:themeColor="text1"/>
          <w:sz w:val="28"/>
          <w:szCs w:val="28"/>
          <w:lang w:eastAsia="zh-CN"/>
          <w14:textFill>
            <w14:solidFill>
              <w14:schemeClr w14:val="tx1"/>
            </w14:solidFill>
          </w14:textFill>
        </w:rPr>
      </w:pPr>
      <w:r>
        <w:rPr>
          <w:rFonts w:hint="eastAsia" w:eastAsia="仿宋_GB2312"/>
          <w:i w:val="0"/>
          <w:color w:val="0F1115"/>
          <w:sz w:val="28"/>
          <w:szCs w:val="28"/>
          <w:vertAlign w:val="baseline"/>
          <w:lang w:eastAsia="zh-CN"/>
        </w:rPr>
        <w:drawing>
          <wp:inline distT="0" distB="0" distL="114300" distR="114300">
            <wp:extent cx="2881630" cy="2160270"/>
            <wp:effectExtent l="0" t="0" r="13970" b="3810"/>
            <wp:docPr id="40" name="图片 40" descr="师徒结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师徒结对"/>
                    <pic:cNvPicPr>
                      <a:picLocks noChangeAspect="1"/>
                    </pic:cNvPicPr>
                  </pic:nvPicPr>
                  <pic:blipFill>
                    <a:blip r:embed="rId87"/>
                    <a:stretch>
                      <a:fillRect/>
                    </a:stretch>
                  </pic:blipFill>
                  <pic:spPr>
                    <a:xfrm>
                      <a:off x="0" y="0"/>
                      <a:ext cx="2881630" cy="2160270"/>
                    </a:xfrm>
                    <a:prstGeom prst="rect">
                      <a:avLst/>
                    </a:prstGeom>
                  </pic:spPr>
                </pic:pic>
              </a:graphicData>
            </a:graphic>
          </wp:inline>
        </w:drawing>
      </w:r>
    </w:p>
    <w:p w14:paraId="0145DB30">
      <w:pPr>
        <w:pStyle w:val="6"/>
        <w:spacing w:line="400" w:lineRule="exact"/>
        <w:jc w:val="center"/>
        <w:rPr>
          <w:rFonts w:hint="eastAsia" w:ascii="仿宋_GB2312"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8</w:t>
      </w:r>
      <w:r>
        <w:rPr>
          <w:rFonts w:hint="eastAsia" w:ascii="楷体_GB2312" w:hAnsi="楷体_GB2312" w:eastAsia="楷体_GB2312" w:cs="楷体_GB2312"/>
          <w:sz w:val="24"/>
        </w:rPr>
        <w:fldChar w:fldCharType="end"/>
      </w:r>
      <w:bookmarkStart w:id="473" w:name="_Toc14179"/>
      <w:r>
        <w:rPr>
          <w:rFonts w:hint="eastAsia" w:ascii="楷体_GB2312" w:hAnsi="楷体_GB2312" w:eastAsia="楷体_GB2312" w:cs="楷体_GB2312"/>
          <w:sz w:val="24"/>
        </w:rPr>
        <w:t xml:space="preserve"> 新入职教师师徒结对仪式</w:t>
      </w:r>
      <w:bookmarkEnd w:id="473"/>
    </w:p>
    <w:p w14:paraId="58A5331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能力提升期（入职3-5年）：以赛促练、以践促学。通过教学比武、课程思政研修锤炼教学基本功，并硬性要求每年完成1个月企业实践，推动产教深度融合，激发教研潜力。</w:t>
      </w:r>
    </w:p>
    <w:p w14:paraId="71AF7AF5">
      <w:pPr>
        <w:jc w:val="center"/>
      </w:pPr>
      <w:r>
        <w:rPr>
          <w:rFonts w:hint="eastAsia" w:eastAsia="仿宋_GB2312"/>
          <w:i w:val="0"/>
          <w:color w:val="0F1115"/>
          <w:sz w:val="28"/>
          <w:szCs w:val="28"/>
          <w:lang w:eastAsia="zh-CN"/>
        </w:rPr>
        <w:drawing>
          <wp:inline distT="0" distB="0" distL="114300" distR="114300">
            <wp:extent cx="3248660" cy="2160270"/>
            <wp:effectExtent l="0" t="0" r="12700" b="3810"/>
            <wp:docPr id="56" name="图片 56" descr="教师企业实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教师企业实践"/>
                    <pic:cNvPicPr>
                      <a:picLocks noChangeAspect="1"/>
                    </pic:cNvPicPr>
                  </pic:nvPicPr>
                  <pic:blipFill>
                    <a:blip r:embed="rId88"/>
                    <a:stretch>
                      <a:fillRect/>
                    </a:stretch>
                  </pic:blipFill>
                  <pic:spPr>
                    <a:xfrm>
                      <a:off x="0" y="0"/>
                      <a:ext cx="3248660" cy="2160270"/>
                    </a:xfrm>
                    <a:prstGeom prst="rect">
                      <a:avLst/>
                    </a:prstGeom>
                  </pic:spPr>
                </pic:pic>
              </a:graphicData>
            </a:graphic>
          </wp:inline>
        </w:drawing>
      </w:r>
    </w:p>
    <w:p w14:paraId="59C884B8">
      <w:pPr>
        <w:pStyle w:val="6"/>
        <w:spacing w:line="400" w:lineRule="exact"/>
        <w:jc w:val="cente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w:t>
      </w:r>
      <w:r>
        <w:rPr>
          <w:rFonts w:hint="eastAsia" w:ascii="楷体_GB2312" w:hAnsi="楷体_GB2312" w:eastAsia="楷体_GB2312" w:cs="楷体_GB2312"/>
          <w:sz w:val="24"/>
        </w:rPr>
        <w:t>9</w:t>
      </w:r>
      <w:r>
        <w:rPr>
          <w:rFonts w:hint="eastAsia" w:ascii="楷体_GB2312" w:hAnsi="楷体_GB2312" w:eastAsia="楷体_GB2312" w:cs="楷体_GB2312"/>
          <w:sz w:val="24"/>
        </w:rPr>
        <w:fldChar w:fldCharType="end"/>
      </w:r>
      <w:bookmarkStart w:id="474" w:name="_Toc25887"/>
      <w:r>
        <w:rPr>
          <w:rFonts w:hint="eastAsia" w:ascii="楷体_GB2312" w:hAnsi="楷体_GB2312" w:eastAsia="楷体_GB2312" w:cs="楷体_GB2312"/>
          <w:sz w:val="24"/>
        </w:rPr>
        <w:t xml:space="preserve"> 教师企业实践</w:t>
      </w:r>
      <w:bookmarkEnd w:id="474"/>
    </w:p>
    <w:p w14:paraId="1B5FCF7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发展成熟期（入职6-8年）：压担子、搭平台。支持其主持教改项目、指导技能大赛、申报省级课题，并提供访学机会，着力锻造能够示范引领的骨干教师</w:t>
      </w:r>
      <w:r>
        <w:rPr>
          <w:rFonts w:hint="eastAsia" w:ascii="仿宋_GB2312" w:hAnsi="仿宋" w:eastAsia="仿宋_GB2312"/>
          <w:color w:val="000000" w:themeColor="text1"/>
          <w:sz w:val="28"/>
          <w:szCs w:val="28"/>
          <w14:textFill>
            <w14:solidFill>
              <w14:schemeClr w14:val="tx1"/>
            </w14:solidFill>
          </w14:textFill>
        </w:rPr>
        <w:t>。</w:t>
      </w:r>
    </w:p>
    <w:p w14:paraId="5648E01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14:textFill>
            <w14:solidFill>
              <w14:schemeClr w14:val="tx1"/>
            </w14:solidFill>
          </w14:textFill>
        </w:rPr>
        <w:t>“四方协同”：汇聚多元育人合力</w:t>
      </w:r>
      <w:r>
        <w:rPr>
          <w:rFonts w:hint="eastAsia" w:ascii="仿宋_GB2312" w:hAnsi="仿宋" w:eastAsia="仿宋_GB2312"/>
          <w:color w:val="000000" w:themeColor="text1"/>
          <w:sz w:val="28"/>
          <w:szCs w:val="28"/>
          <w:lang w:eastAsia="zh-CN"/>
          <w14:textFill>
            <w14:solidFill>
              <w14:schemeClr w14:val="tx1"/>
            </w14:solidFill>
          </w14:textFill>
        </w:rPr>
        <w:t>。</w:t>
      </w:r>
      <w:r>
        <w:rPr>
          <w:rFonts w:hint="eastAsia" w:ascii="仿宋_GB2312" w:hAnsi="仿宋" w:eastAsia="仿宋_GB2312"/>
          <w:color w:val="000000" w:themeColor="text1"/>
          <w:sz w:val="28"/>
          <w:szCs w:val="28"/>
          <w14:textFill>
            <w14:solidFill>
              <w14:schemeClr w14:val="tx1"/>
            </w14:solidFill>
          </w14:textFill>
        </w:rPr>
        <w:t>校内导师“传帮带”：发挥名师“头雁”效应，通过示范课、工作坊传递教学艺术与工匠精神</w:t>
      </w:r>
      <w:r>
        <w:rPr>
          <w:rFonts w:hint="eastAsia" w:ascii="仿宋_GB2312" w:hAnsi="仿宋" w:eastAsia="仿宋_GB2312"/>
          <w:color w:val="000000" w:themeColor="text1"/>
          <w:sz w:val="28"/>
          <w:szCs w:val="28"/>
          <w:lang w:eastAsia="zh-CN"/>
          <w14:textFill>
            <w14:solidFill>
              <w14:schemeClr w14:val="tx1"/>
            </w14:solidFill>
          </w14:textFill>
        </w:rPr>
        <w:t>。</w:t>
      </w:r>
    </w:p>
    <w:p w14:paraId="7395BF99">
      <w:pPr>
        <w:jc w:val="center"/>
      </w:pPr>
      <w:r>
        <w:rPr>
          <w:rFonts w:hint="eastAsia" w:eastAsia="仿宋_GB2312"/>
          <w:i w:val="0"/>
          <w:color w:val="0F1115"/>
          <w:sz w:val="28"/>
          <w:szCs w:val="28"/>
          <w:lang w:eastAsia="zh-CN"/>
        </w:rPr>
        <w:drawing>
          <wp:inline distT="0" distB="0" distL="114300" distR="114300">
            <wp:extent cx="2880360" cy="2160270"/>
            <wp:effectExtent l="0" t="0" r="0" b="3810"/>
            <wp:docPr id="57" name="图片 57" descr="我校教师执教省公开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我校教师执教省公开课"/>
                    <pic:cNvPicPr>
                      <a:picLocks noChangeAspect="1"/>
                    </pic:cNvPicPr>
                  </pic:nvPicPr>
                  <pic:blipFill>
                    <a:blip r:embed="rId89"/>
                    <a:stretch>
                      <a:fillRect/>
                    </a:stretch>
                  </pic:blipFill>
                  <pic:spPr>
                    <a:xfrm>
                      <a:off x="0" y="0"/>
                      <a:ext cx="2880360" cy="2160270"/>
                    </a:xfrm>
                    <a:prstGeom prst="rect">
                      <a:avLst/>
                    </a:prstGeom>
                  </pic:spPr>
                </pic:pic>
              </a:graphicData>
            </a:graphic>
          </wp:inline>
        </w:drawing>
      </w:r>
    </w:p>
    <w:p w14:paraId="26BC47A7">
      <w:pPr>
        <w:pStyle w:val="6"/>
        <w:spacing w:line="400" w:lineRule="exact"/>
        <w:jc w:val="cente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0</w:t>
      </w:r>
      <w:r>
        <w:rPr>
          <w:rFonts w:hint="eastAsia" w:ascii="楷体_GB2312" w:hAnsi="楷体_GB2312" w:eastAsia="楷体_GB2312" w:cs="楷体_GB2312"/>
          <w:sz w:val="24"/>
        </w:rPr>
        <w:fldChar w:fldCharType="end"/>
      </w:r>
      <w:bookmarkStart w:id="475" w:name="_Toc15095"/>
      <w:r>
        <w:rPr>
          <w:rFonts w:hint="eastAsia" w:ascii="楷体_GB2312" w:hAnsi="楷体_GB2312" w:eastAsia="楷体_GB2312" w:cs="楷体_GB2312"/>
          <w:sz w:val="24"/>
        </w:rPr>
        <w:t xml:space="preserve"> 教师执教省级公开课</w:t>
      </w:r>
      <w:bookmarkEnd w:id="475"/>
    </w:p>
    <w:p w14:paraId="333F41F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企业师傅“授技艺”：共建“双师”基地，聘请企业技术骨干为“产业导师”，确保教师技能与行业前沿同步。</w:t>
      </w:r>
    </w:p>
    <w:p w14:paraId="7A4F7237">
      <w:pPr>
        <w:jc w:val="center"/>
      </w:pPr>
      <w:r>
        <w:rPr>
          <w:rFonts w:hint="eastAsia" w:eastAsia="仿宋_GB2312"/>
          <w:i w:val="0"/>
          <w:color w:val="0F1115"/>
          <w:sz w:val="28"/>
          <w:szCs w:val="28"/>
          <w:lang w:eastAsia="zh-CN"/>
        </w:rPr>
        <w:drawing>
          <wp:inline distT="0" distB="0" distL="114300" distR="114300">
            <wp:extent cx="2880360" cy="2160270"/>
            <wp:effectExtent l="0" t="0" r="0" b="3810"/>
            <wp:docPr id="66" name="图片 66" descr="2024年11月邀请产业教授为专业课教师进行培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4年11月邀请产业教授为专业课教师进行培训2"/>
                    <pic:cNvPicPr>
                      <a:picLocks noChangeAspect="1"/>
                    </pic:cNvPicPr>
                  </pic:nvPicPr>
                  <pic:blipFill>
                    <a:blip r:embed="rId90"/>
                    <a:stretch>
                      <a:fillRect/>
                    </a:stretch>
                  </pic:blipFill>
                  <pic:spPr>
                    <a:xfrm>
                      <a:off x="0" y="0"/>
                      <a:ext cx="2880360" cy="2160270"/>
                    </a:xfrm>
                    <a:prstGeom prst="rect">
                      <a:avLst/>
                    </a:prstGeom>
                  </pic:spPr>
                </pic:pic>
              </a:graphicData>
            </a:graphic>
          </wp:inline>
        </w:drawing>
      </w:r>
    </w:p>
    <w:p w14:paraId="702DF020">
      <w:pPr>
        <w:pStyle w:val="6"/>
        <w:spacing w:line="400" w:lineRule="exact"/>
        <w:jc w:val="center"/>
        <w:rPr>
          <w:rFonts w:hint="eastAsia" w:ascii="仿宋_GB2312" w:hAnsi="Times New Roman" w:eastAsia="仿宋_GB2312" w:cs="Times New Roman"/>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1</w:t>
      </w:r>
      <w:r>
        <w:rPr>
          <w:rFonts w:hint="eastAsia" w:ascii="楷体_GB2312" w:hAnsi="楷体_GB2312" w:eastAsia="楷体_GB2312" w:cs="楷体_GB2312"/>
          <w:sz w:val="24"/>
        </w:rPr>
        <w:fldChar w:fldCharType="end"/>
      </w:r>
      <w:bookmarkStart w:id="476" w:name="_Toc16960"/>
      <w:r>
        <w:rPr>
          <w:rFonts w:hint="eastAsia" w:ascii="楷体_GB2312" w:hAnsi="楷体_GB2312" w:eastAsia="楷体_GB2312" w:cs="楷体_GB2312"/>
          <w:sz w:val="24"/>
        </w:rPr>
        <w:t xml:space="preserve"> 产业教授为专业课教师进行培训</w:t>
      </w:r>
      <w:bookmarkEnd w:id="476"/>
    </w:p>
    <w:p w14:paraId="7605937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行业专家“指方向”：邀请行业专家参与专业建设与评价，引导教师把握技术变革趋势。</w:t>
      </w:r>
    </w:p>
    <w:p w14:paraId="3644A9C6">
      <w:pPr>
        <w:jc w:val="center"/>
      </w:pPr>
      <w:r>
        <w:rPr>
          <w:rFonts w:hint="eastAsia" w:eastAsia="仿宋_GB2312"/>
          <w:i w:val="0"/>
          <w:color w:val="0F1115"/>
          <w:sz w:val="28"/>
          <w:szCs w:val="28"/>
          <w:lang w:eastAsia="zh-CN"/>
        </w:rPr>
        <w:drawing>
          <wp:inline distT="0" distB="0" distL="114300" distR="114300">
            <wp:extent cx="3830955" cy="2160270"/>
            <wp:effectExtent l="0" t="0" r="9525" b="3810"/>
            <wp:docPr id="68" name="图片 68" descr="2024年9月全国人大代表王一君大师应邀淄博理工学校授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4年9月全国人大代表王一君大师应邀淄博理工学校授课"/>
                    <pic:cNvPicPr>
                      <a:picLocks noChangeAspect="1"/>
                    </pic:cNvPicPr>
                  </pic:nvPicPr>
                  <pic:blipFill>
                    <a:blip r:embed="rId91"/>
                    <a:stretch>
                      <a:fillRect/>
                    </a:stretch>
                  </pic:blipFill>
                  <pic:spPr>
                    <a:xfrm>
                      <a:off x="0" y="0"/>
                      <a:ext cx="3830955" cy="2160270"/>
                    </a:xfrm>
                    <a:prstGeom prst="rect">
                      <a:avLst/>
                    </a:prstGeom>
                  </pic:spPr>
                </pic:pic>
              </a:graphicData>
            </a:graphic>
          </wp:inline>
        </w:drawing>
      </w:r>
    </w:p>
    <w:p w14:paraId="3AD13952">
      <w:pPr>
        <w:pStyle w:val="6"/>
        <w:spacing w:line="400" w:lineRule="exact"/>
        <w:jc w:val="center"/>
        <w:rPr>
          <w:rFonts w:hint="eastAsia" w:ascii="仿宋_GB2312" w:hAnsi="Times New Roman" w:eastAsia="仿宋_GB2312" w:cs="Times New Roman"/>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2</w:t>
      </w:r>
      <w:r>
        <w:rPr>
          <w:rFonts w:hint="eastAsia" w:ascii="楷体_GB2312" w:hAnsi="楷体_GB2312" w:eastAsia="楷体_GB2312" w:cs="楷体_GB2312"/>
          <w:sz w:val="24"/>
        </w:rPr>
        <w:fldChar w:fldCharType="end"/>
      </w:r>
      <w:bookmarkStart w:id="477" w:name="_Toc18037"/>
      <w:r>
        <w:rPr>
          <w:rFonts w:hint="eastAsia" w:ascii="楷体_GB2312" w:hAnsi="楷体_GB2312" w:eastAsia="楷体_GB2312" w:cs="楷体_GB2312"/>
          <w:sz w:val="24"/>
        </w:rPr>
        <w:t xml:space="preserve"> 全国人大代表王一君来校授课</w:t>
      </w:r>
      <w:bookmarkEnd w:id="477"/>
    </w:p>
    <w:p w14:paraId="27474DD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教研机构“提层次”：与高职院校及教科研机构合作，通过课题攻关与高端研修，提升教师理论科研水平。</w:t>
      </w:r>
    </w:p>
    <w:p w14:paraId="6717F86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该体系将教师个人成长与学校发展、产业需求紧密捆绑，形成了一套可复制的师资孵化机制。一大批青年教师迅速成长为骨干，在国家、省市教学能力比赛、展示交流活动及大赛指导中担当主角，为学校高质量发展注入了强劲动力。</w:t>
      </w:r>
    </w:p>
    <w:p w14:paraId="116D290E">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楷体_GB2312" w:hAnsi="楷体_GB2312" w:eastAsia="楷体_GB2312" w:cs="楷体_GB2312"/>
          <w:color w:val="FF0000"/>
          <w:lang w:val="en-US" w:eastAsia="zh-CN"/>
        </w:rPr>
      </w:pPr>
      <w:bookmarkStart w:id="478" w:name="_Toc24315"/>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四</w:t>
      </w:r>
      <w:r>
        <w:rPr>
          <w:rFonts w:hint="eastAsia" w:ascii="黑体" w:hAnsi="黑体" w:eastAsia="黑体" w:cs="黑体"/>
          <w:b w:val="0"/>
          <w:bCs w:val="0"/>
          <w:sz w:val="30"/>
          <w:szCs w:val="30"/>
          <w:lang w:eastAsia="zh-CN"/>
        </w:rPr>
        <w:t>）学校治理</w:t>
      </w:r>
      <w:r>
        <w:rPr>
          <w:rFonts w:hint="eastAsia" w:ascii="黑体" w:hAnsi="黑体" w:eastAsia="黑体" w:cs="黑体"/>
          <w:b w:val="0"/>
          <w:bCs w:val="0"/>
          <w:sz w:val="30"/>
          <w:szCs w:val="30"/>
          <w:lang w:val="en-US" w:eastAsia="zh-CN"/>
        </w:rPr>
        <w:t>与质量保证体系建设</w:t>
      </w:r>
      <w:bookmarkEnd w:id="478"/>
    </w:p>
    <w:p w14:paraId="46C2A0A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1.持续优化治理体系</w:t>
      </w:r>
    </w:p>
    <w:p w14:paraId="35F39C8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淄博理工学校坚持和完善校党委领导的校长负责制，牢牢把握正确办学方向，落实党的教育方针，不断增强“四个意识”、坚定“四个自信”、做到“两个维护”，以高质量党建领航学校事业高质量发展。</w:t>
      </w:r>
    </w:p>
    <w:p w14:paraId="6B3F56CA">
      <w:pPr>
        <w:jc w:val="center"/>
      </w:pPr>
      <w:r>
        <w:drawing>
          <wp:inline distT="0" distB="0" distL="114300" distR="114300">
            <wp:extent cx="3349625" cy="2160270"/>
            <wp:effectExtent l="0" t="0" r="3175" b="381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92"/>
                    <a:stretch>
                      <a:fillRect/>
                    </a:stretch>
                  </pic:blipFill>
                  <pic:spPr>
                    <a:xfrm>
                      <a:off x="0" y="0"/>
                      <a:ext cx="3349625" cy="2160270"/>
                    </a:xfrm>
                    <a:prstGeom prst="rect">
                      <a:avLst/>
                    </a:prstGeom>
                    <a:noFill/>
                    <a:ln>
                      <a:noFill/>
                    </a:ln>
                  </pic:spPr>
                </pic:pic>
              </a:graphicData>
            </a:graphic>
          </wp:inline>
        </w:drawing>
      </w:r>
    </w:p>
    <w:p w14:paraId="6F8858C1">
      <w:pPr>
        <w:pStyle w:val="6"/>
        <w:spacing w:line="400" w:lineRule="exact"/>
        <w:jc w:val="center"/>
        <w:rPr>
          <w:rFonts w:hint="default" w:ascii="仿宋_GB2312" w:hAnsi="仿宋" w:eastAsia="仿宋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3</w:t>
      </w:r>
      <w:r>
        <w:rPr>
          <w:rFonts w:hint="eastAsia" w:ascii="楷体_GB2312" w:hAnsi="楷体_GB2312" w:eastAsia="楷体_GB2312" w:cs="楷体_GB2312"/>
          <w:sz w:val="24"/>
        </w:rPr>
        <w:fldChar w:fldCharType="end"/>
      </w:r>
      <w:bookmarkStart w:id="479" w:name="_Toc17035"/>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学校党委扩大会议</w:t>
      </w:r>
      <w:bookmarkEnd w:id="479"/>
    </w:p>
    <w:p w14:paraId="77B9CC9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2.持续优化规章制度体系，打造科学、规范、高效的管理模式</w:t>
      </w:r>
    </w:p>
    <w:p w14:paraId="2F38D2E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着力开展教师岗位分级竞聘工作，激发教师工作活力。有效开展教学工作诊断与改进工作，切实保障教学质量的稳步提升。定期开展校园安全隐患排查，抓好食品安全、校园交通安全、防火防灾等方面的工作，扎实开展校园安全隐患排查整改工作，确保校园安全、稳定、和谐。持续优化校园智慧化服务平台，将学生管理、教务管理、宿舍管理、社会培训管理、实习实训管理等统一纳入到了数字化校园管理平台之中，数字化管理与服务覆盖率100%。构建家校协同教育机制，完善三级家委会联席会议制，通过大家访、家长会、教育开放日和家庭教育报告会等途径，促进家校之间的有效沟通，引导家长参与班级管理，发挥家庭教育的积极作用，形成家校教育合力。全校教师参与学生全过程管理，建立了以班主任和德育导师为主的学生德育管理队伍。学校举办班主任节暨“十个一”班主任素养培优活动，以赛促建，以赛促优，不断提升班主任队伍的专业素养和综合能力。</w:t>
      </w:r>
    </w:p>
    <w:p w14:paraId="47863D8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3.深化管理体系建设</w:t>
      </w:r>
    </w:p>
    <w:p w14:paraId="414AEB3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淄博理工学校坚持依法治校，民主管理,继续完善学校章程、制度建设；加强管理队伍建设，组织管理干部培训、外出学习，提升管理干部业务能力；细化教职工管理，完善考勤、考核、加班等制度，充分调动教职工积极性;加强对分校、专业系、处室的管理，继续实行校级领导挂包专业系制度，完善各项考核管理办法；落实校长接待日、学校开放日制度，增进校长与家长、学生之间的沟通与理解，营造和谐的教育氛围；继续做好校园文化建设，以文化引领推进学校高质量发展。</w:t>
      </w:r>
    </w:p>
    <w:p w14:paraId="617DFAE2">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强化常规教学管理，积极探索新时代教育教学方法，全面推进“大思政课”建设；落实好学生一日常规、课堂教学常规两个“工作指导书”、六项常规教学制度和“六个一”要求；科学制定教学计划，组织好开学补测、假期作业展评，深入课堂听评课；开足开齐课程，确定课程体系，规范征订教材，落实教学计划；建设课程共享资源库，以活页式、工作手册式教材编写为牵引，实现优质课程、课件、微课等资源网络共享；聚焦课堂“主阵地”，建立以“岗位工作为要求”的教学模式改革，推动课堂革命。</w:t>
      </w:r>
    </w:p>
    <w:p w14:paraId="35395A5E">
      <w:pPr>
        <w:pStyle w:val="3"/>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黑体" w:hAnsi="黑体" w:eastAsia="黑体" w:cs="黑体"/>
          <w:b w:val="0"/>
          <w:bCs w:val="0"/>
          <w:sz w:val="30"/>
          <w:szCs w:val="30"/>
          <w:lang w:val="en-US" w:eastAsia="zh-CN"/>
        </w:rPr>
      </w:pPr>
      <w:bookmarkStart w:id="480" w:name="_Toc11012"/>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五</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资源建设</w:t>
      </w:r>
      <w:bookmarkEnd w:id="480"/>
    </w:p>
    <w:p w14:paraId="262B161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1.数字化资源建设</w:t>
      </w:r>
    </w:p>
    <w:p w14:paraId="67E04D4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紧紧围绕新质生产力的发展需求，聚焦现代职业教育体系建设重点任务，以课程建设为牵引，不断完善在线精品课程的培育、遴选、共享和持续更新机制，积极推动优质数字资源开发建设、交互应用与开放共享，不断提高教育教学水平和人才培养质量。学校的数字教学资源已经形成了视频、音频、文档等多种形式的课程体系。学校现有课程资源60余门，其中五位课程负责人罗静、曹在津、赵双、武娟、王莉分别主持的《会计基础》《美术简笔画》《棉纺织理论与实践》《服装制图与实训》《车工工艺与技能实训》《数控车床加工技术》于2024年全部通过省级验收，市级立项18门，通过验收16门。通过网络教学平台中大数据管理功能，实现对学生知识点学习进度，视频点播情况，作业完成等各方面进行监控管理，并通过题库管理、在线考试等功能分析学生知识的掌握情况，便于教师有针对性的教学管理和设计</w:t>
      </w:r>
      <w:r>
        <w:rPr>
          <w:rFonts w:hint="eastAsia" w:ascii="仿宋_GB2312" w:hAnsi="仿宋" w:eastAsia="仿宋_GB2312"/>
          <w:color w:val="000000" w:themeColor="text1"/>
          <w:sz w:val="28"/>
          <w:szCs w:val="28"/>
          <w:lang w:eastAsia="zh-CN"/>
          <w14:textFill>
            <w14:solidFill>
              <w14:schemeClr w14:val="tx1"/>
            </w14:solidFill>
          </w14:textFill>
        </w:rPr>
        <w:t>。</w:t>
      </w:r>
    </w:p>
    <w:p w14:paraId="60858C9E">
      <w:pPr>
        <w:jc w:val="center"/>
      </w:pPr>
    </w:p>
    <w:p w14:paraId="58FFB607">
      <w:pPr>
        <w:jc w:val="center"/>
      </w:pPr>
      <w:r>
        <w:drawing>
          <wp:inline distT="0" distB="0" distL="114300" distR="114300">
            <wp:extent cx="3947795" cy="2160270"/>
            <wp:effectExtent l="0" t="0" r="14605" b="38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3"/>
                    <a:stretch>
                      <a:fillRect/>
                    </a:stretch>
                  </pic:blipFill>
                  <pic:spPr>
                    <a:xfrm>
                      <a:off x="0" y="0"/>
                      <a:ext cx="3947795" cy="2160270"/>
                    </a:xfrm>
                    <a:prstGeom prst="rect">
                      <a:avLst/>
                    </a:prstGeom>
                    <a:noFill/>
                    <a:ln>
                      <a:noFill/>
                    </a:ln>
                  </pic:spPr>
                </pic:pic>
              </a:graphicData>
            </a:graphic>
          </wp:inline>
        </w:drawing>
      </w:r>
    </w:p>
    <w:p w14:paraId="4E3AC388">
      <w:pPr>
        <w:spacing w:line="400" w:lineRule="exact"/>
        <w:ind w:firstLine="3600" w:firstLineChars="1500"/>
        <w:rPr>
          <w:rFonts w:hint="eastAsia" w:eastAsia="楷体_GB2312"/>
          <w:lang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4</w:t>
      </w:r>
      <w:r>
        <w:rPr>
          <w:rFonts w:hint="eastAsia" w:ascii="楷体_GB2312" w:hAnsi="楷体_GB2312" w:eastAsia="楷体_GB2312" w:cs="楷体_GB2312"/>
          <w:sz w:val="24"/>
        </w:rPr>
        <w:fldChar w:fldCharType="end"/>
      </w:r>
      <w:bookmarkStart w:id="481" w:name="_Toc6639"/>
      <w:r>
        <w:rPr>
          <w:rFonts w:hint="eastAsia" w:ascii="楷体_GB2312" w:hAnsi="楷体_GB2312" w:eastAsia="楷体_GB2312" w:cs="楷体_GB2312"/>
          <w:sz w:val="24"/>
        </w:rPr>
        <w:t xml:space="preserve"> 课程资源库</w:t>
      </w:r>
      <w:r>
        <w:rPr>
          <w:rFonts w:hint="eastAsia" w:ascii="楷体_GB2312" w:hAnsi="楷体_GB2312" w:eastAsia="楷体_GB2312" w:cs="楷体_GB2312"/>
          <w:sz w:val="24"/>
          <w:lang w:val="en-US" w:eastAsia="zh-CN"/>
        </w:rPr>
        <w:t>平台</w:t>
      </w:r>
      <w:bookmarkEnd w:id="481"/>
    </w:p>
    <w:p w14:paraId="096F3EE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2025年4月，</w:t>
      </w: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教师主编的两本教材《会计信息化实务（购销存篇）》（刘克军主编）和《钳工工艺与技能训练（第2版）》（王莉主编）成功入选第二批“十四五”职业教育规划教材。《会计信息化实务》以企业真实业务为蓝本，融入智能财税技术，强化业财一体化能力；《钳工工艺与技能训练》结合制造业技术升级，以模块化任务提升精密加工与实践创新水平。两本教材立足产业前沿，深化“岗课赛证”融通理念，经教学实践检验，配套数字资源丰富，是深化教学改革、推动产教融合的重要成果。</w:t>
      </w:r>
    </w:p>
    <w:p w14:paraId="18CED72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山东省职工创新创造云内容管理平台是由山东省总工会牵头建立，是聚焦职工创新实践的数字化管理载体。整合全省工匠学院的课程视频、技术方案、工艺改良、创意设计等优质资源。通过云端存储、智能检索与权限管理，为职工搭建便捷高效的创新交流阵地，助力激发创新活力、加速成果转化，赋能企业创新生态建设。淄博理工学校作为该平台的使用和建设者，已经上传7条视频课程内容。</w:t>
      </w:r>
    </w:p>
    <w:p w14:paraId="239B15E9">
      <w:pPr>
        <w:jc w:val="center"/>
      </w:pPr>
      <w:r>
        <w:rPr>
          <w:rFonts w:hint="eastAsia" w:ascii="仿宋_GB2312" w:hAnsi="仿宋_GB2312" w:eastAsia="仿宋_GB2312" w:cs="仿宋_GB2312"/>
          <w:i w:val="0"/>
          <w:color w:val="404040"/>
          <w:sz w:val="21"/>
          <w:szCs w:val="21"/>
          <w:lang w:eastAsia="zh-CN"/>
        </w:rPr>
        <w:drawing>
          <wp:inline distT="0" distB="0" distL="114300" distR="114300">
            <wp:extent cx="4491355" cy="2160270"/>
            <wp:effectExtent l="0" t="0" r="4445" b="3810"/>
            <wp:docPr id="70" name="图片 70" descr="屏幕截图 2025-12-02 08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屏幕截图 2025-12-02 082446"/>
                    <pic:cNvPicPr>
                      <a:picLocks noChangeAspect="1"/>
                    </pic:cNvPicPr>
                  </pic:nvPicPr>
                  <pic:blipFill>
                    <a:blip r:embed="rId94"/>
                    <a:stretch>
                      <a:fillRect/>
                    </a:stretch>
                  </pic:blipFill>
                  <pic:spPr>
                    <a:xfrm>
                      <a:off x="0" y="0"/>
                      <a:ext cx="4491355" cy="2160270"/>
                    </a:xfrm>
                    <a:prstGeom prst="rect">
                      <a:avLst/>
                    </a:prstGeom>
                  </pic:spPr>
                </pic:pic>
              </a:graphicData>
            </a:graphic>
          </wp:inline>
        </w:drawing>
      </w:r>
    </w:p>
    <w:p w14:paraId="2167373C">
      <w:pPr>
        <w:ind w:firstLine="240" w:firstLineChars="100"/>
        <w:jc w:val="center"/>
        <w:rPr>
          <w:rFonts w:hint="default" w:ascii="仿宋_GB2312" w:eastAsia="仿宋_GB2312"/>
          <w:sz w:val="28"/>
          <w:szCs w:val="28"/>
          <w:lang w:val="en-US" w:eastAsia="zh-CN"/>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5</w:t>
      </w:r>
      <w:r>
        <w:rPr>
          <w:rFonts w:hint="eastAsia" w:ascii="楷体_GB2312" w:hAnsi="楷体_GB2312" w:eastAsia="楷体_GB2312" w:cs="楷体_GB2312"/>
          <w:sz w:val="24"/>
        </w:rPr>
        <w:fldChar w:fldCharType="end"/>
      </w:r>
      <w:bookmarkStart w:id="482" w:name="_Toc581"/>
      <w:r>
        <w:rPr>
          <w:rFonts w:hint="eastAsia" w:ascii="楷体_GB2312" w:hAnsi="楷体_GB2312" w:eastAsia="楷体_GB2312" w:cs="楷体_GB2312"/>
          <w:sz w:val="24"/>
        </w:rPr>
        <w:t xml:space="preserve"> 山东省职工创新创造云内容管理平台</w:t>
      </w:r>
      <w:bookmarkEnd w:id="482"/>
    </w:p>
    <w:p w14:paraId="4DA01260">
      <w:pPr>
        <w:pStyle w:val="3"/>
        <w:keepNext/>
        <w:keepLines/>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楷体_GB2312" w:hAnsi="楷体_GB2312" w:eastAsia="楷体_GB2312" w:cs="楷体_GB2312"/>
          <w:color w:val="FF0000"/>
          <w:lang w:val="en-US" w:eastAsia="zh-CN"/>
        </w:rPr>
      </w:pPr>
      <w:bookmarkStart w:id="483" w:name="_Toc13627"/>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六</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校园安全与总务后勤</w:t>
      </w:r>
      <w:bookmarkEnd w:id="483"/>
    </w:p>
    <w:p w14:paraId="0DAAC8C9">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w:t>
      </w:r>
      <w:r>
        <w:rPr>
          <w:rFonts w:hint="eastAsia" w:ascii="仿宋_GB2312" w:hAnsi="仿宋" w:eastAsia="仿宋_GB2312"/>
          <w:color w:val="000000" w:themeColor="text1"/>
          <w:sz w:val="28"/>
          <w:szCs w:val="28"/>
          <w:lang w:eastAsia="zh-CN"/>
          <w14:textFill>
            <w14:solidFill>
              <w14:schemeClr w14:val="tx1"/>
            </w14:solidFill>
          </w14:textFill>
        </w:rPr>
        <w:t>深入贯彻“安全第一，预防为主，综合治理”的工作方针，始终将保障师生生命财产安全和维护校园稳定置于首要位置。通过系统化布局与精细化管理，持续筑牢校园安全防线，全年未发生重大安全责任事故。作为淄博市首批“五星级平安校园”，</w:t>
      </w:r>
      <w:r>
        <w:rPr>
          <w:rFonts w:hint="eastAsia" w:ascii="仿宋_GB2312" w:hAnsi="仿宋" w:eastAsia="仿宋_GB2312"/>
          <w:color w:val="000000" w:themeColor="text1"/>
          <w:sz w:val="28"/>
          <w:szCs w:val="28"/>
          <w:lang w:val="en-US" w:eastAsia="zh-CN"/>
          <w14:textFill>
            <w14:solidFill>
              <w14:schemeClr w14:val="tx1"/>
            </w14:solidFill>
          </w14:textFill>
        </w:rPr>
        <w:t>淄博理工</w:t>
      </w:r>
      <w:r>
        <w:rPr>
          <w:rFonts w:hint="eastAsia" w:ascii="仿宋_GB2312" w:hAnsi="仿宋" w:eastAsia="仿宋_GB2312"/>
          <w:color w:val="000000" w:themeColor="text1"/>
          <w:sz w:val="28"/>
          <w:szCs w:val="28"/>
          <w:lang w:eastAsia="zh-CN"/>
          <w14:textFill>
            <w14:solidFill>
              <w14:schemeClr w14:val="tx1"/>
            </w14:solidFill>
          </w14:textFill>
        </w:rPr>
        <w:t>学校为教育教学工作的有序开展营造了安全、稳定、和谐的育人环境</w:t>
      </w:r>
    </w:p>
    <w:p w14:paraId="03AE6FF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1.健全责任体系，夯实安全管理根基</w:t>
      </w:r>
    </w:p>
    <w:p w14:paraId="3D44DA7A">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高度重视安全工作的组织领导，成立了以校长为组长、覆盖各部门负责人的安全工作领导小组，构建了“学校-专业系-班级-岗位”四级联动、权责清晰的网格化安全责任体系。通过逐级签订《安全工作目标管理责任书》，将安全责任层层分解，精确落实到每一个环节、每一个岗位，实现了“人人有责、人人负责”的全员责任闭环。同时，学校动态修订并完善了包括《校园安全应急预案》、《校园安全管理制度》等规章制度，确保了各项安全工作有章可循、有据可依，从顶层设计上为校园安全提供了坚实的制度保障。</w:t>
      </w:r>
    </w:p>
    <w:p w14:paraId="56A12F5F">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2.</w:t>
      </w: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深化宣传教育，全面提升安全素养</w:t>
      </w:r>
    </w:p>
    <w:p w14:paraId="6CBABB2C">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着力构建常态化与专题化相结合的安全教育体系。在常规教育方面，依托国旗下讲话、主题班会、校园公众号、宣传栏等载体，持续开展涵盖交通安全、消防安全、防溺水、防欺凌、食品卫生、网络安全及心理健康等方面的主题教育，将安全知识有机融入日常教学与管理，严格落实“1530”安全提醒机制。在专题教育方面，紧扣“全国中小学生安全教育日”“消防安全宣传月”“防灾减灾日”“交通安全日”等重要节点，组织开展安全知识讲座、心理剧展演、禁毒展览等一系列实践教育活动，有效增强了安全教育的针对性与实效性。本学年累计开展覆盖全校的火灾、地震应急疏散演练12次，其中夜间演练2次；同时对食堂员工、保安、实验室管理员等重点岗位人员开展了专项培训与考核，切实提升了全校师生的安全意识以及应急避险与自救互救能力。</w:t>
      </w:r>
    </w:p>
    <w:p w14:paraId="7CD914EA">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3.强化排查整治，坚决消除风险隐患</w:t>
      </w:r>
    </w:p>
    <w:p w14:paraId="506B6F59">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建立了“日常巡查、定期检查、专项督查”三位一体的隐患排查机制。安全领导小组每月组织一次全面安全检查，安保部门每日开展动态巡查，并聚焦消防设施、电气线路、校舍建筑、实训室、体育器材及校园周边环境等重点领域，实施专项排查与整治。对发现的各类隐患，均建立详细台账，严格执行“发现—登记—评估—整改—销号”闭环管理流程。本年度排查出的安全隐患已全部整改到位，整改率达100%。此外，学校专项投入安全经费约20万元，用于扩建校园停车区域，有效解决师生入校人车分流问题，从物防、技防层面显著提升了校园安全风险的预警与防控能力。</w:t>
      </w:r>
    </w:p>
    <w:p w14:paraId="541C404A">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4.聚焦重点领域，实施精准严密防控</w:t>
      </w:r>
    </w:p>
    <w:p w14:paraId="7EC4A15A">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在消防安全方面，淄博理工学校定期维护消防设施，保障疏散通道畅通无阻，并严格规范校园大功率电器的使用管理。在交通安全方面，通过强化“护学岗”职能、优化上下学时段交通组织、持续开展主题教育活动，有效提升了师生交通安全意识和校园周边交通秩序。在食品安全方面，严格落实食材溯源、采购索证、餐品留样等制度，严控从业人员健康管理与操作流程，全年实现校园食品安全零事故。在防欺凌与心理健康方面，学校构建了涵盖早期预警、及时干预与专业疏导的工作机制，通过设立匿名举报渠道、常态化开放心理咨询室、定期开展心理筛查与团体辅导等举措，切实保障每一位学生的身心健康发展，积极营造相互尊重、友善和谐的校园文化氛围。</w:t>
      </w:r>
    </w:p>
    <w:p w14:paraId="2BD40DA4">
      <w:pPr>
        <w:jc w:val="center"/>
      </w:pPr>
      <w:r>
        <w:drawing>
          <wp:inline distT="0" distB="0" distL="114300" distR="114300">
            <wp:extent cx="4625340" cy="2160270"/>
            <wp:effectExtent l="0" t="0" r="7620" b="381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95"/>
                    <a:stretch>
                      <a:fillRect/>
                    </a:stretch>
                  </pic:blipFill>
                  <pic:spPr>
                    <a:xfrm>
                      <a:off x="0" y="0"/>
                      <a:ext cx="4625340" cy="2160270"/>
                    </a:xfrm>
                    <a:prstGeom prst="rect">
                      <a:avLst/>
                    </a:prstGeom>
                    <a:noFill/>
                    <a:ln>
                      <a:noFill/>
                    </a:ln>
                  </pic:spPr>
                </pic:pic>
              </a:graphicData>
            </a:graphic>
          </wp:inline>
        </w:drawing>
      </w:r>
    </w:p>
    <w:p w14:paraId="7858D859">
      <w:pPr>
        <w:ind w:firstLine="240" w:firstLineChars="100"/>
        <w:jc w:val="center"/>
        <w:rPr>
          <w:rFonts w:hint="default" w:ascii="仿宋_GB2312" w:hAnsi="仿宋" w:eastAsia="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6</w:t>
      </w:r>
      <w:r>
        <w:rPr>
          <w:rFonts w:hint="eastAsia" w:ascii="楷体_GB2312" w:hAnsi="楷体_GB2312" w:eastAsia="楷体_GB2312" w:cs="楷体_GB2312"/>
          <w:sz w:val="24"/>
        </w:rPr>
        <w:fldChar w:fldCharType="end"/>
      </w:r>
      <w:bookmarkStart w:id="484" w:name="_Toc27756"/>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学校安保人员严守岗位</w:t>
      </w:r>
      <w:bookmarkEnd w:id="484"/>
    </w:p>
    <w:p w14:paraId="2E58348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5.后勤保障扎牢安全防线</w:t>
      </w:r>
    </w:p>
    <w:p w14:paraId="290E5C4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淄博理工学校始终将校园安全放在工作首位，构建“全方位、多层次”的安全管理体系，全力守护师生生命财产安全。为解决校内人车混行现象，彻底消除这一安全隐患，学校在学生餐厅北侧新建1500余平方教工停车场一处，在校门口西侧新建能放200余辆电动车的学生停车场，解决学生停车难问题。配合淄博星辰燃气公司对学校的燃气设施进行改造。严格执行食材准入制度，确保师生饮食安全。利用暑假对学校教学楼外墙进行集中整修，消除安全隐患。</w:t>
      </w:r>
    </w:p>
    <w:p w14:paraId="1125E8A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加强校园消防建设，更换到期灭火器53个，按照消防队要求定期进行消防巡检，确保消防设施的正常运行。每月配合学生处进行安全疏散演练，每学期邀请消防队到校进行消防讲座，并指导学校日常和夜间消防疏散演练。本学期学校安排四名骨干老师参加消防国证培训</w:t>
      </w:r>
      <w:r>
        <w:rPr>
          <w:rFonts w:hint="eastAsia" w:ascii="仿宋_GB2312" w:hAnsi="仿宋" w:eastAsia="仿宋_GB2312"/>
          <w:color w:val="000000" w:themeColor="text1"/>
          <w:sz w:val="28"/>
          <w:szCs w:val="28"/>
          <w:lang w:eastAsia="zh-CN"/>
          <w14:textFill>
            <w14:solidFill>
              <w14:schemeClr w14:val="tx1"/>
            </w14:solidFill>
          </w14:textFill>
        </w:rPr>
        <w:t>。</w:t>
      </w:r>
    </w:p>
    <w:p w14:paraId="1F73C30A">
      <w:pPr>
        <w:jc w:val="center"/>
      </w:pPr>
      <w:r>
        <w:drawing>
          <wp:inline distT="0" distB="0" distL="114300" distR="114300">
            <wp:extent cx="3696335" cy="2160270"/>
            <wp:effectExtent l="0" t="0" r="6985" b="3810"/>
            <wp:docPr id="31" name="图片 31" descr="5a2c7bf1-5ac9-4a01-ae56-0b0ad05271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a2c7bf1-5ac9-4a01-ae56-0b0ad052716e"/>
                    <pic:cNvPicPr>
                      <a:picLocks noChangeAspect="1"/>
                    </pic:cNvPicPr>
                  </pic:nvPicPr>
                  <pic:blipFill>
                    <a:blip r:embed="rId96"/>
                    <a:stretch>
                      <a:fillRect/>
                    </a:stretch>
                  </pic:blipFill>
                  <pic:spPr>
                    <a:xfrm>
                      <a:off x="0" y="0"/>
                      <a:ext cx="3696335" cy="2160270"/>
                    </a:xfrm>
                    <a:prstGeom prst="rect">
                      <a:avLst/>
                    </a:prstGeom>
                  </pic:spPr>
                </pic:pic>
              </a:graphicData>
            </a:graphic>
          </wp:inline>
        </w:drawing>
      </w:r>
    </w:p>
    <w:p w14:paraId="6618E62C">
      <w:pPr>
        <w:ind w:firstLine="240" w:firstLineChars="100"/>
        <w:jc w:val="center"/>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sz w:val="24"/>
        </w:rPr>
        <w:t xml:space="preserve">图 </w:t>
      </w:r>
      <w:r>
        <w:rPr>
          <w:rFonts w:hint="eastAsia" w:ascii="楷体_GB2312" w:hAnsi="楷体_GB2312" w:eastAsia="楷体_GB2312" w:cs="楷体_GB2312"/>
          <w:sz w:val="24"/>
        </w:rPr>
        <w:fldChar w:fldCharType="begin"/>
      </w:r>
      <w:r>
        <w:rPr>
          <w:rFonts w:hint="eastAsia" w:ascii="楷体_GB2312" w:hAnsi="楷体_GB2312" w:eastAsia="楷体_GB2312" w:cs="楷体_GB2312"/>
          <w:sz w:val="24"/>
        </w:rPr>
        <w:instrText xml:space="preserve"> SEQ 图 \* ARABIC </w:instrText>
      </w:r>
      <w:r>
        <w:rPr>
          <w:rFonts w:hint="eastAsia" w:ascii="楷体_GB2312" w:hAnsi="楷体_GB2312" w:eastAsia="楷体_GB2312" w:cs="楷体_GB2312"/>
          <w:sz w:val="24"/>
        </w:rPr>
        <w:fldChar w:fldCharType="separate"/>
      </w:r>
      <w:r>
        <w:rPr>
          <w:rFonts w:hint="eastAsia" w:ascii="楷体_GB2312" w:hAnsi="楷体_GB2312" w:eastAsia="楷体_GB2312" w:cs="楷体_GB2312"/>
          <w:sz w:val="24"/>
          <w:lang w:val="en-US" w:eastAsia="zh-CN"/>
        </w:rPr>
        <w:t>6-1</w:t>
      </w:r>
      <w:r>
        <w:rPr>
          <w:rFonts w:hint="eastAsia" w:ascii="楷体_GB2312" w:hAnsi="楷体_GB2312" w:eastAsia="楷体_GB2312" w:cs="楷体_GB2312"/>
          <w:sz w:val="24"/>
        </w:rPr>
        <w:t>7</w:t>
      </w:r>
      <w:r>
        <w:rPr>
          <w:rFonts w:hint="eastAsia" w:ascii="楷体_GB2312" w:hAnsi="楷体_GB2312" w:eastAsia="楷体_GB2312" w:cs="楷体_GB2312"/>
          <w:sz w:val="24"/>
        </w:rPr>
        <w:fldChar w:fldCharType="end"/>
      </w:r>
      <w:bookmarkStart w:id="485" w:name="_Toc28241"/>
      <w:r>
        <w:rPr>
          <w:rFonts w:hint="eastAsia" w:ascii="楷体_GB2312" w:hAnsi="楷体_GB2312" w:eastAsia="楷体_GB2312" w:cs="楷体_GB2312"/>
          <w:sz w:val="24"/>
        </w:rPr>
        <w:t xml:space="preserve"> </w:t>
      </w:r>
      <w:r>
        <w:rPr>
          <w:rFonts w:hint="eastAsia" w:ascii="楷体_GB2312" w:hAnsi="楷体_GB2312" w:eastAsia="楷体_GB2312" w:cs="楷体_GB2312"/>
          <w:sz w:val="24"/>
          <w:lang w:val="en-US" w:eastAsia="zh-CN"/>
        </w:rPr>
        <w:t>夜间疏散演练</w:t>
      </w:r>
      <w:bookmarkEnd w:id="485"/>
    </w:p>
    <w:p w14:paraId="5CA456B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sz w:val="28"/>
          <w:szCs w:val="28"/>
          <w:lang w:val="en-US" w:eastAsia="zh-CN"/>
          <w14:textFill>
            <w14:solidFill>
              <w14:schemeClr w14:val="tx1"/>
            </w14:solidFill>
          </w14:textFill>
        </w:rPr>
      </w:pPr>
      <w:r>
        <w:rPr>
          <w:rFonts w:hint="eastAsia" w:ascii="楷体_GB2312" w:hAnsi="楷体_GB2312" w:eastAsia="楷体_GB2312" w:cs="楷体_GB2312"/>
          <w:color w:val="000000" w:themeColor="text1"/>
          <w:sz w:val="28"/>
          <w:szCs w:val="28"/>
          <w:lang w:val="en-US" w:eastAsia="zh-CN"/>
          <w14:textFill>
            <w14:solidFill>
              <w14:schemeClr w14:val="tx1"/>
            </w14:solidFill>
          </w14:textFill>
        </w:rPr>
        <w:t>6.推进校园硬件设施升级</w:t>
      </w:r>
    </w:p>
    <w:p w14:paraId="680F162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r>
        <w:rPr>
          <w:rFonts w:hint="eastAsia" w:ascii="仿宋_GB2312" w:hAnsi="仿宋" w:eastAsia="仿宋_GB2312"/>
          <w:color w:val="000000" w:themeColor="text1"/>
          <w:sz w:val="28"/>
          <w:szCs w:val="28"/>
          <w:lang w:val="en-US" w:eastAsia="zh-CN"/>
          <w14:textFill>
            <w14:solidFill>
              <w14:schemeClr w14:val="tx1"/>
            </w14:solidFill>
          </w14:textFill>
        </w:rPr>
        <w:t>对学校破损的塑胶跑道、老化的篮球和足球场进行修复升级改造，清除篮球场原先的面层，更换新的硅PU面层，清理足球场破损的草皮更换新草皮，使学校操场环境得到了改善。安排人员定期对学校体育健身设施进行定期巡检，发现问题立即整改。暑期对学生宿舍损坏床铺进行集中维修更换，着力改善学生的生活学习环境。</w:t>
      </w:r>
    </w:p>
    <w:bookmarkEnd w:id="338"/>
    <w:p w14:paraId="5EEF8EAC">
      <w:pPr>
        <w:pStyle w:val="2"/>
        <w:pageBreakBefore w:val="0"/>
        <w:widowControl w:val="0"/>
        <w:kinsoku/>
        <w:wordWrap/>
        <w:overflowPunct/>
        <w:topLinePunct w:val="0"/>
        <w:autoSpaceDE/>
        <w:autoSpaceDN/>
        <w:bidi w:val="0"/>
        <w:adjustRightInd/>
        <w:snapToGrid/>
        <w:spacing w:before="0" w:after="0" w:line="560" w:lineRule="exact"/>
        <w:ind w:firstLine="64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bookmarkStart w:id="486" w:name="_Toc15282"/>
      <w:bookmarkStart w:id="487" w:name="_Toc30397"/>
      <w:r>
        <w:rPr>
          <w:rFonts w:hint="eastAsia" w:ascii="黑体" w:hAnsi="黑体" w:eastAsia="黑体"/>
          <w:b w:val="0"/>
          <w:bCs/>
          <w:sz w:val="32"/>
          <w:szCs w:val="32"/>
          <w:lang w:val="en-US" w:eastAsia="zh-CN"/>
        </w:rPr>
        <w:t>七、</w:t>
      </w:r>
      <w:r>
        <w:rPr>
          <w:rFonts w:hint="eastAsia" w:ascii="黑体" w:hAnsi="黑体" w:eastAsia="黑体"/>
          <w:b w:val="0"/>
          <w:bCs/>
          <w:sz w:val="32"/>
          <w:szCs w:val="32"/>
        </w:rPr>
        <w:t>面临挑战</w:t>
      </w:r>
      <w:bookmarkEnd w:id="486"/>
      <w:bookmarkEnd w:id="487"/>
    </w:p>
    <w:p w14:paraId="4704CFB4">
      <w:pPr>
        <w:pStyle w:val="3"/>
        <w:keepNext/>
        <w:keepLines/>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488" w:name="_Toc25541"/>
      <w:r>
        <w:rPr>
          <w:rFonts w:hint="eastAsia" w:ascii="黑体" w:hAnsi="黑体" w:eastAsia="黑体" w:cs="黑体"/>
          <w:b w:val="0"/>
          <w:bCs w:val="0"/>
          <w:sz w:val="30"/>
          <w:szCs w:val="30"/>
          <w:lang w:val="en-US" w:eastAsia="zh-CN"/>
        </w:rPr>
        <w:t>（一）问题回顾</w:t>
      </w:r>
      <w:bookmarkEnd w:id="488"/>
    </w:p>
    <w:p w14:paraId="1D1944C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本年度，学校聚焦上一年度办学过程中面临的核心挑战，扎实推进办学质量提升工作，取得阶段性成效。具体举措如下：</w:t>
      </w:r>
    </w:p>
    <w:p w14:paraId="6DCAFC58">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1.破解国际化发展瓶颈，拓展职教出海路径</w:t>
      </w:r>
      <w:bookmarkStart w:id="491" w:name="_GoBack"/>
      <w:bookmarkEnd w:id="491"/>
    </w:p>
    <w:p w14:paraId="57A72B5B">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针对国际交流合作短板，学校主动作为，积极参与各类高水平国际合作交流活动，有效补齐了国际化办学的历史欠账。</w:t>
      </w:r>
    </w:p>
    <w:p w14:paraId="39C119D9">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2.深化产教融合，提升社会服务能力</w:t>
      </w:r>
    </w:p>
    <w:p w14:paraId="52C1482A">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强化与行业专业机构的协同合作，扩容社会培训项目矩阵，精准匹配社会公众及企业的培训需求。期间，与淄博特能特种设备有限公司达成战略合作，签订特种设备作业人员专项培训协议；依托陶琉工匠学院的平台优势，成功开展淄川区企业职工陶瓷拉坯成型技能专项培训等标志性培训项目，社会服务效能显著提升。</w:t>
      </w:r>
    </w:p>
    <w:p w14:paraId="280E158C">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3.优化师资队伍结构，强化核心教学力量</w:t>
      </w:r>
    </w:p>
    <w:p w14:paraId="730D2516">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围绕部分专业师资力量薄弱问题，实施高层次人才引进计划，成功引进9名研究生及以上学历优秀教师，充实到一线教学岗位，有效缓解了重点专业师资不足的困境。</w:t>
      </w:r>
    </w:p>
    <w:p w14:paraId="12B52A0B">
      <w:pPr>
        <w:pStyle w:val="3"/>
        <w:keepNext/>
        <w:keepLines/>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default" w:ascii="黑体" w:hAnsi="黑体" w:eastAsia="黑体" w:cs="黑体"/>
          <w:b w:val="0"/>
          <w:bCs w:val="0"/>
          <w:sz w:val="30"/>
          <w:szCs w:val="30"/>
          <w:lang w:val="en-US" w:eastAsia="zh-CN"/>
        </w:rPr>
      </w:pPr>
      <w:bookmarkStart w:id="489" w:name="_Toc3202"/>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二</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存在问题</w:t>
      </w:r>
      <w:bookmarkEnd w:id="489"/>
    </w:p>
    <w:p w14:paraId="1C162CB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在肯定阶段性成效的同时，学校清醒认识到当前发展仍面临三大核心挑战，需重点突破：</w:t>
      </w:r>
    </w:p>
    <w:p w14:paraId="44282308">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1.</w:t>
      </w:r>
      <w:r>
        <w:rPr>
          <w:rFonts w:hint="eastAsia" w:ascii="楷体_GB2312" w:hAnsi="楷体_GB2312" w:eastAsia="楷体_GB2312" w:cs="楷体_GB2312"/>
          <w:color w:val="000000" w:themeColor="text1"/>
          <w:sz w:val="28"/>
          <w:szCs w:val="28"/>
          <w:lang w:eastAsia="zh-CN"/>
          <w14:textFill>
            <w14:solidFill>
              <w14:schemeClr w14:val="tx1"/>
            </w14:solidFill>
          </w14:textFill>
        </w:rPr>
        <w:t>教师教学理念迭代稍逊于产业发展需求</w:t>
      </w:r>
    </w:p>
    <w:p w14:paraId="1EFB36D8">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当前新兴产业迭代迅猛，职业教育人才培养模式面临深刻变革，部分教师的教学理念与方法有待更新。</w:t>
      </w:r>
    </w:p>
    <w:p w14:paraId="2F636EC9">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2.心理健康教育队伍专业化建设有待加强</w:t>
      </w:r>
    </w:p>
    <w:p w14:paraId="04320EC6">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青少年心理健康问题已成为社会关注焦点，直接关系学生全面发展。学校虽已组建心理健康教育专职队伍，但在专业素养、干预能力等方面仍存在提升空间，专业化建设需持续深化。</w:t>
      </w:r>
    </w:p>
    <w:p w14:paraId="22157C9C">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3.生源数量与质量面临双重压力</w:t>
      </w:r>
    </w:p>
    <w:p w14:paraId="4CEAF459">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受普通高中持续扩招影响，职业学校生源总量被进一步挤压，同时生源结构呈现多元化变化，对学校招生策略、人才培养定位等提出更高要求。</w:t>
      </w:r>
    </w:p>
    <w:p w14:paraId="1EDECC97">
      <w:pPr>
        <w:pStyle w:val="3"/>
        <w:keepNext/>
        <w:keepLines/>
        <w:pageBreakBefore w:val="0"/>
        <w:widowControl w:val="0"/>
        <w:kinsoku/>
        <w:wordWrap/>
        <w:overflowPunct/>
        <w:topLinePunct w:val="0"/>
        <w:autoSpaceDE/>
        <w:autoSpaceDN/>
        <w:bidi w:val="0"/>
        <w:adjustRightInd/>
        <w:snapToGrid/>
        <w:spacing w:before="0" w:after="0" w:line="560" w:lineRule="exact"/>
        <w:ind w:firstLine="60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bookmarkStart w:id="490" w:name="_Toc9244"/>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三</w:t>
      </w:r>
      <w:r>
        <w:rPr>
          <w:rFonts w:hint="eastAsia" w:ascii="黑体" w:hAnsi="黑体" w:eastAsia="黑体" w:cs="黑体"/>
          <w:b w:val="0"/>
          <w:bCs w:val="0"/>
          <w:sz w:val="30"/>
          <w:szCs w:val="30"/>
          <w:lang w:eastAsia="zh-CN"/>
        </w:rPr>
        <w:t>）</w:t>
      </w:r>
      <w:r>
        <w:rPr>
          <w:rFonts w:hint="eastAsia" w:ascii="黑体" w:hAnsi="黑体" w:eastAsia="黑体" w:cs="黑体"/>
          <w:b w:val="0"/>
          <w:bCs w:val="0"/>
          <w:sz w:val="30"/>
          <w:szCs w:val="30"/>
          <w:lang w:val="en-US" w:eastAsia="zh-CN"/>
        </w:rPr>
        <w:t>未来展望</w:t>
      </w:r>
      <w:bookmarkEnd w:id="490"/>
    </w:p>
    <w:p w14:paraId="02F64041">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 xml:space="preserve">针对上述挑战，学校将构建“靶向施策、系统推进”的应对体系，具体举措如下： </w:t>
      </w:r>
    </w:p>
    <w:p w14:paraId="119CC80A">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1.构建常态化师资培训体系，推动教学理念与能力双提升</w:t>
      </w:r>
    </w:p>
    <w:p w14:paraId="10146941">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以各级教育部门政策文件及新课标为核心导向，建立分层分类师资培训机制，通过专题研修、跨校交流等形式，倒逼教师教学理念迭代，实现教学与产业需求同频共振。</w:t>
      </w:r>
    </w:p>
    <w:p w14:paraId="095C286B">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2.深化校社协同，打造专业化心理健康教育队伍</w:t>
      </w:r>
    </w:p>
    <w:p w14:paraId="143810E8">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加强与专业心理健康服务机构的合作，搭建专业化研修平台，畅通职业发展通道，全面提升队伍专业服务能力。</w:t>
      </w:r>
    </w:p>
    <w:p w14:paraId="0461B6C1">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楷体_GB2312" w:hAnsi="楷体_GB2312" w:eastAsia="楷体_GB2312" w:cs="楷体_GB2312"/>
          <w:color w:val="000000" w:themeColor="text1"/>
          <w:kern w:val="2"/>
          <w:sz w:val="28"/>
          <w:szCs w:val="28"/>
          <w:lang w:val="en-US" w:eastAsia="zh-CN" w:bidi="ar-SA"/>
          <w14:textFill>
            <w14:solidFill>
              <w14:schemeClr w14:val="tx1"/>
            </w14:solidFill>
          </w14:textFill>
        </w:rPr>
        <w:t>3.以质量提升为核心，增强职业教育吸引力</w:t>
      </w:r>
    </w:p>
    <w:p w14:paraId="485CE557">
      <w:pPr>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 xml:space="preserve">聚焦核心专业建设，深化教育教学改革，提升人才培养质量；优化招生服务体系，精准对接生源需求，提升社会对职业教育的认同度，破解生源困境。 </w:t>
      </w:r>
    </w:p>
    <w:p w14:paraId="0677CBD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eastAsia="zh-CN"/>
          <w14:textFill>
            <w14:solidFill>
              <w14:schemeClr w14:val="tx1"/>
            </w14:solidFill>
          </w14:textFill>
        </w:rPr>
      </w:pPr>
      <w:r>
        <w:rPr>
          <w:rFonts w:hint="eastAsia" w:ascii="仿宋_GB2312" w:hAnsi="仿宋" w:eastAsia="仿宋_GB2312"/>
          <w:color w:val="000000" w:themeColor="text1"/>
          <w:sz w:val="28"/>
          <w:szCs w:val="28"/>
          <w:lang w:eastAsia="zh-CN"/>
          <w14:textFill>
            <w14:solidFill>
              <w14:schemeClr w14:val="tx1"/>
            </w14:solidFill>
          </w14:textFill>
        </w:rPr>
        <w:t>下一步，学校将以问题为导向，以实效为目标，狠抓各项举措落地执行，，为学校高质量发展注入持久动能。。</w:t>
      </w:r>
    </w:p>
    <w:p w14:paraId="4C5AFA43">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 w:eastAsia="仿宋_GB2312"/>
          <w:color w:val="000000" w:themeColor="text1"/>
          <w:sz w:val="28"/>
          <w:szCs w:val="28"/>
          <w:lang w:val="en-US" w:eastAsia="zh-CN"/>
          <w14:textFill>
            <w14:solidFill>
              <w14:schemeClr w14:val="tx1"/>
            </w14:solidFill>
          </w14:textFill>
        </w:rPr>
      </w:pPr>
    </w:p>
    <w:p w14:paraId="174BC532">
      <w:pPr>
        <w:pStyle w:val="2"/>
        <w:pageBreakBefore w:val="0"/>
        <w:widowControl w:val="0"/>
        <w:kinsoku/>
        <w:wordWrap/>
        <w:overflowPunct/>
        <w:topLinePunct w:val="0"/>
        <w:autoSpaceDE/>
        <w:autoSpaceDN/>
        <w:bidi w:val="0"/>
        <w:adjustRightInd/>
        <w:snapToGrid/>
        <w:spacing w:before="0" w:after="0" w:line="240" w:lineRule="auto"/>
        <w:ind w:firstLine="3840" w:firstLineChars="400"/>
        <w:jc w:val="both"/>
        <w:textAlignment w:val="auto"/>
        <w:rPr>
          <w:rFonts w:hint="eastAsia" w:ascii="黑体" w:hAnsi="黑体" w:eastAsia="黑体"/>
          <w:b w:val="0"/>
          <w:bCs/>
          <w:sz w:val="96"/>
          <w:szCs w:val="96"/>
          <w:lang w:val="en-US" w:eastAsia="zh-CN"/>
        </w:rPr>
      </w:pPr>
    </w:p>
    <w:p w14:paraId="138E0FD1">
      <w:pPr>
        <w:pStyle w:val="2"/>
        <w:pageBreakBefore w:val="0"/>
        <w:widowControl w:val="0"/>
        <w:kinsoku/>
        <w:wordWrap/>
        <w:overflowPunct/>
        <w:topLinePunct w:val="0"/>
        <w:autoSpaceDE/>
        <w:autoSpaceDN/>
        <w:bidi w:val="0"/>
        <w:adjustRightInd/>
        <w:snapToGrid/>
        <w:spacing w:before="0" w:after="0" w:line="240" w:lineRule="auto"/>
        <w:ind w:firstLine="3840" w:firstLineChars="400"/>
        <w:jc w:val="both"/>
        <w:textAlignment w:val="auto"/>
        <w:rPr>
          <w:rFonts w:hint="eastAsia" w:ascii="黑体" w:hAnsi="黑体" w:eastAsia="黑体"/>
          <w:b w:val="0"/>
          <w:bCs/>
          <w:sz w:val="96"/>
          <w:szCs w:val="96"/>
          <w:lang w:val="en-US" w:eastAsia="zh-CN"/>
        </w:rPr>
      </w:pPr>
    </w:p>
    <w:p w14:paraId="1A6DEB5A">
      <w:pPr>
        <w:rPr>
          <w:rFonts w:hint="eastAsia" w:ascii="黑体" w:hAnsi="黑体" w:eastAsia="黑体"/>
          <w:b w:val="0"/>
          <w:bCs/>
          <w:sz w:val="96"/>
          <w:szCs w:val="96"/>
          <w:lang w:val="en-US" w:eastAsia="zh-CN"/>
        </w:rPr>
      </w:pPr>
    </w:p>
    <w:p w14:paraId="38282675">
      <w:pPr>
        <w:rPr>
          <w:rFonts w:hint="eastAsia" w:ascii="黑体" w:hAnsi="黑体" w:eastAsia="黑体"/>
          <w:b w:val="0"/>
          <w:bCs/>
          <w:sz w:val="96"/>
          <w:szCs w:val="96"/>
          <w:lang w:val="en-US" w:eastAsia="zh-CN"/>
        </w:rPr>
      </w:pPr>
    </w:p>
    <w:p w14:paraId="7D8C19A7">
      <w:pPr>
        <w:jc w:val="both"/>
        <w:rPr>
          <w:rFonts w:hint="eastAsia" w:ascii="黑体" w:hAnsi="黑体" w:eastAsia="黑体"/>
          <w:bCs w:val="0"/>
          <w:sz w:val="96"/>
          <w:szCs w:val="96"/>
          <w:lang w:val="en-US" w:eastAsia="zh-CN"/>
        </w:rPr>
        <w:sectPr>
          <w:footerReference r:id="rId5" w:type="default"/>
          <w:pgSz w:w="11906" w:h="16838"/>
          <w:pgMar w:top="1134" w:right="1134" w:bottom="1134" w:left="1134" w:header="851" w:footer="992" w:gutter="0"/>
          <w:pgNumType w:start="1"/>
          <w:cols w:space="425" w:num="1"/>
          <w:docGrid w:type="lines" w:linePitch="312" w:charSpace="0"/>
        </w:sectPr>
      </w:pPr>
    </w:p>
    <w:p w14:paraId="7E7EBA12">
      <w:pPr>
        <w:pStyle w:val="2"/>
        <w:spacing w:before="0" w:after="0" w:line="416" w:lineRule="auto"/>
        <w:ind w:firstLine="2891" w:firstLineChars="400"/>
        <w:jc w:val="both"/>
        <w:rPr>
          <w:rFonts w:hint="eastAsia" w:ascii="仿宋_GB2312" w:hAnsi="宋体" w:eastAsia="黑体"/>
          <w:sz w:val="72"/>
          <w:szCs w:val="72"/>
          <w:lang w:val="en-US" w:eastAsia="zh-CN"/>
        </w:rPr>
      </w:pPr>
    </w:p>
    <w:p w14:paraId="5B4CCFEC">
      <w:pPr>
        <w:pStyle w:val="2"/>
        <w:spacing w:before="0" w:after="0" w:line="416" w:lineRule="auto"/>
        <w:ind w:firstLine="2891" w:firstLineChars="400"/>
        <w:jc w:val="both"/>
        <w:rPr>
          <w:rFonts w:hint="eastAsia" w:ascii="仿宋_GB2312" w:hAnsi="宋体" w:eastAsia="黑体"/>
          <w:sz w:val="72"/>
          <w:szCs w:val="72"/>
          <w:lang w:val="en-US" w:eastAsia="zh-CN"/>
        </w:rPr>
      </w:pPr>
    </w:p>
    <w:p w14:paraId="5D5F408C">
      <w:pPr>
        <w:pStyle w:val="2"/>
        <w:spacing w:before="0" w:after="0" w:line="416" w:lineRule="auto"/>
        <w:ind w:firstLine="2891" w:firstLineChars="400"/>
        <w:jc w:val="both"/>
        <w:rPr>
          <w:rFonts w:hint="eastAsia" w:ascii="仿宋_GB2312" w:hAnsi="宋体" w:eastAsia="黑体"/>
          <w:sz w:val="72"/>
          <w:szCs w:val="72"/>
          <w:lang w:val="en-US" w:eastAsia="zh-CN"/>
        </w:rPr>
      </w:pPr>
    </w:p>
    <w:p w14:paraId="2DB933CD">
      <w:pPr>
        <w:pStyle w:val="2"/>
        <w:spacing w:before="0" w:after="0" w:line="416" w:lineRule="auto"/>
        <w:ind w:firstLine="2891" w:firstLineChars="400"/>
        <w:jc w:val="both"/>
        <w:rPr>
          <w:rFonts w:hint="eastAsia" w:ascii="仿宋_GB2312" w:hAnsi="宋体" w:eastAsia="黑体"/>
          <w:sz w:val="72"/>
          <w:szCs w:val="72"/>
          <w:lang w:val="en-US" w:eastAsia="zh-CN"/>
        </w:rPr>
      </w:pPr>
    </w:p>
    <w:p w14:paraId="4EF7B86A">
      <w:pPr>
        <w:pStyle w:val="2"/>
        <w:spacing w:before="0" w:after="0" w:line="416" w:lineRule="auto"/>
        <w:ind w:firstLine="2891" w:firstLineChars="400"/>
        <w:jc w:val="both"/>
        <w:rPr>
          <w:rFonts w:hint="eastAsia" w:ascii="仿宋_GB2312" w:hAnsi="宋体" w:eastAsia="黑体"/>
          <w:sz w:val="72"/>
          <w:szCs w:val="72"/>
          <w:lang w:val="en-US" w:eastAsia="zh-CN"/>
        </w:rPr>
      </w:pPr>
    </w:p>
    <w:p w14:paraId="61DFF896">
      <w:pPr>
        <w:pStyle w:val="2"/>
        <w:spacing w:before="0" w:after="0" w:line="416" w:lineRule="auto"/>
        <w:ind w:firstLine="1124" w:firstLineChars="400"/>
        <w:jc w:val="both"/>
        <w:rPr>
          <w:rFonts w:hint="eastAsia" w:ascii="仿宋_GB2312" w:hAnsi="宋体" w:eastAsia="黑体"/>
          <w:sz w:val="72"/>
          <w:szCs w:val="72"/>
          <w:lang w:val="en-US" w:eastAsia="zh-CN"/>
        </w:rPr>
      </w:pPr>
      <w:r>
        <w:rPr>
          <w:rFonts w:hint="eastAsia" w:ascii="宋体" w:hAnsi="宋体"/>
          <w:sz w:val="28"/>
          <w:szCs w:val="28"/>
        </w:rPr>
        <w:drawing>
          <wp:anchor distT="0" distB="0" distL="114300" distR="114300" simplePos="0" relativeHeight="251659264" behindDoc="0" locked="0" layoutInCell="1" allowOverlap="1">
            <wp:simplePos x="0" y="0"/>
            <wp:positionH relativeFrom="column">
              <wp:posOffset>763270</wp:posOffset>
            </wp:positionH>
            <wp:positionV relativeFrom="paragraph">
              <wp:posOffset>731520</wp:posOffset>
            </wp:positionV>
            <wp:extent cx="4570730" cy="1052195"/>
            <wp:effectExtent l="0" t="0" r="0" b="0"/>
            <wp:wrapSquare wrapText="bothSides"/>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noChangeArrowheads="1"/>
                    </pic:cNvPicPr>
                  </pic:nvPicPr>
                  <pic:blipFill>
                    <a:blip r:embed="rId9" cstate="print"/>
                    <a:srcRect/>
                    <a:stretch>
                      <a:fillRect/>
                    </a:stretch>
                  </pic:blipFill>
                  <pic:spPr>
                    <a:xfrm>
                      <a:off x="0" y="0"/>
                      <a:ext cx="4570730" cy="1052195"/>
                    </a:xfrm>
                    <a:prstGeom prst="rect">
                      <a:avLst/>
                    </a:prstGeom>
                    <a:noFill/>
                    <a:ln w="9525">
                      <a:noFill/>
                      <a:miter lim="800000"/>
                      <a:headEnd/>
                      <a:tailEnd/>
                    </a:ln>
                  </pic:spPr>
                </pic:pic>
              </a:graphicData>
            </a:graphic>
          </wp:anchor>
        </w:drawing>
      </w:r>
    </w:p>
    <w:sectPr>
      <w:headerReference r:id="rId6" w:type="default"/>
      <w:footerReference r:id="rId7" w:type="default"/>
      <w:pgSz w:w="11906" w:h="16838"/>
      <w:pgMar w:top="1134" w:right="1134" w:bottom="1134" w:left="1134"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楷体_GB2312">
    <w:altName w:val="楷体_GB2312"/>
    <w:panose1 w:val="02000000000000000000"/>
    <w:charset w:val="86"/>
    <w:family w:val="auto"/>
    <w:pitch w:val="default"/>
    <w:sig w:usb0="00000000" w:usb1="00000000" w:usb2="00000012" w:usb3="00000000" w:csb0="00040001" w:csb1="00000000"/>
  </w:font>
  <w:font w:name="方正仿宋_GB2312">
    <w:altName w:val="仿宋"/>
    <w:panose1 w:val="02000000000000000000"/>
    <w:charset w:val="86"/>
    <w:family w:val="auto"/>
    <w:pitch w:val="default"/>
    <w:sig w:usb0="00000000" w:usb1="00000000" w:usb2="00000012"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065F7">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82938">
    <w:pPr>
      <w:pBdr>
        <w:left w:val="single" w:color="5B9BD5" w:themeColor="accent1" w:sz="12" w:space="11"/>
      </w:pBdr>
      <w:tabs>
        <w:tab w:val="left" w:pos="622"/>
      </w:tabs>
      <w:jc w:val="center"/>
      <w:rPr>
        <w:rFonts w:asciiTheme="majorHAnsi" w:hAnsiTheme="majorHAnsi" w:eastAsiaTheme="majorEastAsia" w:cstheme="majorBidi"/>
        <w:sz w:val="26"/>
        <w:szCs w:val="26"/>
      </w:rPr>
    </w:pPr>
    <w:r>
      <w:rPr>
        <w:rFonts w:asciiTheme="majorHAnsi" w:hAnsiTheme="majorHAnsi" w:eastAsiaTheme="majorEastAsia" w:cstheme="majorBidi"/>
        <w:sz w:val="26"/>
        <w:szCs w:val="26"/>
      </w:rPr>
      <w:fldChar w:fldCharType="begin"/>
    </w:r>
    <w:r>
      <w:rPr>
        <w:rFonts w:asciiTheme="majorHAnsi" w:hAnsiTheme="majorHAnsi" w:eastAsiaTheme="majorEastAsia" w:cstheme="majorBidi"/>
        <w:sz w:val="26"/>
        <w:szCs w:val="26"/>
      </w:rPr>
      <w:instrText xml:space="preserve">PAGE   \* MERGEFORMAT</w:instrText>
    </w:r>
    <w:r>
      <w:rPr>
        <w:rFonts w:asciiTheme="majorHAnsi" w:hAnsiTheme="majorHAnsi" w:eastAsiaTheme="majorEastAsia" w:cstheme="majorBidi"/>
        <w:sz w:val="26"/>
        <w:szCs w:val="26"/>
      </w:rPr>
      <w:fldChar w:fldCharType="separate"/>
    </w:r>
    <w:r>
      <w:rPr>
        <w:rFonts w:asciiTheme="majorHAnsi" w:hAnsiTheme="majorHAnsi" w:eastAsiaTheme="majorEastAsia" w:cstheme="majorBidi"/>
        <w:sz w:val="26"/>
        <w:szCs w:val="26"/>
        <w:lang w:val="zh-CN"/>
      </w:rPr>
      <w:t>2</w:t>
    </w:r>
    <w:r>
      <w:rPr>
        <w:rFonts w:asciiTheme="majorHAnsi" w:hAnsiTheme="majorHAnsi" w:eastAsiaTheme="majorEastAsia" w:cstheme="majorBidi"/>
        <w:sz w:val="26"/>
        <w:szCs w:val="26"/>
      </w:rPr>
      <w:fldChar w:fldCharType="end"/>
    </w:r>
  </w:p>
  <w:p w14:paraId="7BF833FE">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275CA">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8CEF9">
    <w:pPr>
      <w:pStyle w:val="11"/>
      <w:jc w:val="center"/>
    </w:pPr>
    <w:r>
      <w:rPr>
        <w:rFonts w:hint="eastAsia"/>
        <w:sz w:val="21"/>
        <w:szCs w:val="21"/>
      </w:rPr>
      <w:t>淄博理工学校发展与质量年度报告（</w:t>
    </w:r>
    <w:r>
      <w:rPr>
        <w:sz w:val="21"/>
        <w:szCs w:val="21"/>
      </w:rPr>
      <w:t>20</w:t>
    </w:r>
    <w:r>
      <w:rPr>
        <w:rFonts w:hint="eastAsia"/>
        <w:sz w:val="21"/>
        <w:szCs w:val="21"/>
      </w:rPr>
      <w:t>2</w:t>
    </w:r>
    <w:r>
      <w:rPr>
        <w:rFonts w:hint="eastAsia"/>
        <w:sz w:val="21"/>
        <w:szCs w:val="21"/>
        <w:lang w:val="en-US" w:eastAsia="zh-CN"/>
      </w:rPr>
      <w:t>5</w:t>
    </w:r>
    <w:r>
      <w:rPr>
        <w:rFonts w:hint="eastAsia"/>
        <w:sz w:val="21"/>
        <w:szCs w:val="21"/>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0B0A9E">
    <w:pPr>
      <w:pStyle w:val="11"/>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c5MjA4MTJjNzA3MjhlZTM3YWI5YzE2NzAzMTExYjAifQ=="/>
  </w:docVars>
  <w:rsids>
    <w:rsidRoot w:val="00257978"/>
    <w:rsid w:val="000062BF"/>
    <w:rsid w:val="00026B43"/>
    <w:rsid w:val="00031718"/>
    <w:rsid w:val="00041C8A"/>
    <w:rsid w:val="0004538A"/>
    <w:rsid w:val="00060C3C"/>
    <w:rsid w:val="00062591"/>
    <w:rsid w:val="00064383"/>
    <w:rsid w:val="00073A5D"/>
    <w:rsid w:val="00097FFD"/>
    <w:rsid w:val="000A254A"/>
    <w:rsid w:val="000B5B85"/>
    <w:rsid w:val="000C0970"/>
    <w:rsid w:val="000C57B2"/>
    <w:rsid w:val="000E3F3A"/>
    <w:rsid w:val="000F053D"/>
    <w:rsid w:val="000F123E"/>
    <w:rsid w:val="000F5B7E"/>
    <w:rsid w:val="0010774D"/>
    <w:rsid w:val="00112339"/>
    <w:rsid w:val="00122244"/>
    <w:rsid w:val="0014321A"/>
    <w:rsid w:val="00174B95"/>
    <w:rsid w:val="00176A92"/>
    <w:rsid w:val="00182E34"/>
    <w:rsid w:val="001B43AB"/>
    <w:rsid w:val="001B51E9"/>
    <w:rsid w:val="001D3E9F"/>
    <w:rsid w:val="001E16B2"/>
    <w:rsid w:val="001E7C28"/>
    <w:rsid w:val="002127A7"/>
    <w:rsid w:val="002165F4"/>
    <w:rsid w:val="00221ECF"/>
    <w:rsid w:val="0024214D"/>
    <w:rsid w:val="0024275C"/>
    <w:rsid w:val="002521E1"/>
    <w:rsid w:val="00257978"/>
    <w:rsid w:val="002B3601"/>
    <w:rsid w:val="002F1660"/>
    <w:rsid w:val="0030238B"/>
    <w:rsid w:val="00313C97"/>
    <w:rsid w:val="00393D3E"/>
    <w:rsid w:val="003A269B"/>
    <w:rsid w:val="003D29F2"/>
    <w:rsid w:val="003D4B92"/>
    <w:rsid w:val="003E44A9"/>
    <w:rsid w:val="003F5B09"/>
    <w:rsid w:val="0040557E"/>
    <w:rsid w:val="004137CB"/>
    <w:rsid w:val="00414E81"/>
    <w:rsid w:val="004406D6"/>
    <w:rsid w:val="004419FC"/>
    <w:rsid w:val="00456146"/>
    <w:rsid w:val="004700C5"/>
    <w:rsid w:val="00482640"/>
    <w:rsid w:val="004C0FE5"/>
    <w:rsid w:val="004D69E8"/>
    <w:rsid w:val="004F585C"/>
    <w:rsid w:val="00516E8F"/>
    <w:rsid w:val="00533327"/>
    <w:rsid w:val="00544D60"/>
    <w:rsid w:val="00553CF7"/>
    <w:rsid w:val="00580D4E"/>
    <w:rsid w:val="0058271E"/>
    <w:rsid w:val="00597F02"/>
    <w:rsid w:val="005A70C3"/>
    <w:rsid w:val="005B5ED9"/>
    <w:rsid w:val="005F7F39"/>
    <w:rsid w:val="006352BF"/>
    <w:rsid w:val="0064276E"/>
    <w:rsid w:val="00652565"/>
    <w:rsid w:val="006552FA"/>
    <w:rsid w:val="00662332"/>
    <w:rsid w:val="00672DFB"/>
    <w:rsid w:val="00695A3C"/>
    <w:rsid w:val="006A7BBB"/>
    <w:rsid w:val="006E04DC"/>
    <w:rsid w:val="006F4D5A"/>
    <w:rsid w:val="00710AC5"/>
    <w:rsid w:val="007703D1"/>
    <w:rsid w:val="007A68A3"/>
    <w:rsid w:val="007F2C64"/>
    <w:rsid w:val="007F51C1"/>
    <w:rsid w:val="0080534B"/>
    <w:rsid w:val="00851181"/>
    <w:rsid w:val="00874E5A"/>
    <w:rsid w:val="00884AA7"/>
    <w:rsid w:val="00895E66"/>
    <w:rsid w:val="008A7E9E"/>
    <w:rsid w:val="008D458D"/>
    <w:rsid w:val="00911792"/>
    <w:rsid w:val="009151ED"/>
    <w:rsid w:val="00937537"/>
    <w:rsid w:val="0098024C"/>
    <w:rsid w:val="0099655A"/>
    <w:rsid w:val="009B0774"/>
    <w:rsid w:val="009B6025"/>
    <w:rsid w:val="009C0089"/>
    <w:rsid w:val="009D4441"/>
    <w:rsid w:val="009E199F"/>
    <w:rsid w:val="00A150B0"/>
    <w:rsid w:val="00A17BA9"/>
    <w:rsid w:val="00A237A7"/>
    <w:rsid w:val="00A30C7D"/>
    <w:rsid w:val="00AB4044"/>
    <w:rsid w:val="00AB5A50"/>
    <w:rsid w:val="00AC2598"/>
    <w:rsid w:val="00AC51BD"/>
    <w:rsid w:val="00B13F95"/>
    <w:rsid w:val="00B35AC5"/>
    <w:rsid w:val="00B73C05"/>
    <w:rsid w:val="00B80852"/>
    <w:rsid w:val="00B8671D"/>
    <w:rsid w:val="00B86A4B"/>
    <w:rsid w:val="00B87F56"/>
    <w:rsid w:val="00B97ECE"/>
    <w:rsid w:val="00BA4EDC"/>
    <w:rsid w:val="00BB62A4"/>
    <w:rsid w:val="00C17393"/>
    <w:rsid w:val="00C239CE"/>
    <w:rsid w:val="00C267A5"/>
    <w:rsid w:val="00C3310A"/>
    <w:rsid w:val="00C55CDD"/>
    <w:rsid w:val="00C81EE9"/>
    <w:rsid w:val="00C9235F"/>
    <w:rsid w:val="00C9499D"/>
    <w:rsid w:val="00CB24D6"/>
    <w:rsid w:val="00CE2D25"/>
    <w:rsid w:val="00CE5082"/>
    <w:rsid w:val="00CF06B0"/>
    <w:rsid w:val="00D20CC7"/>
    <w:rsid w:val="00D352C9"/>
    <w:rsid w:val="00D42942"/>
    <w:rsid w:val="00D45ACE"/>
    <w:rsid w:val="00D50FE0"/>
    <w:rsid w:val="00D61B9E"/>
    <w:rsid w:val="00DA51FE"/>
    <w:rsid w:val="00DC4A85"/>
    <w:rsid w:val="00E206D1"/>
    <w:rsid w:val="00E24A4B"/>
    <w:rsid w:val="00E50048"/>
    <w:rsid w:val="00E6786E"/>
    <w:rsid w:val="00E846E4"/>
    <w:rsid w:val="00EB160E"/>
    <w:rsid w:val="00EC56EF"/>
    <w:rsid w:val="00ED670A"/>
    <w:rsid w:val="00EE4D9E"/>
    <w:rsid w:val="00EF5D55"/>
    <w:rsid w:val="00F0049B"/>
    <w:rsid w:val="00F1524B"/>
    <w:rsid w:val="00F16DCF"/>
    <w:rsid w:val="00F264DE"/>
    <w:rsid w:val="00F32FB0"/>
    <w:rsid w:val="00F45C70"/>
    <w:rsid w:val="00F611B3"/>
    <w:rsid w:val="00F66E54"/>
    <w:rsid w:val="00F73452"/>
    <w:rsid w:val="00F74BFD"/>
    <w:rsid w:val="00F91C11"/>
    <w:rsid w:val="00F97118"/>
    <w:rsid w:val="00FB4FB4"/>
    <w:rsid w:val="00FC78A6"/>
    <w:rsid w:val="00FD19B4"/>
    <w:rsid w:val="00FE3A33"/>
    <w:rsid w:val="00FE5873"/>
    <w:rsid w:val="013F128E"/>
    <w:rsid w:val="014F03EF"/>
    <w:rsid w:val="016A2DE9"/>
    <w:rsid w:val="01C1669F"/>
    <w:rsid w:val="01D0689F"/>
    <w:rsid w:val="01D17381"/>
    <w:rsid w:val="025C5A68"/>
    <w:rsid w:val="02B20C36"/>
    <w:rsid w:val="02E23558"/>
    <w:rsid w:val="03657AE0"/>
    <w:rsid w:val="03685798"/>
    <w:rsid w:val="03A762C0"/>
    <w:rsid w:val="03B552BF"/>
    <w:rsid w:val="04166978"/>
    <w:rsid w:val="04256813"/>
    <w:rsid w:val="049745E6"/>
    <w:rsid w:val="04D211E1"/>
    <w:rsid w:val="050504F2"/>
    <w:rsid w:val="051B7095"/>
    <w:rsid w:val="05B11678"/>
    <w:rsid w:val="06765EB3"/>
    <w:rsid w:val="06EB6E0C"/>
    <w:rsid w:val="07315422"/>
    <w:rsid w:val="077B76C7"/>
    <w:rsid w:val="079C4F69"/>
    <w:rsid w:val="07AF7E3A"/>
    <w:rsid w:val="07B57525"/>
    <w:rsid w:val="07FF2A68"/>
    <w:rsid w:val="08571C6F"/>
    <w:rsid w:val="091E5277"/>
    <w:rsid w:val="099A723F"/>
    <w:rsid w:val="099B68C7"/>
    <w:rsid w:val="09CF0627"/>
    <w:rsid w:val="0A4633B3"/>
    <w:rsid w:val="0A717628"/>
    <w:rsid w:val="0A7D5943"/>
    <w:rsid w:val="0A7F3E90"/>
    <w:rsid w:val="0A851326"/>
    <w:rsid w:val="0A8E01DA"/>
    <w:rsid w:val="0ABA7E2B"/>
    <w:rsid w:val="0B07316A"/>
    <w:rsid w:val="0B674587"/>
    <w:rsid w:val="0B9F78C4"/>
    <w:rsid w:val="0BFF2A12"/>
    <w:rsid w:val="0C42783D"/>
    <w:rsid w:val="0C4918D8"/>
    <w:rsid w:val="0C7D5BCC"/>
    <w:rsid w:val="0CE57E5A"/>
    <w:rsid w:val="0D0C188A"/>
    <w:rsid w:val="0D35251D"/>
    <w:rsid w:val="0D3861DB"/>
    <w:rsid w:val="0D907AAC"/>
    <w:rsid w:val="0DB632A3"/>
    <w:rsid w:val="0DFF4F4B"/>
    <w:rsid w:val="0E1E1875"/>
    <w:rsid w:val="0E9C279A"/>
    <w:rsid w:val="0EB45D35"/>
    <w:rsid w:val="0F5D63CD"/>
    <w:rsid w:val="0FBF10F5"/>
    <w:rsid w:val="0FD33513"/>
    <w:rsid w:val="106C2D6C"/>
    <w:rsid w:val="106F0166"/>
    <w:rsid w:val="107C2883"/>
    <w:rsid w:val="10825BDC"/>
    <w:rsid w:val="108A4FA0"/>
    <w:rsid w:val="10A05AB6"/>
    <w:rsid w:val="10A51DDA"/>
    <w:rsid w:val="112E1359"/>
    <w:rsid w:val="115A35DA"/>
    <w:rsid w:val="117C2CAF"/>
    <w:rsid w:val="11992A97"/>
    <w:rsid w:val="11A025A1"/>
    <w:rsid w:val="11C52749"/>
    <w:rsid w:val="11D706B9"/>
    <w:rsid w:val="1212029E"/>
    <w:rsid w:val="122C2897"/>
    <w:rsid w:val="122C67AF"/>
    <w:rsid w:val="12320AD3"/>
    <w:rsid w:val="1298527E"/>
    <w:rsid w:val="12B72298"/>
    <w:rsid w:val="13282C3A"/>
    <w:rsid w:val="1384217A"/>
    <w:rsid w:val="13A4281C"/>
    <w:rsid w:val="13EF7387"/>
    <w:rsid w:val="13FC1708"/>
    <w:rsid w:val="14090752"/>
    <w:rsid w:val="1485453A"/>
    <w:rsid w:val="14997E52"/>
    <w:rsid w:val="149A777C"/>
    <w:rsid w:val="14A875A9"/>
    <w:rsid w:val="14AA20CF"/>
    <w:rsid w:val="14C44282"/>
    <w:rsid w:val="14E07884"/>
    <w:rsid w:val="14EF2D9D"/>
    <w:rsid w:val="15267261"/>
    <w:rsid w:val="15E05662"/>
    <w:rsid w:val="1618304E"/>
    <w:rsid w:val="16EF14C3"/>
    <w:rsid w:val="16F615E1"/>
    <w:rsid w:val="16FD4DA7"/>
    <w:rsid w:val="17116295"/>
    <w:rsid w:val="172A4906"/>
    <w:rsid w:val="17454C50"/>
    <w:rsid w:val="17A10E21"/>
    <w:rsid w:val="17BB5C7E"/>
    <w:rsid w:val="17CC7D12"/>
    <w:rsid w:val="18174BF7"/>
    <w:rsid w:val="18A4506D"/>
    <w:rsid w:val="18B352B0"/>
    <w:rsid w:val="18C22FD0"/>
    <w:rsid w:val="191F5031"/>
    <w:rsid w:val="192C444D"/>
    <w:rsid w:val="1941324A"/>
    <w:rsid w:val="19A52E4A"/>
    <w:rsid w:val="19A67E85"/>
    <w:rsid w:val="19B1359D"/>
    <w:rsid w:val="19E00326"/>
    <w:rsid w:val="1A3D64FA"/>
    <w:rsid w:val="1A434604"/>
    <w:rsid w:val="1A55661F"/>
    <w:rsid w:val="1AB606AD"/>
    <w:rsid w:val="1B1052FF"/>
    <w:rsid w:val="1B6A60FA"/>
    <w:rsid w:val="1C6E5EBD"/>
    <w:rsid w:val="1C9E3D80"/>
    <w:rsid w:val="1CB23CCE"/>
    <w:rsid w:val="1CC8314A"/>
    <w:rsid w:val="1CE123EB"/>
    <w:rsid w:val="1D8B7972"/>
    <w:rsid w:val="1DE54BF7"/>
    <w:rsid w:val="1E2455AF"/>
    <w:rsid w:val="1E440899"/>
    <w:rsid w:val="1E845724"/>
    <w:rsid w:val="1EB503B8"/>
    <w:rsid w:val="1F1F115D"/>
    <w:rsid w:val="1F66307C"/>
    <w:rsid w:val="1F8732E2"/>
    <w:rsid w:val="1FA0658E"/>
    <w:rsid w:val="1FAB7D05"/>
    <w:rsid w:val="1FF066A7"/>
    <w:rsid w:val="1FF5537C"/>
    <w:rsid w:val="20001123"/>
    <w:rsid w:val="200E66D0"/>
    <w:rsid w:val="20220091"/>
    <w:rsid w:val="203B0C19"/>
    <w:rsid w:val="20783067"/>
    <w:rsid w:val="210577C3"/>
    <w:rsid w:val="214759BB"/>
    <w:rsid w:val="214A05D5"/>
    <w:rsid w:val="215D5409"/>
    <w:rsid w:val="217F52D4"/>
    <w:rsid w:val="2184699E"/>
    <w:rsid w:val="21E36C06"/>
    <w:rsid w:val="22D75433"/>
    <w:rsid w:val="23964812"/>
    <w:rsid w:val="23D42926"/>
    <w:rsid w:val="240D7F6A"/>
    <w:rsid w:val="243512C2"/>
    <w:rsid w:val="245A2A83"/>
    <w:rsid w:val="2481054C"/>
    <w:rsid w:val="24F2445B"/>
    <w:rsid w:val="2540611D"/>
    <w:rsid w:val="25B34B41"/>
    <w:rsid w:val="25F7342D"/>
    <w:rsid w:val="26527EC1"/>
    <w:rsid w:val="266D3BDD"/>
    <w:rsid w:val="27053614"/>
    <w:rsid w:val="270F224B"/>
    <w:rsid w:val="27196C26"/>
    <w:rsid w:val="274209C4"/>
    <w:rsid w:val="27675CB5"/>
    <w:rsid w:val="27ED20E8"/>
    <w:rsid w:val="28084D6B"/>
    <w:rsid w:val="2852419D"/>
    <w:rsid w:val="28A8200F"/>
    <w:rsid w:val="28AF339E"/>
    <w:rsid w:val="28B37AEE"/>
    <w:rsid w:val="28B906C0"/>
    <w:rsid w:val="28C013B8"/>
    <w:rsid w:val="28CA0C78"/>
    <w:rsid w:val="28D472A8"/>
    <w:rsid w:val="28DB5305"/>
    <w:rsid w:val="2901491E"/>
    <w:rsid w:val="29100B7F"/>
    <w:rsid w:val="295B56BE"/>
    <w:rsid w:val="299A1E56"/>
    <w:rsid w:val="29CC4423"/>
    <w:rsid w:val="2A631BFA"/>
    <w:rsid w:val="2ABF1892"/>
    <w:rsid w:val="2ADE7ECE"/>
    <w:rsid w:val="2B78193E"/>
    <w:rsid w:val="2B9309E9"/>
    <w:rsid w:val="2CA3158F"/>
    <w:rsid w:val="2CB54BAE"/>
    <w:rsid w:val="2CC90116"/>
    <w:rsid w:val="2D34397D"/>
    <w:rsid w:val="2D491E4E"/>
    <w:rsid w:val="2DD26343"/>
    <w:rsid w:val="2E29045C"/>
    <w:rsid w:val="2EE30245"/>
    <w:rsid w:val="2EFA227D"/>
    <w:rsid w:val="2EFF4240"/>
    <w:rsid w:val="2F0070FF"/>
    <w:rsid w:val="2F4B5DEA"/>
    <w:rsid w:val="2FB71C5E"/>
    <w:rsid w:val="2FD25729"/>
    <w:rsid w:val="2FDE0A0C"/>
    <w:rsid w:val="30087837"/>
    <w:rsid w:val="300B3EF7"/>
    <w:rsid w:val="306C7DC6"/>
    <w:rsid w:val="308629F1"/>
    <w:rsid w:val="308710A4"/>
    <w:rsid w:val="30F878AC"/>
    <w:rsid w:val="31056097"/>
    <w:rsid w:val="312F0A5D"/>
    <w:rsid w:val="314F218D"/>
    <w:rsid w:val="315A728F"/>
    <w:rsid w:val="31C12B49"/>
    <w:rsid w:val="31D34310"/>
    <w:rsid w:val="322A7BA0"/>
    <w:rsid w:val="32785148"/>
    <w:rsid w:val="332F2635"/>
    <w:rsid w:val="33AD5E70"/>
    <w:rsid w:val="33BC3AED"/>
    <w:rsid w:val="33D454F4"/>
    <w:rsid w:val="33FE167D"/>
    <w:rsid w:val="34232E92"/>
    <w:rsid w:val="344546ED"/>
    <w:rsid w:val="34741EF5"/>
    <w:rsid w:val="348203CC"/>
    <w:rsid w:val="34956EF7"/>
    <w:rsid w:val="34CC172C"/>
    <w:rsid w:val="34F605A6"/>
    <w:rsid w:val="35103416"/>
    <w:rsid w:val="351B1DBB"/>
    <w:rsid w:val="356F31ED"/>
    <w:rsid w:val="35C7247E"/>
    <w:rsid w:val="36407D2B"/>
    <w:rsid w:val="36C720A4"/>
    <w:rsid w:val="36CA45FF"/>
    <w:rsid w:val="36E763F9"/>
    <w:rsid w:val="36FB4E95"/>
    <w:rsid w:val="374643BF"/>
    <w:rsid w:val="37515F68"/>
    <w:rsid w:val="37910D23"/>
    <w:rsid w:val="379A16BD"/>
    <w:rsid w:val="37EA2644"/>
    <w:rsid w:val="38123949"/>
    <w:rsid w:val="381E4F90"/>
    <w:rsid w:val="381F22CA"/>
    <w:rsid w:val="38635F40"/>
    <w:rsid w:val="38CD2F41"/>
    <w:rsid w:val="38E76B84"/>
    <w:rsid w:val="393022D9"/>
    <w:rsid w:val="39401BFB"/>
    <w:rsid w:val="3946568F"/>
    <w:rsid w:val="396467DA"/>
    <w:rsid w:val="39677CC5"/>
    <w:rsid w:val="39BE51FE"/>
    <w:rsid w:val="39C944DB"/>
    <w:rsid w:val="39E7174C"/>
    <w:rsid w:val="3A267238"/>
    <w:rsid w:val="3A282FB0"/>
    <w:rsid w:val="3A5F6FA4"/>
    <w:rsid w:val="3B0D2651"/>
    <w:rsid w:val="3B636846"/>
    <w:rsid w:val="3B9308FD"/>
    <w:rsid w:val="3B9A04C3"/>
    <w:rsid w:val="3BB058DF"/>
    <w:rsid w:val="3BE77EE8"/>
    <w:rsid w:val="3C026B5A"/>
    <w:rsid w:val="3C3B78B7"/>
    <w:rsid w:val="3C544E18"/>
    <w:rsid w:val="3C7E2D5D"/>
    <w:rsid w:val="3CC02D57"/>
    <w:rsid w:val="3CEA6F69"/>
    <w:rsid w:val="3D4438A4"/>
    <w:rsid w:val="3D65276D"/>
    <w:rsid w:val="3D74650C"/>
    <w:rsid w:val="3DE13744"/>
    <w:rsid w:val="3E711624"/>
    <w:rsid w:val="3EC314F9"/>
    <w:rsid w:val="3EC3774B"/>
    <w:rsid w:val="3EF73899"/>
    <w:rsid w:val="3F0E6460"/>
    <w:rsid w:val="3F103CE8"/>
    <w:rsid w:val="3F402B4A"/>
    <w:rsid w:val="3F47037C"/>
    <w:rsid w:val="40161AFD"/>
    <w:rsid w:val="40324CB6"/>
    <w:rsid w:val="40540EB2"/>
    <w:rsid w:val="40A46C64"/>
    <w:rsid w:val="40C66BAA"/>
    <w:rsid w:val="410440E3"/>
    <w:rsid w:val="414A70D3"/>
    <w:rsid w:val="41D13F2D"/>
    <w:rsid w:val="42170C14"/>
    <w:rsid w:val="426B2521"/>
    <w:rsid w:val="428E62C2"/>
    <w:rsid w:val="429447A7"/>
    <w:rsid w:val="42A3588E"/>
    <w:rsid w:val="42FE0D52"/>
    <w:rsid w:val="430C4A6A"/>
    <w:rsid w:val="431A2044"/>
    <w:rsid w:val="43890291"/>
    <w:rsid w:val="43A22025"/>
    <w:rsid w:val="43F62371"/>
    <w:rsid w:val="442A5B77"/>
    <w:rsid w:val="445552E9"/>
    <w:rsid w:val="447E5D45"/>
    <w:rsid w:val="44894F93"/>
    <w:rsid w:val="44905C85"/>
    <w:rsid w:val="44BC1D0B"/>
    <w:rsid w:val="44F7014F"/>
    <w:rsid w:val="45086A21"/>
    <w:rsid w:val="451313F6"/>
    <w:rsid w:val="451424A6"/>
    <w:rsid w:val="451505D5"/>
    <w:rsid w:val="452F0230"/>
    <w:rsid w:val="457346DD"/>
    <w:rsid w:val="459D7124"/>
    <w:rsid w:val="45E628A4"/>
    <w:rsid w:val="45EF2334"/>
    <w:rsid w:val="461E0E78"/>
    <w:rsid w:val="4654337F"/>
    <w:rsid w:val="46607F75"/>
    <w:rsid w:val="466F1F67"/>
    <w:rsid w:val="47176F32"/>
    <w:rsid w:val="478B1479"/>
    <w:rsid w:val="47906002"/>
    <w:rsid w:val="47CC0E96"/>
    <w:rsid w:val="47E32C0C"/>
    <w:rsid w:val="47EC7924"/>
    <w:rsid w:val="47F05F7E"/>
    <w:rsid w:val="480F4B69"/>
    <w:rsid w:val="48114A5C"/>
    <w:rsid w:val="485B6C46"/>
    <w:rsid w:val="48C57B72"/>
    <w:rsid w:val="48E1539E"/>
    <w:rsid w:val="495E3C20"/>
    <w:rsid w:val="4A0749B4"/>
    <w:rsid w:val="4AC92229"/>
    <w:rsid w:val="4ADF3B5F"/>
    <w:rsid w:val="4B6E0F67"/>
    <w:rsid w:val="4B8E3F04"/>
    <w:rsid w:val="4BBF2516"/>
    <w:rsid w:val="4BE00E54"/>
    <w:rsid w:val="4BF70A34"/>
    <w:rsid w:val="4C2A0E0A"/>
    <w:rsid w:val="4C52210E"/>
    <w:rsid w:val="4C706C59"/>
    <w:rsid w:val="4CD946AF"/>
    <w:rsid w:val="4D535F5D"/>
    <w:rsid w:val="4D657CB8"/>
    <w:rsid w:val="4D991782"/>
    <w:rsid w:val="4DED6593"/>
    <w:rsid w:val="4E0631B0"/>
    <w:rsid w:val="4E110673"/>
    <w:rsid w:val="4E34015F"/>
    <w:rsid w:val="4E3F7C2B"/>
    <w:rsid w:val="4E4F3732"/>
    <w:rsid w:val="4E5D0D0D"/>
    <w:rsid w:val="4E8F13F8"/>
    <w:rsid w:val="4ED56CDE"/>
    <w:rsid w:val="4F0040A4"/>
    <w:rsid w:val="4F054267"/>
    <w:rsid w:val="4F337FD5"/>
    <w:rsid w:val="4F6463E1"/>
    <w:rsid w:val="4F7101D7"/>
    <w:rsid w:val="4F954452"/>
    <w:rsid w:val="4FA90297"/>
    <w:rsid w:val="4FB45333"/>
    <w:rsid w:val="4FB6645F"/>
    <w:rsid w:val="4FB9575F"/>
    <w:rsid w:val="500926AD"/>
    <w:rsid w:val="5048602F"/>
    <w:rsid w:val="505B2B27"/>
    <w:rsid w:val="506863A4"/>
    <w:rsid w:val="506F7733"/>
    <w:rsid w:val="507B60D8"/>
    <w:rsid w:val="508F1B83"/>
    <w:rsid w:val="50B454FE"/>
    <w:rsid w:val="50BB64D4"/>
    <w:rsid w:val="50DC15AD"/>
    <w:rsid w:val="50E377D9"/>
    <w:rsid w:val="50EF71A2"/>
    <w:rsid w:val="50F33EC0"/>
    <w:rsid w:val="51172D37"/>
    <w:rsid w:val="516C7893"/>
    <w:rsid w:val="518E5997"/>
    <w:rsid w:val="51BD627C"/>
    <w:rsid w:val="51CF7D67"/>
    <w:rsid w:val="51D53CC0"/>
    <w:rsid w:val="520F72C5"/>
    <w:rsid w:val="525C449F"/>
    <w:rsid w:val="52F7756C"/>
    <w:rsid w:val="533640E3"/>
    <w:rsid w:val="535C4392"/>
    <w:rsid w:val="538F59F6"/>
    <w:rsid w:val="53A21BCD"/>
    <w:rsid w:val="53B953E8"/>
    <w:rsid w:val="5411465D"/>
    <w:rsid w:val="541B6911"/>
    <w:rsid w:val="54503598"/>
    <w:rsid w:val="545A1B84"/>
    <w:rsid w:val="548B2C34"/>
    <w:rsid w:val="5495703C"/>
    <w:rsid w:val="549D1A54"/>
    <w:rsid w:val="550C37A2"/>
    <w:rsid w:val="55431E6C"/>
    <w:rsid w:val="55BD684B"/>
    <w:rsid w:val="55BE25C3"/>
    <w:rsid w:val="55DA473D"/>
    <w:rsid w:val="55F04E72"/>
    <w:rsid w:val="56701B0F"/>
    <w:rsid w:val="56911E66"/>
    <w:rsid w:val="57EC1669"/>
    <w:rsid w:val="580B12DB"/>
    <w:rsid w:val="58603D02"/>
    <w:rsid w:val="58727E47"/>
    <w:rsid w:val="58AE691E"/>
    <w:rsid w:val="58B55EFF"/>
    <w:rsid w:val="58B57CAD"/>
    <w:rsid w:val="59017396"/>
    <w:rsid w:val="59142C25"/>
    <w:rsid w:val="59BB15BB"/>
    <w:rsid w:val="59EC702F"/>
    <w:rsid w:val="5A234BBD"/>
    <w:rsid w:val="5A6607A3"/>
    <w:rsid w:val="5A971D60"/>
    <w:rsid w:val="5AB4328E"/>
    <w:rsid w:val="5ABA2D1E"/>
    <w:rsid w:val="5AD06285"/>
    <w:rsid w:val="5ADA61C0"/>
    <w:rsid w:val="5AFF7C3D"/>
    <w:rsid w:val="5B1B01B2"/>
    <w:rsid w:val="5B4D0671"/>
    <w:rsid w:val="5BCF4C8F"/>
    <w:rsid w:val="5BEA5EBF"/>
    <w:rsid w:val="5BED0BE1"/>
    <w:rsid w:val="5BF73D42"/>
    <w:rsid w:val="5C292E8C"/>
    <w:rsid w:val="5C5B0B6B"/>
    <w:rsid w:val="5CCA39C5"/>
    <w:rsid w:val="5CD223FA"/>
    <w:rsid w:val="5CDA384F"/>
    <w:rsid w:val="5D150520"/>
    <w:rsid w:val="5D284EF1"/>
    <w:rsid w:val="5DF04B2E"/>
    <w:rsid w:val="5E8B0878"/>
    <w:rsid w:val="5E9D7CBF"/>
    <w:rsid w:val="5EFC6A61"/>
    <w:rsid w:val="5F3A6D8E"/>
    <w:rsid w:val="5F710AED"/>
    <w:rsid w:val="5FBC7B73"/>
    <w:rsid w:val="602D2199"/>
    <w:rsid w:val="604D4C6F"/>
    <w:rsid w:val="607D37A6"/>
    <w:rsid w:val="609A32B8"/>
    <w:rsid w:val="60C54233"/>
    <w:rsid w:val="60E23212"/>
    <w:rsid w:val="6151078F"/>
    <w:rsid w:val="626211DC"/>
    <w:rsid w:val="6281661B"/>
    <w:rsid w:val="62882194"/>
    <w:rsid w:val="62C84A81"/>
    <w:rsid w:val="62D50AA8"/>
    <w:rsid w:val="63011AC7"/>
    <w:rsid w:val="633640E0"/>
    <w:rsid w:val="633C34D4"/>
    <w:rsid w:val="63822E81"/>
    <w:rsid w:val="638E7A78"/>
    <w:rsid w:val="63974952"/>
    <w:rsid w:val="639D1B13"/>
    <w:rsid w:val="63A9658E"/>
    <w:rsid w:val="63D31FD9"/>
    <w:rsid w:val="64416899"/>
    <w:rsid w:val="648275DD"/>
    <w:rsid w:val="649C10C9"/>
    <w:rsid w:val="64AB44C5"/>
    <w:rsid w:val="64BC23C3"/>
    <w:rsid w:val="64E53BDD"/>
    <w:rsid w:val="65143FAD"/>
    <w:rsid w:val="6546685C"/>
    <w:rsid w:val="65480BE4"/>
    <w:rsid w:val="65D22FBC"/>
    <w:rsid w:val="65F75DA9"/>
    <w:rsid w:val="66F94CF1"/>
    <w:rsid w:val="67366C15"/>
    <w:rsid w:val="673A282D"/>
    <w:rsid w:val="674F2039"/>
    <w:rsid w:val="67566DBE"/>
    <w:rsid w:val="67A045E9"/>
    <w:rsid w:val="67FB263C"/>
    <w:rsid w:val="688471B6"/>
    <w:rsid w:val="68945B31"/>
    <w:rsid w:val="68AB717E"/>
    <w:rsid w:val="68C006D4"/>
    <w:rsid w:val="68E861BF"/>
    <w:rsid w:val="68F67ED0"/>
    <w:rsid w:val="696D0F78"/>
    <w:rsid w:val="6A2C3B47"/>
    <w:rsid w:val="6A300770"/>
    <w:rsid w:val="6A684E6E"/>
    <w:rsid w:val="6A717521"/>
    <w:rsid w:val="6A774E57"/>
    <w:rsid w:val="6A903BA8"/>
    <w:rsid w:val="6AA87672"/>
    <w:rsid w:val="6ABC6689"/>
    <w:rsid w:val="6B1B6EFD"/>
    <w:rsid w:val="6B47256C"/>
    <w:rsid w:val="6BEF307E"/>
    <w:rsid w:val="6C467142"/>
    <w:rsid w:val="6C5D65C4"/>
    <w:rsid w:val="6C9628A1"/>
    <w:rsid w:val="6CA305E5"/>
    <w:rsid w:val="6CD940BD"/>
    <w:rsid w:val="6CF7668E"/>
    <w:rsid w:val="6D1575D2"/>
    <w:rsid w:val="6D3240E6"/>
    <w:rsid w:val="6D3D6184"/>
    <w:rsid w:val="6E080427"/>
    <w:rsid w:val="6E3D5997"/>
    <w:rsid w:val="6E49682B"/>
    <w:rsid w:val="6EAD16FA"/>
    <w:rsid w:val="6EAF50A7"/>
    <w:rsid w:val="6ED30A35"/>
    <w:rsid w:val="6F062BB9"/>
    <w:rsid w:val="6F15104E"/>
    <w:rsid w:val="6F5A5B6A"/>
    <w:rsid w:val="6FA7439C"/>
    <w:rsid w:val="6FC14D32"/>
    <w:rsid w:val="6FC529DB"/>
    <w:rsid w:val="704D374B"/>
    <w:rsid w:val="70527801"/>
    <w:rsid w:val="70691651"/>
    <w:rsid w:val="707149AA"/>
    <w:rsid w:val="708B7819"/>
    <w:rsid w:val="70A408DB"/>
    <w:rsid w:val="70CD4C0D"/>
    <w:rsid w:val="70DC386F"/>
    <w:rsid w:val="70E40F2E"/>
    <w:rsid w:val="71B63728"/>
    <w:rsid w:val="71E573FD"/>
    <w:rsid w:val="71FB452B"/>
    <w:rsid w:val="72306725"/>
    <w:rsid w:val="723F6B0D"/>
    <w:rsid w:val="724E4FA2"/>
    <w:rsid w:val="72856678"/>
    <w:rsid w:val="72A22035"/>
    <w:rsid w:val="73024AE7"/>
    <w:rsid w:val="73045661"/>
    <w:rsid w:val="73430895"/>
    <w:rsid w:val="73497518"/>
    <w:rsid w:val="740645AE"/>
    <w:rsid w:val="742F3BE4"/>
    <w:rsid w:val="74F546C2"/>
    <w:rsid w:val="750A1FC2"/>
    <w:rsid w:val="75E023B5"/>
    <w:rsid w:val="762B73A9"/>
    <w:rsid w:val="763F178F"/>
    <w:rsid w:val="76BC58ED"/>
    <w:rsid w:val="77007BE9"/>
    <w:rsid w:val="77527A03"/>
    <w:rsid w:val="775A6197"/>
    <w:rsid w:val="77753178"/>
    <w:rsid w:val="777C4360"/>
    <w:rsid w:val="77846FE4"/>
    <w:rsid w:val="780A3AF8"/>
    <w:rsid w:val="780D4FB8"/>
    <w:rsid w:val="783F0EE9"/>
    <w:rsid w:val="78632455"/>
    <w:rsid w:val="787162E9"/>
    <w:rsid w:val="792523E1"/>
    <w:rsid w:val="795F4EC3"/>
    <w:rsid w:val="79856D0A"/>
    <w:rsid w:val="79E955B1"/>
    <w:rsid w:val="79F91C98"/>
    <w:rsid w:val="7A020420"/>
    <w:rsid w:val="7A0D486A"/>
    <w:rsid w:val="7A1C50BE"/>
    <w:rsid w:val="7A4A24F3"/>
    <w:rsid w:val="7A9E58E0"/>
    <w:rsid w:val="7AA21FFC"/>
    <w:rsid w:val="7AC22CA0"/>
    <w:rsid w:val="7B3B1E3C"/>
    <w:rsid w:val="7B5F5B2A"/>
    <w:rsid w:val="7B7D4202"/>
    <w:rsid w:val="7B900CE5"/>
    <w:rsid w:val="7BA54E4D"/>
    <w:rsid w:val="7C0E12FE"/>
    <w:rsid w:val="7C393050"/>
    <w:rsid w:val="7C4F5256"/>
    <w:rsid w:val="7C705B15"/>
    <w:rsid w:val="7C7936DF"/>
    <w:rsid w:val="7C7B2E38"/>
    <w:rsid w:val="7C7E46D6"/>
    <w:rsid w:val="7CD442F6"/>
    <w:rsid w:val="7CEA1D6C"/>
    <w:rsid w:val="7CEA32F9"/>
    <w:rsid w:val="7CEF7382"/>
    <w:rsid w:val="7D2630BD"/>
    <w:rsid w:val="7D4C20DE"/>
    <w:rsid w:val="7E301A00"/>
    <w:rsid w:val="7E314CDB"/>
    <w:rsid w:val="7E3C65F7"/>
    <w:rsid w:val="7E68788E"/>
    <w:rsid w:val="7ED607F9"/>
    <w:rsid w:val="7EF023E3"/>
    <w:rsid w:val="7EFE7FF5"/>
    <w:rsid w:val="7F427C3D"/>
    <w:rsid w:val="7FE569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6"/>
    <w:autoRedefine/>
    <w:qFormat/>
    <w:uiPriority w:val="0"/>
    <w:pPr>
      <w:keepNext/>
      <w:keepLines/>
      <w:spacing w:before="340" w:after="330" w:line="578" w:lineRule="auto"/>
      <w:outlineLvl w:val="0"/>
    </w:pPr>
    <w:rPr>
      <w:rFonts w:ascii="Calibri" w:hAnsi="Calibri"/>
      <w:b/>
      <w:bCs/>
      <w:kern w:val="44"/>
      <w:sz w:val="44"/>
      <w:szCs w:val="44"/>
    </w:rPr>
  </w:style>
  <w:style w:type="paragraph" w:styleId="3">
    <w:name w:val="heading 2"/>
    <w:basedOn w:val="1"/>
    <w:next w:val="1"/>
    <w:link w:val="28"/>
    <w:autoRedefine/>
    <w:qFormat/>
    <w:uiPriority w:val="0"/>
    <w:pPr>
      <w:keepNext/>
      <w:keepLines/>
      <w:spacing w:before="260" w:after="260" w:line="416" w:lineRule="auto"/>
      <w:outlineLvl w:val="1"/>
    </w:pPr>
    <w:rPr>
      <w:rFonts w:ascii="Cambria" w:hAnsi="Cambria"/>
      <w:b/>
      <w:bCs/>
      <w:sz w:val="32"/>
      <w:szCs w:val="32"/>
    </w:rPr>
  </w:style>
  <w:style w:type="paragraph" w:styleId="4">
    <w:name w:val="heading 3"/>
    <w:basedOn w:val="1"/>
    <w:next w:val="1"/>
    <w:autoRedefine/>
    <w:qFormat/>
    <w:uiPriority w:val="0"/>
    <w:pPr>
      <w:keepNext/>
      <w:keepLines/>
      <w:spacing w:line="416" w:lineRule="auto"/>
      <w:outlineLvl w:val="2"/>
    </w:pPr>
    <w:rPr>
      <w:b/>
      <w:bCs/>
      <w:sz w:val="32"/>
      <w:szCs w:val="32"/>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6">
    <w:name w:val="caption"/>
    <w:basedOn w:val="1"/>
    <w:next w:val="1"/>
    <w:autoRedefine/>
    <w:unhideWhenUsed/>
    <w:qFormat/>
    <w:uiPriority w:val="0"/>
    <w:rPr>
      <w:rFonts w:ascii="Arial" w:hAnsi="Arial" w:eastAsia="黑体"/>
      <w:sz w:val="20"/>
    </w:rPr>
  </w:style>
  <w:style w:type="paragraph" w:styleId="7">
    <w:name w:val="annotation text"/>
    <w:basedOn w:val="1"/>
    <w:autoRedefine/>
    <w:qFormat/>
    <w:uiPriority w:val="0"/>
    <w:pPr>
      <w:jc w:val="left"/>
    </w:pPr>
  </w:style>
  <w:style w:type="paragraph" w:styleId="8">
    <w:name w:val="Body Text"/>
    <w:basedOn w:val="1"/>
    <w:semiHidden/>
    <w:qFormat/>
    <w:uiPriority w:val="0"/>
    <w:rPr>
      <w:rFonts w:ascii="仿宋" w:hAnsi="仿宋" w:eastAsia="仿宋" w:cs="仿宋"/>
      <w:sz w:val="30"/>
      <w:szCs w:val="30"/>
      <w:lang w:val="en-US" w:eastAsia="en-US" w:bidi="ar-SA"/>
    </w:rPr>
  </w:style>
  <w:style w:type="paragraph" w:styleId="9">
    <w:name w:val="Balloon Text"/>
    <w:basedOn w:val="1"/>
    <w:link w:val="32"/>
    <w:autoRedefine/>
    <w:semiHidden/>
    <w:unhideWhenUsed/>
    <w:qFormat/>
    <w:uiPriority w:val="0"/>
    <w:rPr>
      <w:sz w:val="18"/>
      <w:szCs w:val="18"/>
    </w:r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autoRedefine/>
    <w:qFormat/>
    <w:uiPriority w:val="39"/>
  </w:style>
  <w:style w:type="paragraph" w:styleId="13">
    <w:name w:val="table of figures"/>
    <w:basedOn w:val="1"/>
    <w:next w:val="1"/>
    <w:autoRedefine/>
    <w:qFormat/>
    <w:uiPriority w:val="0"/>
    <w:pPr>
      <w:ind w:left="200" w:leftChars="200" w:hanging="200" w:hangingChars="200"/>
    </w:pPr>
  </w:style>
  <w:style w:type="paragraph" w:styleId="14">
    <w:name w:val="toc 2"/>
    <w:basedOn w:val="1"/>
    <w:next w:val="1"/>
    <w:autoRedefine/>
    <w:qFormat/>
    <w:uiPriority w:val="39"/>
    <w:pPr>
      <w:ind w:left="420" w:leftChars="200"/>
    </w:pPr>
  </w:style>
  <w:style w:type="paragraph" w:styleId="15">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paragraph" w:styleId="16">
    <w:name w:val="Title"/>
    <w:basedOn w:val="1"/>
    <w:autoRedefine/>
    <w:qFormat/>
    <w:uiPriority w:val="0"/>
    <w:pPr>
      <w:spacing w:before="240" w:after="60"/>
      <w:jc w:val="center"/>
      <w:outlineLvl w:val="0"/>
    </w:pPr>
    <w:rPr>
      <w:rFonts w:ascii="Arial" w:hAnsi="Arial"/>
      <w:b/>
      <w:sz w:val="32"/>
    </w:rPr>
  </w:style>
  <w:style w:type="table" w:styleId="18">
    <w:name w:val="Table Grid"/>
    <w:basedOn w:val="17"/>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autoRedefine/>
    <w:qFormat/>
    <w:uiPriority w:val="22"/>
    <w:rPr>
      <w:b/>
      <w:bCs/>
    </w:rPr>
  </w:style>
  <w:style w:type="character" w:styleId="21">
    <w:name w:val="page number"/>
    <w:autoRedefine/>
    <w:qFormat/>
    <w:uiPriority w:val="0"/>
    <w:rPr>
      <w:rFonts w:cs="Times New Roman"/>
    </w:rPr>
  </w:style>
  <w:style w:type="character" w:styleId="22">
    <w:name w:val="Emphasis"/>
    <w:basedOn w:val="19"/>
    <w:autoRedefine/>
    <w:qFormat/>
    <w:uiPriority w:val="20"/>
    <w:rPr>
      <w:i/>
      <w:iCs/>
    </w:rPr>
  </w:style>
  <w:style w:type="character" w:styleId="23">
    <w:name w:val="Hyperlink"/>
    <w:basedOn w:val="19"/>
    <w:autoRedefine/>
    <w:unhideWhenUsed/>
    <w:qFormat/>
    <w:uiPriority w:val="99"/>
    <w:rPr>
      <w:color w:val="0563C1" w:themeColor="hyperlink"/>
      <w:u w:val="single"/>
      <w14:textFill>
        <w14:solidFill>
          <w14:schemeClr w14:val="hlink"/>
        </w14:solidFill>
      </w14:textFill>
    </w:rPr>
  </w:style>
  <w:style w:type="paragraph" w:customStyle="1" w:styleId="24">
    <w:name w:val="讲话稿标题"/>
    <w:basedOn w:val="16"/>
    <w:next w:val="1"/>
    <w:autoRedefine/>
    <w:qFormat/>
    <w:uiPriority w:val="0"/>
    <w:rPr>
      <w:rFonts w:eastAsia="方正小标宋简体" w:asciiTheme="minorHAnsi" w:hAnsiTheme="minorHAnsi"/>
      <w:b w:val="0"/>
      <w:sz w:val="44"/>
    </w:rPr>
  </w:style>
  <w:style w:type="paragraph" w:customStyle="1" w:styleId="25">
    <w:name w:val="李校长讲话正文"/>
    <w:basedOn w:val="1"/>
    <w:autoRedefine/>
    <w:qFormat/>
    <w:uiPriority w:val="0"/>
    <w:pPr>
      <w:jc w:val="left"/>
    </w:pPr>
    <w:rPr>
      <w:rFonts w:eastAsia="仿宋_GB2312" w:asciiTheme="minorHAnsi" w:hAnsiTheme="minorHAnsi"/>
      <w:sz w:val="36"/>
    </w:rPr>
  </w:style>
  <w:style w:type="paragraph" w:customStyle="1" w:styleId="26">
    <w:name w:val="vsbcontent_start"/>
    <w:basedOn w:val="1"/>
    <w:autoRedefine/>
    <w:qFormat/>
    <w:uiPriority w:val="0"/>
    <w:pPr>
      <w:widowControl/>
      <w:jc w:val="left"/>
    </w:pPr>
    <w:rPr>
      <w:rFonts w:ascii="宋体" w:hAnsi="宋体" w:cs="宋体"/>
      <w:kern w:val="0"/>
      <w:sz w:val="24"/>
    </w:rPr>
  </w:style>
  <w:style w:type="paragraph" w:styleId="27">
    <w:name w:val="List Paragraph"/>
    <w:basedOn w:val="1"/>
    <w:autoRedefine/>
    <w:qFormat/>
    <w:uiPriority w:val="34"/>
    <w:pPr>
      <w:ind w:firstLine="420" w:firstLineChars="200"/>
    </w:pPr>
  </w:style>
  <w:style w:type="character" w:customStyle="1" w:styleId="28">
    <w:name w:val="标题 2 字符"/>
    <w:basedOn w:val="19"/>
    <w:link w:val="3"/>
    <w:autoRedefine/>
    <w:qFormat/>
    <w:uiPriority w:val="0"/>
    <w:rPr>
      <w:rFonts w:ascii="Cambria" w:hAnsi="Cambria" w:eastAsia="宋体" w:cs="Times New Roman"/>
      <w:b/>
      <w:bCs/>
      <w:kern w:val="2"/>
      <w:sz w:val="32"/>
      <w:szCs w:val="32"/>
    </w:rPr>
  </w:style>
  <w:style w:type="paragraph" w:customStyle="1" w:styleId="29">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30">
    <w:name w:val="WPSOffice手动目录 1"/>
    <w:autoRedefine/>
    <w:qFormat/>
    <w:uiPriority w:val="0"/>
    <w:rPr>
      <w:rFonts w:asciiTheme="minorHAnsi" w:hAnsiTheme="minorHAnsi" w:eastAsiaTheme="minorEastAsia" w:cstheme="minorBidi"/>
      <w:lang w:val="en-US" w:eastAsia="zh-CN" w:bidi="ar-SA"/>
    </w:rPr>
  </w:style>
  <w:style w:type="character" w:customStyle="1" w:styleId="31">
    <w:name w:val="bjh-p"/>
    <w:basedOn w:val="19"/>
    <w:autoRedefine/>
    <w:qFormat/>
    <w:uiPriority w:val="0"/>
  </w:style>
  <w:style w:type="character" w:customStyle="1" w:styleId="32">
    <w:name w:val="批注框文本 字符"/>
    <w:basedOn w:val="19"/>
    <w:link w:val="9"/>
    <w:autoRedefine/>
    <w:semiHidden/>
    <w:qFormat/>
    <w:uiPriority w:val="0"/>
    <w:rPr>
      <w:kern w:val="2"/>
      <w:sz w:val="18"/>
      <w:szCs w:val="18"/>
    </w:rPr>
  </w:style>
  <w:style w:type="paragraph" w:customStyle="1" w:styleId="33">
    <w:name w:val="Table Text"/>
    <w:basedOn w:val="1"/>
    <w:autoRedefine/>
    <w:semiHidden/>
    <w:qFormat/>
    <w:uiPriority w:val="0"/>
    <w:rPr>
      <w:rFonts w:ascii="仿宋" w:hAnsi="仿宋" w:eastAsia="仿宋" w:cs="仿宋"/>
      <w:sz w:val="20"/>
      <w:szCs w:val="20"/>
      <w:lang w:eastAsia="en-US"/>
    </w:rPr>
  </w:style>
  <w:style w:type="table" w:customStyle="1" w:styleId="34">
    <w:name w:val="Table Normal"/>
    <w:autoRedefine/>
    <w:unhideWhenUsed/>
    <w:qFormat/>
    <w:uiPriority w:val="0"/>
    <w:tblPr>
      <w:tblCellMar>
        <w:top w:w="0" w:type="dxa"/>
        <w:left w:w="0" w:type="dxa"/>
        <w:bottom w:w="0" w:type="dxa"/>
        <w:right w:w="0" w:type="dxa"/>
      </w:tblCellMar>
    </w:tblPr>
  </w:style>
  <w:style w:type="character" w:customStyle="1" w:styleId="35">
    <w:name w:val="标题 1 字符"/>
    <w:link w:val="2"/>
    <w:autoRedefine/>
    <w:qFormat/>
    <w:uiPriority w:val="0"/>
    <w:rPr>
      <w:rFonts w:ascii="Calibri" w:hAnsi="Calibri"/>
      <w:b/>
      <w:bCs/>
      <w:kern w:val="44"/>
      <w:sz w:val="44"/>
      <w:szCs w:val="44"/>
    </w:rPr>
  </w:style>
  <w:style w:type="character" w:customStyle="1" w:styleId="36">
    <w:name w:val="标题 1 Char"/>
    <w:link w:val="2"/>
    <w:qFormat/>
    <w:uiPriority w:val="0"/>
    <w:rPr>
      <w:rFonts w:ascii="黑体" w:hAnsi="黑体" w:eastAsia="黑体" w:cs="黑体"/>
      <w:kern w:val="44"/>
      <w:sz w:val="32"/>
      <w:szCs w:val="32"/>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jpeg"/><Relationship Id="rId90" Type="http://schemas.openxmlformats.org/officeDocument/2006/relationships/image" Target="media/image80.jpeg"/><Relationship Id="rId9" Type="http://schemas.openxmlformats.org/officeDocument/2006/relationships/image" Target="media/image1.png"/><Relationship Id="rId89" Type="http://schemas.openxmlformats.org/officeDocument/2006/relationships/image" Target="media/image79.jpeg"/><Relationship Id="rId88" Type="http://schemas.openxmlformats.org/officeDocument/2006/relationships/image" Target="media/image78.jpeg"/><Relationship Id="rId87" Type="http://schemas.openxmlformats.org/officeDocument/2006/relationships/image" Target="media/image77.jpeg"/><Relationship Id="rId86" Type="http://schemas.openxmlformats.org/officeDocument/2006/relationships/image" Target="media/image76.png"/><Relationship Id="rId85" Type="http://schemas.openxmlformats.org/officeDocument/2006/relationships/image" Target="media/image75.jpe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chart" Target="charts/chart2.xml"/><Relationship Id="rId81" Type="http://schemas.openxmlformats.org/officeDocument/2006/relationships/chart" Target="charts/chart1.xml"/><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3.xml"/><Relationship Id="rId69" Type="http://schemas.openxmlformats.org/officeDocument/2006/relationships/image" Target="media/image61.jpe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header" Target="header2.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png"/><Relationship Id="rId43" Type="http://schemas.openxmlformats.org/officeDocument/2006/relationships/image" Target="media/image35.jpe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pn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file:///C:\Users\hh\Desktop\2025&#21457;&#23637;&#19982;&#36136;&#37327;&#25253;&#21578;\&#21508;&#31185;&#23460;&#27719;&#24635;\&#36130;&#21153;&#22788;-2025&#24180;&#36136;&#37327;&#25253;&#21578;.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hh\Desktop\2025&#21457;&#23637;&#19982;&#36136;&#37327;&#25253;&#21578;\&#21508;&#31185;&#23460;&#27719;&#24635;\&#36130;&#21153;&#22788;-2025&#24180;&#36136;&#37327;&#25253;&#2157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defTabSz="914400">
              <a:defRPr lang="zh-CN" sz="14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atin typeface="宋体" panose="02010600030101010101" charset="-122"/>
                <a:ea typeface="宋体" panose="02010600030101010101" charset="-122"/>
              </a:rPr>
              <a:t>教学经费支出情况一览表</a:t>
            </a:r>
            <a:endParaRPr>
              <a:latin typeface="宋体" panose="02010600030101010101" charset="-122"/>
              <a:ea typeface="宋体" panose="02010600030101010101" charset="-122"/>
            </a:endParaRPr>
          </a:p>
        </c:rich>
      </c:tx>
      <c:layout/>
      <c:overlay val="0"/>
      <c:spPr>
        <a:noFill/>
        <a:ln>
          <a:noFill/>
        </a:ln>
        <a:effectLst/>
      </c:spPr>
    </c:title>
    <c:autoTitleDeleted val="0"/>
    <c:plotArea>
      <c:layout/>
      <c:barChart>
        <c:barDir val="col"/>
        <c:grouping val="clustered"/>
        <c:varyColors val="0"/>
        <c:ser>
          <c:idx val="0"/>
          <c:order val="0"/>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'[财务处-2025年质量报告.xlsx]2022'!$B$6:$B$11</c:f>
              <c:strCache>
                <c:ptCount val="6"/>
                <c:pt idx="0">
                  <c:v>教学日常运行支出</c:v>
                </c:pt>
                <c:pt idx="1">
                  <c:v>教师培训费支出</c:v>
                </c:pt>
                <c:pt idx="2">
                  <c:v>信息网络及软件购置更新</c:v>
                </c:pt>
                <c:pt idx="3">
                  <c:v>学生实习设备购置费</c:v>
                </c:pt>
                <c:pt idx="4">
                  <c:v>图书购置费</c:v>
                </c:pt>
                <c:pt idx="5">
                  <c:v>实习专项经费</c:v>
                </c:pt>
              </c:strCache>
            </c:strRef>
          </c:cat>
          <c:val>
            <c:numRef>
              <c:f>'[财务处-2025年质量报告.xlsx]2022'!$C$6:$C$11</c:f>
              <c:numCache>
                <c:formatCode>General</c:formatCode>
                <c:ptCount val="6"/>
                <c:pt idx="0">
                  <c:v>168.41</c:v>
                </c:pt>
                <c:pt idx="1">
                  <c:v>30.91</c:v>
                </c:pt>
                <c:pt idx="2">
                  <c:v>8.8</c:v>
                </c:pt>
                <c:pt idx="3">
                  <c:v>43</c:v>
                </c:pt>
                <c:pt idx="4">
                  <c:v>11.25</c:v>
                </c:pt>
                <c:pt idx="5">
                  <c:v>17.53</c:v>
                </c:pt>
              </c:numCache>
            </c:numRef>
          </c:val>
        </c:ser>
        <c:dLbls>
          <c:showLegendKey val="0"/>
          <c:showVal val="1"/>
          <c:showCatName val="0"/>
          <c:showSerName val="0"/>
          <c:showPercent val="0"/>
          <c:showBubbleSize val="0"/>
        </c:dLbls>
        <c:gapWidth val="246"/>
        <c:overlap val="-28"/>
        <c:axId val="166432445"/>
        <c:axId val="69946785"/>
      </c:barChart>
      <c:catAx>
        <c:axId val="166432445"/>
        <c:scaling>
          <c:orientation val="minMax"/>
        </c:scaling>
        <c:delete val="0"/>
        <c:axPos val="b"/>
        <c:numFmt formatCode="General" sourceLinked="1"/>
        <c:majorTickMark val="none"/>
        <c:minorTickMark val="none"/>
        <c:tickLblPos val="nextTo"/>
        <c:spPr>
          <a:noFill/>
          <a:ln w="6350" cap="flat" cmpd="sng" algn="ctr">
            <a:solidFill>
              <a:schemeClr val="tx1">
                <a:lumMod val="50000"/>
                <a:lumOff val="50000"/>
                <a:alpha val="2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9946785"/>
        <c:crosses val="autoZero"/>
        <c:auto val="1"/>
        <c:lblAlgn val="ctr"/>
        <c:lblOffset val="100"/>
        <c:noMultiLvlLbl val="0"/>
      </c:catAx>
      <c:valAx>
        <c:axId val="69946785"/>
        <c:scaling>
          <c:orientation val="minMax"/>
        </c:scaling>
        <c:delete val="0"/>
        <c:axPos val="l"/>
        <c:majorGridlines>
          <c:spPr>
            <a:ln w="6350" cap="flat" cmpd="sng" algn="ctr">
              <a:solidFill>
                <a:schemeClr val="tx1">
                  <a:lumMod val="50000"/>
                  <a:lumOff val="50000"/>
                  <a:alpha val="2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166432445"/>
        <c:crosses val="autoZero"/>
        <c:crossBetween val="between"/>
      </c:valAx>
      <c:spPr>
        <a:noFill/>
        <a:ln>
          <a:noFill/>
        </a:ln>
        <a:effectLst/>
      </c:spPr>
    </c:plotArea>
    <c:plotVisOnly val="1"/>
    <c:dispBlanksAs val="gap"/>
    <c:showDLblsOverMax val="0"/>
    <c:extLst>
      <c:ext uri="{0b15fc19-7d7d-44ad-8c2d-2c3a37ce22c3}">
        <chartProps xmlns="https://web.wps.cn/et/2018/main" chartId="{4fed6f57-9db7-4c34-a7a5-db5bed48c021}"/>
      </c:ext>
    </c:extLst>
  </c:chart>
  <c:spPr>
    <a:solidFill>
      <a:schemeClr val="bg1"/>
    </a:solidFill>
    <a:ln w="6350" cap="flat" cmpd="sng" algn="ctr">
      <a:solidFill>
        <a:schemeClr val="tx1">
          <a:lumMod val="50000"/>
          <a:lumOff val="50000"/>
          <a:alpha val="25000"/>
        </a:schemeClr>
      </a:solidFill>
      <a:round/>
    </a:ln>
    <a:effectLst/>
  </c:spPr>
  <c:txPr>
    <a:bodyPr/>
    <a:lstStyle/>
    <a:p>
      <a:pPr>
        <a:defRPr lang="zh-CN">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r>
              <a:rPr b="0"/>
              <a:t>项目投入情况一览表</a:t>
            </a:r>
            <a:endParaRPr b="0"/>
          </a:p>
        </c:rich>
      </c:tx>
      <c:layout/>
      <c:overlay val="0"/>
      <c:spPr>
        <a:noFill/>
        <a:ln>
          <a:noFill/>
        </a:ln>
        <a:effectLst/>
      </c:spPr>
    </c:title>
    <c:autoTitleDeleted val="0"/>
    <c:plotArea>
      <c:layout/>
      <c:pieChart>
        <c:varyColors val="1"/>
        <c:ser>
          <c:idx val="0"/>
          <c:order val="0"/>
          <c:spPr/>
          <c:explosion val="0"/>
          <c:dPt>
            <c:idx val="0"/>
            <c:bubble3D val="0"/>
            <c:spPr>
              <a:gradFill>
                <a:gsLst>
                  <a:gs pos="0">
                    <a:schemeClr val="accent5">
                      <a:shade val="58000"/>
                      <a:lumMod val="40000"/>
                      <a:lumOff val="60000"/>
                    </a:schemeClr>
                  </a:gs>
                  <a:gs pos="90000">
                    <a:schemeClr val="accent5">
                      <a:shade val="58000"/>
                    </a:schemeClr>
                  </a:gs>
                </a:gsLst>
                <a:lin ang="5400000" scaled="0"/>
              </a:gradFill>
              <a:ln>
                <a:gradFill>
                  <a:gsLst>
                    <a:gs pos="0">
                      <a:schemeClr val="accent5">
                        <a:shade val="58000"/>
                      </a:schemeClr>
                    </a:gs>
                    <a:gs pos="100000">
                      <a:schemeClr val="accent5">
                        <a:shade val="58000"/>
                        <a:lumMod val="75000"/>
                      </a:schemeClr>
                    </a:gs>
                  </a:gsLst>
                  <a:lin ang="5400000" scaled="1"/>
                </a:gradFill>
              </a:ln>
              <a:effectLst/>
            </c:spPr>
          </c:dPt>
          <c:dPt>
            <c:idx val="1"/>
            <c:bubble3D val="0"/>
            <c:spPr>
              <a:gradFill>
                <a:gsLst>
                  <a:gs pos="0">
                    <a:schemeClr val="accent5">
                      <a:shade val="86000"/>
                      <a:lumMod val="40000"/>
                      <a:lumOff val="60000"/>
                    </a:schemeClr>
                  </a:gs>
                  <a:gs pos="90000">
                    <a:schemeClr val="accent5">
                      <a:shade val="86000"/>
                    </a:schemeClr>
                  </a:gs>
                </a:gsLst>
                <a:lin ang="5400000" scaled="0"/>
              </a:gradFill>
              <a:ln>
                <a:gradFill>
                  <a:gsLst>
                    <a:gs pos="0">
                      <a:schemeClr val="accent5">
                        <a:shade val="86000"/>
                      </a:schemeClr>
                    </a:gs>
                    <a:gs pos="100000">
                      <a:schemeClr val="accent5">
                        <a:shade val="86000"/>
                        <a:lumMod val="75000"/>
                      </a:schemeClr>
                    </a:gs>
                  </a:gsLst>
                  <a:lin ang="5400000" scaled="1"/>
                </a:gradFill>
              </a:ln>
              <a:effectLst/>
            </c:spPr>
          </c:dPt>
          <c:dPt>
            <c:idx val="2"/>
            <c:bubble3D val="0"/>
            <c:spPr>
              <a:gradFill>
                <a:gsLst>
                  <a:gs pos="0">
                    <a:schemeClr val="accent5">
                      <a:tint val="86000"/>
                      <a:lumMod val="40000"/>
                      <a:lumOff val="60000"/>
                    </a:schemeClr>
                  </a:gs>
                  <a:gs pos="90000">
                    <a:schemeClr val="accent5">
                      <a:tint val="86000"/>
                    </a:schemeClr>
                  </a:gs>
                </a:gsLst>
                <a:lin ang="5400000" scaled="0"/>
              </a:gradFill>
              <a:ln>
                <a:gradFill>
                  <a:gsLst>
                    <a:gs pos="0">
                      <a:schemeClr val="accent5">
                        <a:tint val="86000"/>
                      </a:schemeClr>
                    </a:gs>
                    <a:gs pos="100000">
                      <a:schemeClr val="accent5">
                        <a:tint val="86000"/>
                        <a:lumMod val="75000"/>
                      </a:schemeClr>
                    </a:gs>
                  </a:gsLst>
                  <a:lin ang="5400000" scaled="1"/>
                </a:gradFill>
              </a:ln>
              <a:effectLst/>
            </c:spPr>
          </c:dPt>
          <c:dPt>
            <c:idx val="3"/>
            <c:bubble3D val="0"/>
            <c:spPr>
              <a:gradFill>
                <a:gsLst>
                  <a:gs pos="0">
                    <a:schemeClr val="accent5">
                      <a:tint val="58000"/>
                      <a:lumMod val="40000"/>
                      <a:lumOff val="60000"/>
                    </a:schemeClr>
                  </a:gs>
                  <a:gs pos="90000">
                    <a:schemeClr val="accent5">
                      <a:tint val="58000"/>
                    </a:schemeClr>
                  </a:gs>
                </a:gsLst>
                <a:lin ang="5400000" scaled="0"/>
              </a:gradFill>
              <a:ln>
                <a:gradFill>
                  <a:gsLst>
                    <a:gs pos="0">
                      <a:schemeClr val="accent5">
                        <a:tint val="58000"/>
                      </a:schemeClr>
                    </a:gs>
                    <a:gs pos="100000">
                      <a:schemeClr val="accent5">
                        <a:tint val="58000"/>
                        <a:lumMod val="75000"/>
                      </a:schemeClr>
                    </a:gs>
                  </a:gsLst>
                  <a:lin ang="5400000" scaled="1"/>
                </a:gradFill>
              </a:ln>
              <a:effectLst/>
            </c:spPr>
          </c:dPt>
          <c:dLbls>
            <c:dLbl>
              <c:idx val="0"/>
              <c:layout>
                <c:manualLayout>
                  <c:x val="0.00349324639031206"/>
                  <c:y val="0.0333400687007476"/>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5">
                          <a:shade val="58000"/>
                        </a:schemeClr>
                      </a:solidFill>
                      <a:latin typeface="+mn-lt"/>
                      <a:ea typeface="+mn-ea"/>
                      <a:cs typeface="+mn-cs"/>
                    </a:defRPr>
                  </a:pPr>
                </a:p>
              </c:txPr>
              <c:dLblPos val="bestFit"/>
              <c:showLegendKey val="0"/>
              <c:showVal val="1"/>
              <c:showCatName val="1"/>
              <c:showSerName val="0"/>
              <c:showPercent val="0"/>
              <c:showBubbleSize val="0"/>
              <c:extLst>
                <c:ext xmlns:c15="http://schemas.microsoft.com/office/drawing/2012/chart" uri="{CE6537A1-D6FC-4f65-9D91-7224C49458BB}">
                  <c15:layout/>
                </c:ext>
              </c:extLst>
            </c:dLbl>
            <c:dLbl>
              <c:idx val="1"/>
              <c:layout>
                <c:manualLayout>
                  <c:x val="-0.00873311597578016"/>
                  <c:y val="-0.0121236613457264"/>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5">
                          <a:shade val="86000"/>
                        </a:schemeClr>
                      </a:solidFill>
                      <a:latin typeface="+mn-lt"/>
                      <a:ea typeface="+mn-ea"/>
                      <a:cs typeface="+mn-cs"/>
                    </a:defRPr>
                  </a:pPr>
                </a:p>
              </c:txPr>
              <c:dLblPos val="bestFit"/>
              <c:showLegendKey val="0"/>
              <c:showVal val="1"/>
              <c:showCatName val="1"/>
              <c:showSerName val="0"/>
              <c:showPercent val="0"/>
              <c:showBubbleSize val="0"/>
              <c:extLst>
                <c:ext xmlns:c15="http://schemas.microsoft.com/office/drawing/2012/chart" uri="{CE6537A1-D6FC-4f65-9D91-7224C49458BB}">
                  <c15:layout/>
                </c:ext>
              </c:extLst>
            </c:dLbl>
            <c:dLbl>
              <c:idx val="2"/>
              <c:layout/>
              <c:tx>
                <c:rich>
                  <a:bodyPr rot="0" spcFirstLastPara="0" vertOverflow="ellipsis" vert="horz" wrap="square" lIns="38100" tIns="19050" rIns="38100" bIns="19050" anchor="ctr" anchorCtr="1"/>
                  <a:lstStyle/>
                  <a:p>
                    <a:pPr defTabSz="914400">
                      <a:defRPr lang="zh-CN" sz="1000" b="1" i="0" u="none" strike="noStrike" kern="1200" spc="0" baseline="0">
                        <a:solidFill>
                          <a:schemeClr val="accent5">
                            <a:tint val="86000"/>
                          </a:schemeClr>
                        </a:solidFill>
                        <a:latin typeface="+mn-lt"/>
                        <a:ea typeface="+mn-ea"/>
                        <a:cs typeface="+mn-cs"/>
                      </a:defRPr>
                    </a:pPr>
                    <a:r>
                      <a:t>技能大赛奖励投入（服装专业）, </a:t>
                    </a:r>
                    <a:r>
                      <a:rPr lang="en-US" altLang="zh-CN"/>
                      <a:t>6</a:t>
                    </a:r>
                    <a:endParaRPr lang="en-US" altLang="zh-CN"/>
                  </a:p>
                </c:rich>
              </c:tx>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5">
                          <a:tint val="86000"/>
                        </a:schemeClr>
                      </a:solidFill>
                      <a:latin typeface="+mn-lt"/>
                      <a:ea typeface="+mn-ea"/>
                      <a:cs typeface="+mn-cs"/>
                    </a:defRPr>
                  </a:pPr>
                </a:p>
              </c:txPr>
              <c:dLblPos val="outEnd"/>
              <c:showLegendKey val="0"/>
              <c:showVal val="1"/>
              <c:showCatName val="1"/>
              <c:showSerName val="0"/>
              <c:showPercent val="0"/>
              <c:showBubbleSize val="0"/>
              <c:extLst>
                <c:ext xmlns:c15="http://schemas.microsoft.com/office/drawing/2012/chart" uri="{CE6537A1-D6FC-4f65-9D91-7224C49458BB}">
                  <c15:layout>
                    <c:manualLayout>
                      <c:w val="0.203889147647881"/>
                      <c:h val="0.164881794301879"/>
                    </c:manualLayout>
                  </c15:layout>
                </c:ext>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5">
                          <a:tint val="58000"/>
                        </a:schemeClr>
                      </a:solidFill>
                      <a:latin typeface="+mn-lt"/>
                      <a:ea typeface="+mn-ea"/>
                      <a:cs typeface="+mn-cs"/>
                    </a:defRPr>
                  </a:pPr>
                </a:p>
              </c:txPr>
              <c:dLblPos val="outEnd"/>
              <c:showLegendKey val="0"/>
              <c:showVal val="1"/>
              <c:showCatName val="1"/>
              <c:showSerName val="0"/>
              <c:showPercent val="0"/>
              <c:showBubbleSize val="0"/>
              <c:extLst>
                <c:ext xmlns:c15="http://schemas.microsoft.com/office/drawing/2012/chart" uri="{CE6537A1-D6FC-4f65-9D91-7224C49458BB}"/>
              </c:extLst>
            </c:dLbl>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5"/>
                    </a:solidFill>
                    <a:latin typeface="+mn-lt"/>
                    <a:ea typeface="+mn-ea"/>
                    <a:cs typeface="+mn-cs"/>
                  </a:defRPr>
                </a:pPr>
              </a:p>
            </c:txPr>
            <c:dLblPos val="outEnd"/>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'[财务处-2025年质量报告.xlsx]2022'!$B$18:$B$21</c:f>
              <c:strCache>
                <c:ptCount val="4"/>
                <c:pt idx="0">
                  <c:v>山东省高水平中职校建设投入</c:v>
                </c:pt>
                <c:pt idx="1">
                  <c:v>学生公寓建设投入</c:v>
                </c:pt>
                <c:pt idx="2">
                  <c:v>技能大赛奖励投入（服装专业）</c:v>
                </c:pt>
                <c:pt idx="3">
                  <c:v>设备购置项目投入</c:v>
                </c:pt>
              </c:strCache>
            </c:strRef>
          </c:cat>
          <c:val>
            <c:numRef>
              <c:f>'[财务处-2025年质量报告.xlsx]2022'!$C$18:$C$21</c:f>
              <c:numCache>
                <c:formatCode>General</c:formatCode>
                <c:ptCount val="4"/>
                <c:pt idx="0">
                  <c:v>49.5</c:v>
                </c:pt>
                <c:pt idx="1">
                  <c:v>30</c:v>
                </c:pt>
                <c:pt idx="2">
                  <c:v>6</c:v>
                </c:pt>
                <c:pt idx="3">
                  <c:v>177.2</c:v>
                </c:pt>
              </c:numCache>
            </c:numRef>
          </c:val>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ece35d7d-0ff7-4519-a41a-1455255e8627}"/>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10004">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8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cs:styleClr val="auto"/>
    </cs:fontRef>
    <cs:defRPr sz="1000" b="1" i="0" u="none" strike="noStrike" kern="1200" spc="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Pages>90</Pages>
  <Words>39261</Words>
  <Characters>41047</Characters>
  <Lines>303</Lines>
  <Paragraphs>85</Paragraphs>
  <TotalTime>54</TotalTime>
  <ScaleCrop>false</ScaleCrop>
  <LinksUpToDate>false</LinksUpToDate>
  <CharactersWithSpaces>43220</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2020-11-10T00:24:00Z</dcterms:created>
  <dc:creator>hh</dc:creator>
  <cp:lastModifiedBy>采薇</cp:lastModifiedBy>
  <cp:lastPrinted>2025-12-29T09:12:54Z</cp:lastPrinted>
  <dcterms:modified xsi:type="dcterms:W3CDTF">2025-12-29T09:15:57Z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BBFB5FDB28D341B4B1F8BF7E64070BA8_13</vt:lpwstr>
  </property>
  <property fmtid="{D5CDD505-2E9C-101B-9397-08002B2CF9AE}" pid="4" name="KSOTemplateDocerSaveRecord">
    <vt:lpwstr>eyJoZGlkIjoiZDc5MjA4MTJjNzA3MjhlZTM3YWI5YzE2NzAzMTExYjAiLCJ1c2VySWQiOiI1NDMzOTk2MjcifQ==</vt:lpwstr>
  </property>
</Properties>
</file>