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33DF">
      <w:pPr>
        <w:widowControl w:val="0"/>
        <w:spacing w:after="0" w:line="500" w:lineRule="exact"/>
        <w:jc w:val="left"/>
        <w:rPr>
          <w:rFonts w:hint="eastAsia" w:ascii="仿宋_GB2312" w:hAnsi="仿宋_GB2312" w:cs="仿宋_GB2312"/>
          <w:b/>
          <w:color w:val="000000"/>
          <w:szCs w:val="32"/>
        </w:rPr>
      </w:pPr>
      <w:bookmarkStart w:id="0" w:name="_GoBack"/>
      <w:bookmarkEnd w:id="0"/>
    </w:p>
    <w:p w14:paraId="7ADD14EA">
      <w:pPr>
        <w:widowControl w:val="0"/>
        <w:spacing w:after="0" w:line="500" w:lineRule="exact"/>
        <w:jc w:val="left"/>
        <w:rPr>
          <w:rFonts w:hint="eastAsia" w:ascii="仿宋_GB2312" w:hAnsi="仿宋_GB2312" w:cs="仿宋_GB2312"/>
          <w:b/>
          <w:color w:val="000000"/>
          <w:szCs w:val="32"/>
        </w:rPr>
      </w:pPr>
    </w:p>
    <w:p w14:paraId="010EB95D">
      <w:pPr>
        <w:widowControl w:val="0"/>
        <w:spacing w:after="0"/>
        <w:jc w:val="left"/>
        <w:rPr>
          <w:rFonts w:hint="eastAsia" w:ascii="仿宋_GB2312" w:hAnsi="宋体" w:cs="宋体"/>
          <w:kern w:val="0"/>
          <w:szCs w:val="32"/>
        </w:rPr>
      </w:pPr>
    </w:p>
    <w:p w14:paraId="071EA45B">
      <w:pPr>
        <w:widowControl w:val="0"/>
        <w:spacing w:after="0"/>
        <w:jc w:val="left"/>
        <w:rPr>
          <w:rFonts w:hint="eastAsia" w:ascii="仿宋_GB2312" w:hAnsi="宋体" w:cs="宋体"/>
          <w:kern w:val="0"/>
          <w:szCs w:val="32"/>
        </w:rPr>
      </w:pPr>
    </w:p>
    <w:p w14:paraId="034AF08D">
      <w:pPr>
        <w:widowControl w:val="0"/>
        <w:spacing w:after="0"/>
        <w:jc w:val="left"/>
        <w:rPr>
          <w:rFonts w:hint="eastAsia" w:ascii="仿宋_GB2312" w:hAnsi="宋体" w:cs="宋体"/>
          <w:kern w:val="0"/>
          <w:szCs w:val="32"/>
        </w:rPr>
      </w:pPr>
    </w:p>
    <w:p w14:paraId="6D10A68F">
      <w:pPr>
        <w:widowControl w:val="0"/>
        <w:spacing w:after="0"/>
        <w:jc w:val="left"/>
        <w:rPr>
          <w:rFonts w:hint="eastAsia" w:ascii="仿宋_GB2312" w:hAnsi="宋体" w:cs="宋体"/>
          <w:kern w:val="0"/>
          <w:szCs w:val="32"/>
        </w:rPr>
      </w:pPr>
    </w:p>
    <w:p w14:paraId="1A52DD60">
      <w:pPr>
        <w:widowControl w:val="0"/>
        <w:spacing w:after="0"/>
        <w:jc w:val="left"/>
        <w:rPr>
          <w:rFonts w:hint="eastAsia" w:ascii="仿宋_GB2312" w:hAnsi="宋体" w:cs="宋体"/>
          <w:kern w:val="0"/>
          <w:szCs w:val="32"/>
        </w:rPr>
      </w:pPr>
    </w:p>
    <w:p w14:paraId="0E736B47">
      <w:pPr>
        <w:widowControl w:val="0"/>
        <w:spacing w:after="0"/>
        <w:jc w:val="center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  <w:lang w:bidi="ar"/>
        </w:rPr>
        <w:t>川教体字〔</w:t>
      </w:r>
      <w:r>
        <w:rPr>
          <w:rFonts w:cs="Times New Roman"/>
          <w:kern w:val="0"/>
          <w:szCs w:val="32"/>
          <w:lang w:bidi="ar"/>
        </w:rPr>
        <w:t>202</w:t>
      </w:r>
      <w:r>
        <w:rPr>
          <w:rFonts w:hint="eastAsia" w:cs="Times New Roman"/>
          <w:kern w:val="0"/>
          <w:szCs w:val="32"/>
          <w:lang w:bidi="ar"/>
        </w:rPr>
        <w:t>6</w:t>
      </w:r>
      <w:r>
        <w:rPr>
          <w:rFonts w:hint="eastAsia" w:ascii="仿宋_GB2312" w:hAnsi="宋体" w:cs="宋体"/>
          <w:kern w:val="0"/>
          <w:szCs w:val="32"/>
          <w:lang w:bidi="ar"/>
        </w:rPr>
        <w:t>〕</w:t>
      </w:r>
      <w:r>
        <w:rPr>
          <w:rFonts w:hint="eastAsia" w:ascii="仿宋_GB2312" w:hAnsi="宋体" w:cs="宋体"/>
          <w:kern w:val="0"/>
          <w:szCs w:val="32"/>
          <w:lang w:val="en-US" w:eastAsia="zh-CN" w:bidi="ar"/>
        </w:rPr>
        <w:t>3</w:t>
      </w:r>
      <w:r>
        <w:rPr>
          <w:rFonts w:hint="eastAsia" w:ascii="仿宋_GB2312" w:hAnsi="宋体" w:cs="宋体"/>
          <w:kern w:val="0"/>
          <w:szCs w:val="32"/>
          <w:lang w:bidi="ar"/>
        </w:rPr>
        <w:t>号</w:t>
      </w:r>
    </w:p>
    <w:p w14:paraId="5C4A4209">
      <w:pPr>
        <w:widowControl w:val="0"/>
        <w:spacing w:after="0"/>
        <w:jc w:val="left"/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</w:rPr>
      </w:pPr>
    </w:p>
    <w:p w14:paraId="07CC987D">
      <w:pPr>
        <w:widowControl w:val="0"/>
        <w:spacing w:after="0"/>
        <w:jc w:val="left"/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  <w:lang w:bidi="ar"/>
        </w:rPr>
      </w:pPr>
    </w:p>
    <w:p w14:paraId="71831B2E">
      <w:pPr>
        <w:widowControl w:val="0"/>
        <w:spacing w:after="0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  <w:lang w:bidi="ar"/>
        </w:rPr>
        <w:t>淄川区教育和体育局</w:t>
      </w:r>
    </w:p>
    <w:p w14:paraId="40B0D85A">
      <w:pPr>
        <w:widowControl w:val="0"/>
        <w:spacing w:after="0"/>
        <w:jc w:val="center"/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  <w:lang w:bidi="ar"/>
        </w:rPr>
        <w:t>关于印发《关心关爱一线教师的若干措施》的通知</w:t>
      </w:r>
    </w:p>
    <w:p w14:paraId="0DA9F22D">
      <w:pPr>
        <w:jc w:val="left"/>
        <w:rPr>
          <w:rFonts w:ascii="Calibri" w:hAnsi="Calibri" w:cs="仿宋_GB2312"/>
          <w:szCs w:val="32"/>
          <w:lang w:bidi="ar"/>
        </w:rPr>
      </w:pPr>
    </w:p>
    <w:p w14:paraId="419493BB">
      <w:pPr>
        <w:spacing w:after="0"/>
        <w:jc w:val="left"/>
        <w:rPr>
          <w:rFonts w:ascii="Calibri" w:hAnsi="Calibri" w:cs="仿宋_GB2312"/>
          <w:szCs w:val="32"/>
          <w:lang w:bidi="ar"/>
        </w:rPr>
      </w:pPr>
      <w:r>
        <w:rPr>
          <w:rFonts w:hint="eastAsia" w:ascii="Calibri" w:hAnsi="Calibri" w:cs="仿宋_GB2312"/>
          <w:szCs w:val="32"/>
          <w:lang w:bidi="ar"/>
        </w:rPr>
        <w:t>各区属学校（单位）、镇（开发区）中心校：</w:t>
      </w:r>
    </w:p>
    <w:p w14:paraId="7BD9EC11">
      <w:pPr>
        <w:spacing w:after="0"/>
        <w:ind w:firstLine="640" w:firstLineChars="200"/>
        <w:jc w:val="left"/>
        <w:rPr>
          <w:rFonts w:ascii="Calibri" w:hAnsi="Calibri" w:cs="仿宋_GB2312"/>
          <w:szCs w:val="32"/>
          <w:lang w:bidi="ar"/>
        </w:rPr>
      </w:pPr>
      <w:r>
        <w:rPr>
          <w:rFonts w:hint="eastAsia" w:ascii="Calibri" w:hAnsi="Calibri" w:cs="仿宋_GB2312"/>
          <w:szCs w:val="32"/>
          <w:lang w:bidi="ar"/>
        </w:rPr>
        <w:t>为切实减轻一线教师负担，保障教师合法权益，激发教师队伍活力，切实提升教师的获得感、归属感、幸福感，根据教体系统实际情况，研究制定了《关心关爱一线教师的若干措施》，现印发给你们，请结合实际，认真抓好贯彻落实。</w:t>
      </w:r>
    </w:p>
    <w:p w14:paraId="4EF45277">
      <w:pPr>
        <w:spacing w:after="0"/>
        <w:ind w:firstLine="4480" w:firstLineChars="1400"/>
        <w:jc w:val="left"/>
        <w:rPr>
          <w:rFonts w:cs="Times New Roman"/>
          <w:szCs w:val="32"/>
          <w:lang w:bidi="ar"/>
        </w:rPr>
      </w:pPr>
    </w:p>
    <w:p w14:paraId="22EF25F4">
      <w:pPr>
        <w:spacing w:after="0"/>
        <w:ind w:firstLine="4480" w:firstLineChars="1400"/>
        <w:jc w:val="left"/>
        <w:rPr>
          <w:rFonts w:cs="Times New Roman"/>
          <w:szCs w:val="32"/>
          <w:lang w:bidi="ar"/>
        </w:rPr>
      </w:pPr>
      <w:r>
        <w:rPr>
          <w:rFonts w:cs="Times New Roman"/>
          <w:szCs w:val="32"/>
          <w:lang w:bidi="ar"/>
        </w:rPr>
        <w:t>淄川区教育和体育局</w:t>
      </w:r>
    </w:p>
    <w:p w14:paraId="4643CB86">
      <w:pPr>
        <w:spacing w:after="0"/>
        <w:ind w:firstLine="4800" w:firstLineChars="1500"/>
        <w:jc w:val="left"/>
        <w:rPr>
          <w:rFonts w:cs="Times New Roman"/>
          <w:sz w:val="44"/>
          <w:szCs w:val="44"/>
        </w:rPr>
      </w:pPr>
      <w:r>
        <w:rPr>
          <w:rFonts w:cs="Times New Roman"/>
          <w:szCs w:val="32"/>
          <w:lang w:bidi="ar"/>
        </w:rPr>
        <w:t>2026年1月2</w:t>
      </w:r>
      <w:r>
        <w:rPr>
          <w:rFonts w:hint="eastAsia" w:cs="Times New Roman"/>
          <w:szCs w:val="32"/>
          <w:lang w:bidi="ar"/>
        </w:rPr>
        <w:t>2</w:t>
      </w:r>
      <w:r>
        <w:rPr>
          <w:rFonts w:cs="Times New Roman"/>
          <w:szCs w:val="32"/>
          <w:lang w:bidi="ar"/>
        </w:rPr>
        <w:t>日</w:t>
      </w:r>
    </w:p>
    <w:p w14:paraId="3CE67A04">
      <w:pPr>
        <w:spacing w:after="0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关心关爱一线教师的若干措施</w:t>
      </w:r>
    </w:p>
    <w:p w14:paraId="624ED06A">
      <w:pPr>
        <w:spacing w:after="0"/>
        <w:ind w:firstLine="640" w:firstLineChars="200"/>
        <w:contextualSpacing/>
        <w:jc w:val="left"/>
      </w:pPr>
    </w:p>
    <w:p w14:paraId="504428EC">
      <w:pPr>
        <w:spacing w:after="0"/>
        <w:ind w:firstLine="640" w:firstLineChars="200"/>
        <w:contextualSpacing/>
        <w:jc w:val="left"/>
      </w:pPr>
      <w:r>
        <w:rPr>
          <w:rFonts w:hint="eastAsia" w:cs="Times New Roman"/>
          <w:szCs w:val="32"/>
          <w:lang w:bidi="ar"/>
        </w:rPr>
        <w:t>1.</w:t>
      </w:r>
      <w:r>
        <w:rPr>
          <w:rFonts w:hint="eastAsia"/>
        </w:rPr>
        <w:t>完善重视基层一线、鼓励实干实绩机制，指导督促以学校为主体，规范年度考核、职称评审、分级竞聘、评先树优和资质评定等教师评价标准，按工作岗位分层分类考评，向一线倾斜的名额比例只增不减。</w:t>
      </w:r>
    </w:p>
    <w:p w14:paraId="4764DBBC">
      <w:pPr>
        <w:spacing w:after="0"/>
        <w:ind w:firstLine="640" w:firstLineChars="200"/>
        <w:contextualSpacing/>
        <w:jc w:val="left"/>
      </w:pPr>
      <w:r>
        <w:rPr>
          <w:rFonts w:hint="eastAsia" w:cs="Times New Roman"/>
          <w:szCs w:val="32"/>
          <w:lang w:bidi="ar"/>
        </w:rPr>
        <w:t>2.</w:t>
      </w:r>
      <w:r>
        <w:rPr>
          <w:rFonts w:hint="eastAsia"/>
        </w:rPr>
        <w:t>建立为基层减负的长效机制，规范通知方式和形式，加大会议、文件、督查、考评等事项的统筹管理，严格备案审批，实行年度总量控制，只减不增。</w:t>
      </w:r>
    </w:p>
    <w:p w14:paraId="15252FF6">
      <w:pPr>
        <w:spacing w:after="0"/>
        <w:ind w:firstLine="640" w:firstLineChars="200"/>
        <w:contextualSpacing/>
        <w:jc w:val="left"/>
      </w:pPr>
      <w:r>
        <w:rPr>
          <w:rFonts w:hint="eastAsia"/>
        </w:rPr>
        <w:t>3.完善教师工作量统计管理，指导督促学校从严掌握一线教师的非教学任务，合理安排校园和班级管理工作，并计入工作量。</w:t>
      </w:r>
    </w:p>
    <w:p w14:paraId="20183762">
      <w:pPr>
        <w:spacing w:after="0"/>
        <w:ind w:firstLine="640" w:firstLineChars="200"/>
        <w:contextualSpacing/>
        <w:jc w:val="left"/>
      </w:pPr>
      <w:r>
        <w:rPr>
          <w:rFonts w:hint="eastAsia"/>
        </w:rPr>
        <w:t>4.建立教学教研保障机制，与融媒体中心等单位合作，为教师的“好课”录制、学科教研、资源建设等提供技术支持。</w:t>
      </w:r>
    </w:p>
    <w:p w14:paraId="7754FCA4">
      <w:pPr>
        <w:spacing w:after="0"/>
        <w:ind w:firstLine="640" w:firstLineChars="200"/>
        <w:contextualSpacing/>
        <w:jc w:val="left"/>
      </w:pPr>
      <w:r>
        <w:rPr>
          <w:rFonts w:hint="eastAsia"/>
        </w:rPr>
        <w:t>5.建立淄川区教体系统矛盾纠纷多元化解中心，依法依规、合情合理解决家校、师生间的矛盾纠纷，保障师生合法权益。</w:t>
      </w:r>
    </w:p>
    <w:p w14:paraId="6F9520E5">
      <w:pPr>
        <w:spacing w:after="0"/>
        <w:ind w:firstLine="640" w:firstLineChars="200"/>
        <w:contextualSpacing/>
        <w:jc w:val="left"/>
        <w:rPr>
          <w:rFonts w:hint="eastAsia"/>
        </w:rPr>
      </w:pPr>
      <w:r>
        <w:rPr>
          <w:rFonts w:hint="eastAsia"/>
        </w:rPr>
        <w:t>6.实施教师健身支持计划，定期组织开展健身公益培训，提供健身项目体验服务，引导教师参加体育</w:t>
      </w:r>
      <w:r>
        <w:rPr>
          <w:rFonts w:hint="eastAsia"/>
          <w:lang w:val="en-US" w:eastAsia="zh-CN"/>
        </w:rPr>
        <w:t>健身</w:t>
      </w:r>
      <w:r>
        <w:rPr>
          <w:rFonts w:hint="eastAsia"/>
        </w:rPr>
        <w:t>活动，提高身体素质。</w:t>
      </w:r>
    </w:p>
    <w:p w14:paraId="68C12C14">
      <w:pPr>
        <w:spacing w:after="0"/>
        <w:ind w:firstLine="640" w:firstLineChars="200"/>
        <w:contextualSpacing/>
        <w:jc w:val="left"/>
      </w:pPr>
      <w:r>
        <w:rPr>
          <w:rFonts w:hint="eastAsia"/>
        </w:rPr>
        <w:t>7.关心教师身心健康，常态化组织健康保健知识校内普及活动，设立教师心理健康服务平台，做好教师的心理健康辅导。</w:t>
      </w:r>
    </w:p>
    <w:p w14:paraId="326A4F2E">
      <w:pPr>
        <w:spacing w:after="0"/>
        <w:ind w:firstLine="640" w:firstLineChars="200"/>
        <w:contextualSpacing/>
        <w:jc w:val="left"/>
      </w:pPr>
      <w:r>
        <w:rPr>
          <w:rFonts w:hint="eastAsia"/>
        </w:rPr>
        <w:t>8.设立特殊困难教职工救助基金，通过志愿者服务，实行一对一帮扶，解决教师的重大疾病、突发意外等实际困难。</w:t>
      </w:r>
    </w:p>
    <w:p w14:paraId="17422F2D">
      <w:pPr>
        <w:spacing w:after="0"/>
        <w:ind w:firstLine="640" w:firstLineChars="200"/>
        <w:contextualSpacing/>
        <w:jc w:val="left"/>
      </w:pPr>
      <w:r>
        <w:rPr>
          <w:rFonts w:hint="eastAsia"/>
        </w:rPr>
        <w:t>9.关注单身教师婚姻问题，与区直机关工委、工会、共青团、妇联等单位合作，常态化开展相亲联谊活动。</w:t>
      </w:r>
    </w:p>
    <w:p w14:paraId="1C761B92">
      <w:pPr>
        <w:spacing w:after="0"/>
        <w:ind w:firstLine="640" w:firstLineChars="200"/>
        <w:contextualSpacing/>
        <w:jc w:val="left"/>
      </w:pPr>
      <w:r>
        <w:rPr>
          <w:rFonts w:hint="eastAsia"/>
        </w:rPr>
        <w:t>10.开设“局长直通车”，通过局长热线、局长公开接访、网络留言等形式，与一线教师直接沟通联系，听取教师诉求和意见建议。</w:t>
      </w:r>
    </w:p>
    <w:p w14:paraId="718B2F73">
      <w:pPr>
        <w:widowControl w:val="0"/>
        <w:spacing w:after="0"/>
        <w:contextualSpacing/>
        <w:jc w:val="left"/>
        <w:rPr>
          <w:rFonts w:cs="Times New Roman"/>
        </w:rPr>
      </w:pPr>
    </w:p>
    <w:p w14:paraId="47427B5F">
      <w:pPr>
        <w:widowControl w:val="0"/>
        <w:spacing w:after="0"/>
        <w:contextualSpacing/>
        <w:jc w:val="left"/>
        <w:rPr>
          <w:rFonts w:cs="Times New Roman"/>
        </w:rPr>
      </w:pPr>
    </w:p>
    <w:p w14:paraId="4F18A507">
      <w:pPr>
        <w:widowControl w:val="0"/>
        <w:spacing w:after="0"/>
        <w:contextualSpacing/>
        <w:jc w:val="left"/>
        <w:rPr>
          <w:rFonts w:cs="Times New Roman"/>
        </w:rPr>
      </w:pPr>
    </w:p>
    <w:p w14:paraId="250BF8AD">
      <w:pPr>
        <w:widowControl w:val="0"/>
        <w:spacing w:after="0"/>
        <w:contextualSpacing/>
        <w:jc w:val="left"/>
        <w:rPr>
          <w:rFonts w:cs="Times New Roman"/>
        </w:rPr>
      </w:pPr>
    </w:p>
    <w:p w14:paraId="39AD64D5">
      <w:pPr>
        <w:widowControl w:val="0"/>
        <w:spacing w:after="0"/>
        <w:contextualSpacing/>
        <w:jc w:val="left"/>
        <w:rPr>
          <w:rFonts w:cs="Times New Roman"/>
        </w:rPr>
      </w:pPr>
    </w:p>
    <w:p w14:paraId="4B618ADB">
      <w:pPr>
        <w:widowControl w:val="0"/>
        <w:spacing w:after="0"/>
        <w:contextualSpacing/>
        <w:jc w:val="left"/>
        <w:rPr>
          <w:rFonts w:cs="Times New Roman"/>
        </w:rPr>
      </w:pPr>
    </w:p>
    <w:p w14:paraId="05CA74B1">
      <w:pPr>
        <w:widowControl w:val="0"/>
        <w:spacing w:after="0"/>
        <w:contextualSpacing/>
        <w:jc w:val="left"/>
        <w:rPr>
          <w:rFonts w:cs="Times New Roman"/>
        </w:rPr>
      </w:pPr>
    </w:p>
    <w:p w14:paraId="7FB7892D">
      <w:pPr>
        <w:widowControl w:val="0"/>
        <w:spacing w:after="0"/>
        <w:contextualSpacing/>
        <w:jc w:val="left"/>
        <w:rPr>
          <w:rFonts w:cs="Times New Roman"/>
        </w:rPr>
      </w:pPr>
    </w:p>
    <w:p w14:paraId="7E220170">
      <w:pPr>
        <w:widowControl w:val="0"/>
        <w:spacing w:after="0"/>
        <w:contextualSpacing/>
        <w:jc w:val="left"/>
        <w:rPr>
          <w:rFonts w:cs="Times New Roman"/>
        </w:rPr>
      </w:pPr>
    </w:p>
    <w:p w14:paraId="1B6448D8">
      <w:pPr>
        <w:widowControl w:val="0"/>
        <w:spacing w:after="0"/>
        <w:contextualSpacing/>
        <w:jc w:val="left"/>
        <w:rPr>
          <w:rFonts w:cs="Times New Roman"/>
        </w:rPr>
      </w:pPr>
    </w:p>
    <w:p w14:paraId="558F4BB3">
      <w:pPr>
        <w:widowControl w:val="0"/>
        <w:spacing w:after="0"/>
        <w:contextualSpacing/>
        <w:jc w:val="left"/>
        <w:rPr>
          <w:rFonts w:cs="Times New Roman"/>
        </w:rPr>
      </w:pPr>
    </w:p>
    <w:p w14:paraId="1F0F4F6D">
      <w:pPr>
        <w:widowControl w:val="0"/>
        <w:spacing w:after="0"/>
        <w:contextualSpacing/>
        <w:jc w:val="left"/>
        <w:rPr>
          <w:rFonts w:cs="Times New Roman"/>
        </w:rPr>
      </w:pPr>
    </w:p>
    <w:p w14:paraId="6006E8CA">
      <w:pPr>
        <w:widowControl w:val="0"/>
        <w:spacing w:after="0"/>
        <w:contextualSpacing/>
        <w:jc w:val="left"/>
        <w:rPr>
          <w:rFonts w:cs="Times New Roman"/>
        </w:rPr>
      </w:pPr>
    </w:p>
    <w:p w14:paraId="6DA1ED16">
      <w:pPr>
        <w:widowControl w:val="0"/>
        <w:spacing w:after="0"/>
        <w:contextualSpacing/>
        <w:jc w:val="left"/>
        <w:rPr>
          <w:rFonts w:cs="Times New Roman"/>
        </w:rPr>
      </w:pPr>
    </w:p>
    <w:p w14:paraId="125B2FFF">
      <w:pPr>
        <w:widowControl w:val="0"/>
        <w:spacing w:after="0"/>
        <w:contextualSpacing/>
        <w:jc w:val="left"/>
        <w:rPr>
          <w:rFonts w:cs="Times New Roman"/>
        </w:rPr>
      </w:pPr>
    </w:p>
    <w:p w14:paraId="37436D7A">
      <w:pPr>
        <w:widowControl w:val="0"/>
        <w:spacing w:after="0"/>
        <w:contextualSpacing/>
        <w:jc w:val="left"/>
        <w:rPr>
          <w:rFonts w:cs="Times New Roman"/>
        </w:rPr>
      </w:pPr>
    </w:p>
    <w:p w14:paraId="1A28552A">
      <w:pPr>
        <w:widowControl w:val="0"/>
        <w:spacing w:after="0"/>
        <w:contextualSpacing/>
        <w:jc w:val="left"/>
        <w:rPr>
          <w:rFonts w:cs="Times New Roman"/>
        </w:rPr>
      </w:pPr>
    </w:p>
    <w:p w14:paraId="4F54888E">
      <w:pPr>
        <w:widowControl w:val="0"/>
        <w:spacing w:after="0"/>
        <w:ind w:firstLine="640" w:firstLineChars="200"/>
        <w:jc w:val="left"/>
        <w:rPr>
          <w:rFonts w:cs="Times New Roman"/>
        </w:rPr>
      </w:pPr>
      <w:r>
        <w:rPr>
          <w:rFonts w:hint="eastAsia" w:cs="Times New Roman"/>
        </w:rPr>
        <w:t>（此页无正文）</w:t>
      </w:r>
    </w:p>
    <w:p w14:paraId="313EA84F">
      <w:pPr>
        <w:widowControl w:val="0"/>
        <w:spacing w:after="0"/>
        <w:jc w:val="left"/>
        <w:rPr>
          <w:rFonts w:cs="Times New Roman"/>
        </w:rPr>
      </w:pPr>
    </w:p>
    <w:p w14:paraId="08C7419D">
      <w:pPr>
        <w:jc w:val="left"/>
      </w:pPr>
    </w:p>
    <w:p w14:paraId="2AEA6BD3">
      <w:pPr>
        <w:jc w:val="left"/>
      </w:pPr>
    </w:p>
    <w:p w14:paraId="5E7B298A">
      <w:pPr>
        <w:jc w:val="left"/>
      </w:pPr>
    </w:p>
    <w:p w14:paraId="2AEA300E">
      <w:pPr>
        <w:jc w:val="left"/>
      </w:pPr>
    </w:p>
    <w:p w14:paraId="0F24812A">
      <w:pPr>
        <w:jc w:val="left"/>
      </w:pPr>
    </w:p>
    <w:p w14:paraId="49F0A370">
      <w:pPr>
        <w:jc w:val="left"/>
      </w:pPr>
    </w:p>
    <w:p w14:paraId="1D107970">
      <w:pPr>
        <w:jc w:val="left"/>
      </w:pPr>
    </w:p>
    <w:p w14:paraId="57A2A69F"/>
    <w:p w14:paraId="4D6B29E6"/>
    <w:p w14:paraId="2A4C0FF5"/>
    <w:p w14:paraId="1FEFF575">
      <w:pPr>
        <w:rPr>
          <w:rFonts w:hint="eastAsia"/>
        </w:rPr>
      </w:pPr>
    </w:p>
    <w:p w14:paraId="51E7B9E8">
      <w:pPr>
        <w:tabs>
          <w:tab w:val="left" w:pos="2847"/>
        </w:tabs>
        <w:jc w:val="left"/>
        <w:rPr>
          <w:sz w:val="10"/>
          <w:szCs w:val="10"/>
        </w:rPr>
      </w:pPr>
    </w:p>
    <w:tbl>
      <w:tblPr>
        <w:tblStyle w:val="16"/>
        <w:tblpPr w:leftFromText="180" w:rightFromText="180" w:vertAnchor="text" w:horzAnchor="page" w:tblpX="1697" w:tblpY="1387"/>
        <w:tblOverlap w:val="never"/>
        <w:tblW w:w="90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30EC6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061" w:type="dxa"/>
            <w:tcBorders>
              <w:tl2br w:val="nil"/>
              <w:tr2bl w:val="nil"/>
            </w:tcBorders>
            <w:vAlign w:val="center"/>
          </w:tcPr>
          <w:p w14:paraId="3135A280">
            <w:pPr>
              <w:widowControl w:val="0"/>
              <w:tabs>
                <w:tab w:val="left" w:pos="2847"/>
              </w:tabs>
              <w:ind w:firstLine="280" w:firstLineChars="100"/>
              <w:jc w:val="left"/>
            </w:pPr>
            <w:r>
              <w:rPr>
                <w:rFonts w:hint="eastAsia" w:cs="仿宋_GB2312"/>
                <w:sz w:val="28"/>
                <w:szCs w:val="24"/>
                <w:lang w:bidi="ar"/>
              </w:rPr>
              <w:t>淄川区教育和体育局</w:t>
            </w:r>
            <w:r>
              <w:rPr>
                <w:rFonts w:cs="Times New Roman"/>
                <w:sz w:val="28"/>
                <w:szCs w:val="24"/>
                <w:lang w:bidi="ar"/>
              </w:rPr>
              <w:t xml:space="preserve">           </w:t>
            </w:r>
            <w:r>
              <w:rPr>
                <w:rFonts w:hint="eastAsia" w:cs="Times New Roman"/>
                <w:sz w:val="28"/>
                <w:szCs w:val="24"/>
                <w:lang w:bidi="ar"/>
              </w:rPr>
              <w:t xml:space="preserve"> </w:t>
            </w:r>
            <w:r>
              <w:rPr>
                <w:rFonts w:cs="Times New Roman"/>
                <w:sz w:val="28"/>
                <w:szCs w:val="24"/>
                <w:lang w:bidi="ar"/>
              </w:rPr>
              <w:t xml:space="preserve">          202</w:t>
            </w:r>
            <w:r>
              <w:rPr>
                <w:rFonts w:hint="eastAsia" w:cs="Times New Roman"/>
                <w:sz w:val="28"/>
                <w:szCs w:val="24"/>
                <w:lang w:bidi="ar"/>
              </w:rPr>
              <w:t>6</w:t>
            </w:r>
            <w:r>
              <w:rPr>
                <w:rFonts w:hint="eastAsia" w:cs="仿宋_GB2312"/>
                <w:sz w:val="28"/>
                <w:szCs w:val="24"/>
                <w:lang w:bidi="ar"/>
              </w:rPr>
              <w:t>年</w:t>
            </w:r>
            <w:r>
              <w:rPr>
                <w:rFonts w:cs="Times New Roman"/>
                <w:sz w:val="28"/>
                <w:szCs w:val="24"/>
                <w:lang w:bidi="ar"/>
              </w:rPr>
              <w:t>1</w:t>
            </w:r>
            <w:r>
              <w:rPr>
                <w:rFonts w:hint="eastAsia" w:cs="仿宋_GB2312"/>
                <w:sz w:val="28"/>
                <w:szCs w:val="24"/>
                <w:lang w:bidi="ar"/>
              </w:rPr>
              <w:t>月</w:t>
            </w:r>
            <w:r>
              <w:rPr>
                <w:rFonts w:hint="eastAsia" w:cs="Times New Roman"/>
                <w:sz w:val="28"/>
                <w:szCs w:val="24"/>
                <w:lang w:bidi="ar"/>
              </w:rPr>
              <w:t>22</w:t>
            </w:r>
            <w:r>
              <w:rPr>
                <w:rFonts w:hint="eastAsia" w:cs="仿宋_GB2312"/>
                <w:sz w:val="28"/>
                <w:szCs w:val="24"/>
                <w:lang w:bidi="ar"/>
              </w:rPr>
              <w:t>日印发</w:t>
            </w:r>
            <w:r>
              <w:rPr>
                <w:rFonts w:cs="Times New Roman"/>
                <w:sz w:val="28"/>
                <w:szCs w:val="24"/>
                <w:lang w:bidi="ar"/>
              </w:rPr>
              <w:t xml:space="preserve"> </w:t>
            </w:r>
          </w:p>
        </w:tc>
      </w:tr>
    </w:tbl>
    <w:p w14:paraId="47CD45AC">
      <w:pPr>
        <w:tabs>
          <w:tab w:val="left" w:pos="2847"/>
        </w:tabs>
        <w:jc w:val="left"/>
        <w:rPr>
          <w:sz w:val="10"/>
          <w:szCs w:val="10"/>
        </w:rPr>
      </w:pPr>
    </w:p>
    <w:sectPr>
      <w:footerReference r:id="rId5" w:type="default"/>
      <w:pgSz w:w="11906" w:h="16838"/>
      <w:pgMar w:top="2098" w:right="1474" w:bottom="1985" w:left="1588" w:header="851" w:footer="158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E219D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138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13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08359">
                          <w:pPr>
                            <w:pStyle w:val="11"/>
                            <w:rPr>
                              <w:rFonts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9.4pt;mso-position-horizontal:outside;mso-position-horizontal-relative:margin;z-index:251659264;mso-width-relative:page;mso-height-relative:page;" filled="f" stroked="f" coordsize="21600,21600" o:gfxdata="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N9OwJ0wAAAAUBAAAPAAAAAAAAAAEAIAAAACIAAABkcnMvZG93bnJldi54bWxQSwECFAAU&#10;AAAACACHTuJAvqmegC8CAABWBAAADgAAAAAAAAABACAAAAAi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08359">
                    <w:pPr>
                      <w:pStyle w:val="11"/>
                      <w:rPr>
                        <w:rFonts w:cs="Times New Roman"/>
                        <w:sz w:val="30"/>
                        <w:szCs w:val="30"/>
                      </w:rPr>
                    </w:pPr>
                    <w:r>
                      <w:rPr>
                        <w:rFonts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F2"/>
    <w:rsid w:val="00011E0C"/>
    <w:rsid w:val="00034FFA"/>
    <w:rsid w:val="00095544"/>
    <w:rsid w:val="00143E8E"/>
    <w:rsid w:val="001514F4"/>
    <w:rsid w:val="0015313C"/>
    <w:rsid w:val="00153F6D"/>
    <w:rsid w:val="00165F72"/>
    <w:rsid w:val="001C12BB"/>
    <w:rsid w:val="00271BE7"/>
    <w:rsid w:val="0029112E"/>
    <w:rsid w:val="002C2D84"/>
    <w:rsid w:val="002D35D6"/>
    <w:rsid w:val="002D3D9E"/>
    <w:rsid w:val="003B2A34"/>
    <w:rsid w:val="003E1345"/>
    <w:rsid w:val="00473481"/>
    <w:rsid w:val="004D0809"/>
    <w:rsid w:val="004D6C76"/>
    <w:rsid w:val="004F17DC"/>
    <w:rsid w:val="00516ED9"/>
    <w:rsid w:val="00530F73"/>
    <w:rsid w:val="00536EC4"/>
    <w:rsid w:val="00570788"/>
    <w:rsid w:val="0058756F"/>
    <w:rsid w:val="006254F3"/>
    <w:rsid w:val="00626CAC"/>
    <w:rsid w:val="00653B55"/>
    <w:rsid w:val="00653BCB"/>
    <w:rsid w:val="006C6489"/>
    <w:rsid w:val="007210B9"/>
    <w:rsid w:val="00726611"/>
    <w:rsid w:val="007610E8"/>
    <w:rsid w:val="007D0FB7"/>
    <w:rsid w:val="007E7891"/>
    <w:rsid w:val="007F238D"/>
    <w:rsid w:val="008142BF"/>
    <w:rsid w:val="0083487A"/>
    <w:rsid w:val="00854575"/>
    <w:rsid w:val="008E38F0"/>
    <w:rsid w:val="008F1E16"/>
    <w:rsid w:val="00947049"/>
    <w:rsid w:val="00994172"/>
    <w:rsid w:val="009C1456"/>
    <w:rsid w:val="00A809BE"/>
    <w:rsid w:val="00A86E9E"/>
    <w:rsid w:val="00AB2822"/>
    <w:rsid w:val="00AD09B1"/>
    <w:rsid w:val="00B17FF6"/>
    <w:rsid w:val="00B67C4D"/>
    <w:rsid w:val="00BB7F6C"/>
    <w:rsid w:val="00BD623C"/>
    <w:rsid w:val="00C138EE"/>
    <w:rsid w:val="00C61CB6"/>
    <w:rsid w:val="00CF3203"/>
    <w:rsid w:val="00DD3DDA"/>
    <w:rsid w:val="00DD4BF2"/>
    <w:rsid w:val="00DD5596"/>
    <w:rsid w:val="00E14C15"/>
    <w:rsid w:val="00E27590"/>
    <w:rsid w:val="00E90CC3"/>
    <w:rsid w:val="00EA5C27"/>
    <w:rsid w:val="00EF1C78"/>
    <w:rsid w:val="00F00D01"/>
    <w:rsid w:val="00F0286D"/>
    <w:rsid w:val="00F36AE4"/>
    <w:rsid w:val="00FB065A"/>
    <w:rsid w:val="01FC2512"/>
    <w:rsid w:val="05995FB3"/>
    <w:rsid w:val="074A39BB"/>
    <w:rsid w:val="079B0C4A"/>
    <w:rsid w:val="0E0B45E0"/>
    <w:rsid w:val="0F08112E"/>
    <w:rsid w:val="10952DEB"/>
    <w:rsid w:val="109F7B68"/>
    <w:rsid w:val="10A93E59"/>
    <w:rsid w:val="10D0647D"/>
    <w:rsid w:val="12FB5CF3"/>
    <w:rsid w:val="1554112A"/>
    <w:rsid w:val="1AB85949"/>
    <w:rsid w:val="1CD733FE"/>
    <w:rsid w:val="26535874"/>
    <w:rsid w:val="26662E0C"/>
    <w:rsid w:val="2CEB7D98"/>
    <w:rsid w:val="2D76329F"/>
    <w:rsid w:val="31B20C15"/>
    <w:rsid w:val="338102AA"/>
    <w:rsid w:val="35303054"/>
    <w:rsid w:val="35A9765A"/>
    <w:rsid w:val="387B4958"/>
    <w:rsid w:val="3BD8115C"/>
    <w:rsid w:val="3DEC3130"/>
    <w:rsid w:val="41671DF0"/>
    <w:rsid w:val="47AC2DA2"/>
    <w:rsid w:val="484D5AAB"/>
    <w:rsid w:val="4B923A2A"/>
    <w:rsid w:val="511F51C1"/>
    <w:rsid w:val="522927C6"/>
    <w:rsid w:val="55736EE9"/>
    <w:rsid w:val="5B05292E"/>
    <w:rsid w:val="62FB6885"/>
    <w:rsid w:val="642262A3"/>
    <w:rsid w:val="69096232"/>
    <w:rsid w:val="6AFA3FF7"/>
    <w:rsid w:val="6C7912EC"/>
    <w:rsid w:val="6E6977A8"/>
    <w:rsid w:val="70164617"/>
    <w:rsid w:val="77DF015C"/>
    <w:rsid w:val="78D838B8"/>
    <w:rsid w:val="7E6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797</Words>
  <Characters>819</Characters>
  <Lines>6</Lines>
  <Paragraphs>1</Paragraphs>
  <TotalTime>44</TotalTime>
  <ScaleCrop>false</ScaleCrop>
  <LinksUpToDate>false</LinksUpToDate>
  <CharactersWithSpaces>842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2026-01-12T06:12:00Z</dcterms:created>
  <dc:creator>光 晨</dc:creator>
  <cp:lastModifiedBy>凝蓝若冰</cp:lastModifiedBy>
  <cp:lastPrinted>2026-01-22T01:52:00Z</cp:lastPrinted>
  <dcterms:modified xsi:type="dcterms:W3CDTF">2026-03-16T06:17:37Z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eyJoZGlkIjoiYWUyMTdlODJlYjY1ZDI4MDUzMjU4ZDc4ZDJkYzMwYjMiLCJ1c2VySWQiOiIxNDgyODkxNjA3In0=</vt:lpwstr>
  </property>
  <property fmtid="{D5CDD505-2E9C-101B-9397-08002B2CF9AE}" pid="4" name="ICV">
    <vt:lpwstr>819961C9F5EA46FAA4AD22606FDC9672_13</vt:lpwstr>
  </property>
</Properties>
</file>