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545" w:tblpY="12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noWrap w:val="0"/>
            <w:vAlign w:val="top"/>
          </w:tcPr>
          <w:p>
            <w:pPr>
              <w:widowControl w:val="0"/>
              <w:spacing w:line="360" w:lineRule="exact"/>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编号：</w:t>
            </w:r>
            <w:r>
              <w:rPr>
                <w:rFonts w:hint="eastAsia" w:eastAsia="仿宋_GB2312" w:cs="Times New Roman"/>
                <w:sz w:val="30"/>
                <w:szCs w:val="30"/>
                <w:lang w:val="en-US" w:eastAsia="zh-CN"/>
              </w:rPr>
              <w:t>8</w:t>
            </w:r>
          </w:p>
          <w:p>
            <w:pPr>
              <w:widowControl w:val="0"/>
              <w:spacing w:line="360" w:lineRule="exact"/>
              <w:ind w:left="1500" w:hanging="1500" w:hangingChars="5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0"/>
                <w:szCs w:val="30"/>
              </w:rPr>
              <w:t>承办单位：区</w:t>
            </w:r>
            <w:r>
              <w:rPr>
                <w:rFonts w:hint="eastAsia" w:eastAsia="仿宋_GB2312" w:cs="Times New Roman"/>
                <w:sz w:val="30"/>
                <w:szCs w:val="30"/>
                <w:lang w:val="en-US" w:eastAsia="zh-CN"/>
              </w:rPr>
              <w:t>教体局</w:t>
            </w:r>
          </w:p>
        </w:tc>
      </w:tr>
    </w:tbl>
    <w:p>
      <w:pPr>
        <w:spacing w:line="600" w:lineRule="exact"/>
        <w:jc w:val="center"/>
        <w:rPr>
          <w:rStyle w:val="7"/>
          <w:rFonts w:ascii="宋体" w:hAnsi="宋体"/>
          <w:b/>
          <w:sz w:val="44"/>
          <w:szCs w:val="44"/>
        </w:rPr>
      </w:pPr>
      <w:r>
        <w:rPr>
          <w:rStyle w:val="7"/>
          <w:rFonts w:ascii="宋体" w:hAnsi="宋体"/>
          <w:b/>
          <w:sz w:val="44"/>
          <w:szCs w:val="44"/>
        </w:rPr>
        <w:t>淄博市淄川区第十九届人民代表大会</w:t>
      </w:r>
    </w:p>
    <w:p>
      <w:pPr>
        <w:spacing w:line="600" w:lineRule="exact"/>
        <w:jc w:val="center"/>
        <w:rPr>
          <w:rStyle w:val="7"/>
          <w:rFonts w:ascii="宋体" w:hAnsi="宋体"/>
          <w:b/>
          <w:sz w:val="44"/>
          <w:szCs w:val="44"/>
        </w:rPr>
      </w:pPr>
      <w:r>
        <w:rPr>
          <w:rStyle w:val="7"/>
          <w:rFonts w:ascii="宋体" w:hAnsi="宋体"/>
          <w:b/>
          <w:sz w:val="44"/>
          <w:szCs w:val="44"/>
        </w:rPr>
        <w:t>第</w:t>
      </w:r>
      <w:r>
        <w:rPr>
          <w:rStyle w:val="7"/>
          <w:rFonts w:hint="eastAsia" w:ascii="宋体" w:hAnsi="宋体"/>
          <w:b/>
          <w:sz w:val="44"/>
          <w:szCs w:val="44"/>
          <w:lang w:val="en-US" w:eastAsia="zh-CN"/>
        </w:rPr>
        <w:t>一</w:t>
      </w:r>
      <w:r>
        <w:rPr>
          <w:rStyle w:val="7"/>
          <w:rFonts w:ascii="宋体" w:hAnsi="宋体"/>
          <w:b/>
          <w:sz w:val="44"/>
          <w:szCs w:val="44"/>
        </w:rPr>
        <w:t>次会议代表议案纸</w:t>
      </w:r>
    </w:p>
    <w:p>
      <w:pPr>
        <w:spacing w:line="440" w:lineRule="exact"/>
        <w:rPr>
          <w:rStyle w:val="7"/>
          <w:rFonts w:ascii="仿宋_GB2312" w:eastAsia="仿宋_GB2312"/>
          <w:sz w:val="32"/>
          <w:szCs w:val="32"/>
          <w:u w:val="double"/>
        </w:rPr>
      </w:pPr>
      <w:r>
        <w:rPr>
          <w:rStyle w:val="7"/>
          <w:rFonts w:ascii="仿宋_GB2312" w:eastAsia="仿宋_GB2312"/>
          <w:sz w:val="32"/>
          <w:szCs w:val="32"/>
          <w:u w:val="single" w:color="000000"/>
        </w:rPr>
        <w:t xml:space="preserve">                                                          </w:t>
      </w:r>
    </w:p>
    <w:p>
      <w:pPr>
        <w:spacing w:line="600" w:lineRule="exact"/>
        <w:rPr>
          <w:rStyle w:val="7"/>
          <w:rFonts w:ascii="仿宋_GB2312" w:eastAsia="仿宋_GB2312"/>
          <w:sz w:val="32"/>
          <w:szCs w:val="32"/>
          <w:u w:val="single"/>
        </w:rPr>
      </w:pPr>
      <w:r>
        <w:rPr>
          <w:rStyle w:val="7"/>
          <w:rFonts w:ascii="仿宋_GB2312" w:eastAsia="仿宋_GB2312"/>
          <w:sz w:val="32"/>
          <w:szCs w:val="32"/>
          <w:u w:val="single" w:color="000000"/>
        </w:rPr>
        <w:t xml:space="preserve">案  由： </w:t>
      </w:r>
      <w:r>
        <w:rPr>
          <w:rStyle w:val="7"/>
          <w:rFonts w:hint="eastAsia" w:ascii="仿宋_GB2312" w:eastAsia="仿宋_GB2312"/>
          <w:sz w:val="32"/>
          <w:szCs w:val="32"/>
          <w:u w:val="single" w:color="000000"/>
          <w:lang w:val="en-US" w:eastAsia="zh-CN"/>
        </w:rPr>
        <w:t>关于“</w:t>
      </w:r>
      <w:r>
        <w:rPr>
          <w:rStyle w:val="7"/>
          <w:rFonts w:ascii="仿宋_GB2312" w:eastAsia="仿宋_GB2312"/>
          <w:sz w:val="32"/>
          <w:szCs w:val="32"/>
          <w:u w:val="single" w:color="000000"/>
        </w:rPr>
        <w:t xml:space="preserve">家庭教育课程化实施”的提案                                              </w:t>
      </w:r>
    </w:p>
    <w:p>
      <w:pPr>
        <w:spacing w:line="600" w:lineRule="exact"/>
        <w:rPr>
          <w:rStyle w:val="7"/>
          <w:rFonts w:ascii="仿宋_GB2312" w:eastAsia="仿宋_GB2312"/>
          <w:sz w:val="32"/>
          <w:szCs w:val="32"/>
          <w:u w:val="single"/>
        </w:rPr>
      </w:pPr>
      <w:r>
        <w:rPr>
          <w:rStyle w:val="7"/>
          <w:rFonts w:ascii="仿宋_GB2312" w:eastAsia="仿宋_GB2312"/>
          <w:sz w:val="32"/>
          <w:szCs w:val="32"/>
          <w:u w:val="single" w:color="000000"/>
        </w:rPr>
        <w:t xml:space="preserve">                                                         </w:t>
      </w:r>
    </w:p>
    <w:p>
      <w:pPr>
        <w:jc w:val="left"/>
        <w:rPr>
          <w:rStyle w:val="7"/>
          <w:rFonts w:ascii="仿宋_GB2312" w:eastAsia="仿宋_GB2312"/>
          <w:sz w:val="32"/>
          <w:szCs w:val="32"/>
        </w:rPr>
      </w:pPr>
      <w:r>
        <w:rPr>
          <w:rStyle w:val="7"/>
          <w:rFonts w:ascii="仿宋_GB2312" w:eastAsia="仿宋_GB2312"/>
          <w:sz w:val="32"/>
          <w:szCs w:val="32"/>
        </w:rPr>
        <w:t>领衔提议案人：</w:t>
      </w:r>
      <w:r>
        <w:rPr>
          <w:rStyle w:val="7"/>
          <w:rFonts w:hint="eastAsia" w:ascii="仿宋_GB2312" w:eastAsia="仿宋_GB2312"/>
          <w:sz w:val="32"/>
          <w:szCs w:val="32"/>
          <w:lang w:val="en-US" w:eastAsia="zh-CN"/>
        </w:rPr>
        <w:t>张继波、王琪</w:t>
      </w:r>
      <w:r>
        <w:rPr>
          <w:rStyle w:val="7"/>
          <w:rFonts w:ascii="仿宋_GB2312" w:eastAsia="仿宋_GB2312"/>
          <w:sz w:val="32"/>
          <w:szCs w:val="32"/>
        </w:rPr>
        <w:t xml:space="preserve">  </w:t>
      </w:r>
      <w:r>
        <w:rPr>
          <w:rStyle w:val="7"/>
          <w:rFonts w:hint="eastAsia" w:ascii="仿宋_GB2312" w:eastAsia="仿宋_GB2312"/>
          <w:sz w:val="32"/>
          <w:szCs w:val="32"/>
          <w:lang w:val="en-US" w:eastAsia="zh-CN"/>
        </w:rPr>
        <w:t>等10人</w:t>
      </w:r>
      <w:r>
        <w:rPr>
          <w:rStyle w:val="7"/>
          <w:rFonts w:ascii="仿宋_GB2312" w:eastAsia="仿宋_GB2312"/>
          <w:sz w:val="32"/>
          <w:szCs w:val="32"/>
        </w:rPr>
        <w:t xml:space="preserve">                             </w:t>
      </w:r>
    </w:p>
    <w:tbl>
      <w:tblPr>
        <w:tblStyle w:val="4"/>
        <w:tblW w:w="832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0"/>
        <w:gridCol w:w="1570"/>
        <w:gridCol w:w="5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Style w:val="7"/>
                <w:rFonts w:ascii="仿宋_GB2312" w:eastAsia="仿宋_GB2312"/>
                <w:sz w:val="32"/>
                <w:szCs w:val="32"/>
              </w:rPr>
              <w:t>姓  名</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Style w:val="7"/>
                <w:rFonts w:ascii="仿宋_GB2312" w:eastAsia="仿宋_GB2312"/>
                <w:sz w:val="32"/>
                <w:szCs w:val="32"/>
              </w:rPr>
              <w:t>代表团</w:t>
            </w:r>
          </w:p>
        </w:tc>
        <w:tc>
          <w:tcPr>
            <w:tcW w:w="517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Style w:val="7"/>
                <w:rFonts w:ascii="仿宋_GB2312" w:eastAsia="仿宋_GB2312"/>
                <w:sz w:val="32"/>
                <w:szCs w:val="32"/>
              </w:rPr>
              <w:t>详 细 通 讯 地 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32"/>
                <w:szCs w:val="32"/>
                <w:lang w:val="en-US" w:eastAsia="zh-CN"/>
              </w:rPr>
              <w:t>张继波</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开发区</w:t>
            </w:r>
          </w:p>
        </w:tc>
        <w:tc>
          <w:tcPr>
            <w:tcW w:w="517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32"/>
                <w:szCs w:val="32"/>
                <w:lang w:eastAsia="zh-CN"/>
              </w:rPr>
              <w:t>淄川经济开发区管委会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32"/>
                <w:szCs w:val="32"/>
                <w:lang w:eastAsia="zh-CN"/>
              </w:rPr>
              <w:t>张</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宁</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开发区</w:t>
            </w:r>
          </w:p>
        </w:tc>
        <w:tc>
          <w:tcPr>
            <w:tcW w:w="517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32"/>
                <w:szCs w:val="32"/>
                <w:lang w:eastAsia="zh-CN"/>
              </w:rPr>
              <w:t>淄川经济开发区管委会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32"/>
                <w:szCs w:val="32"/>
                <w:lang w:val="en-US" w:eastAsia="zh-CN"/>
              </w:rPr>
              <w:t>翟雪峰</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开发区</w:t>
            </w:r>
          </w:p>
        </w:tc>
        <w:tc>
          <w:tcPr>
            <w:tcW w:w="517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32"/>
                <w:szCs w:val="32"/>
                <w:lang w:eastAsia="zh-CN"/>
              </w:rPr>
              <w:t>淄川经济开发区管委会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32"/>
                <w:szCs w:val="32"/>
                <w:lang w:val="en-US" w:eastAsia="zh-CN"/>
              </w:rPr>
              <w:t>程泗阳</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开发区</w:t>
            </w:r>
          </w:p>
        </w:tc>
        <w:tc>
          <w:tcPr>
            <w:tcW w:w="517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32"/>
                <w:szCs w:val="32"/>
                <w:lang w:eastAsia="zh-CN"/>
              </w:rPr>
              <w:t>淄川钟楼街道人大工作室</w:t>
            </w:r>
            <w:r>
              <w:rPr>
                <w:rFonts w:hint="eastAsia" w:ascii="仿宋_GB2312" w:eastAsia="仿宋_GB2312"/>
                <w:sz w:val="32"/>
                <w:szCs w:val="32"/>
                <w:lang w:val="en-US" w:eastAsia="zh-CN"/>
              </w:rPr>
              <w:t>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王琪</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开发区</w:t>
            </w:r>
          </w:p>
        </w:tc>
        <w:tc>
          <w:tcPr>
            <w:tcW w:w="517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28"/>
                <w:szCs w:val="28"/>
                <w:lang w:val="en-US" w:eastAsia="zh-CN"/>
              </w:rPr>
              <w:t>淄博师专教师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32"/>
                <w:szCs w:val="32"/>
                <w:lang w:eastAsia="zh-CN"/>
              </w:rPr>
              <w:t>徐光志</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开发区</w:t>
            </w:r>
          </w:p>
        </w:tc>
        <w:tc>
          <w:tcPr>
            <w:tcW w:w="517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28"/>
                <w:szCs w:val="28"/>
                <w:lang w:val="en-US" w:eastAsia="zh-CN"/>
              </w:rPr>
              <w:t>山东金城荣基地产公司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仿宋_GB2312" w:eastAsia="仿宋_GB2312"/>
                <w:sz w:val="32"/>
                <w:szCs w:val="32"/>
                <w:lang w:val="en-US"/>
              </w:rPr>
            </w:pPr>
            <w:r>
              <w:rPr>
                <w:rFonts w:hint="eastAsia" w:ascii="仿宋_GB2312" w:eastAsia="仿宋_GB2312"/>
                <w:kern w:val="2"/>
                <w:sz w:val="32"/>
                <w:szCs w:val="32"/>
                <w:lang w:val="en-US" w:eastAsia="zh-CN" w:bidi="ar-SA"/>
              </w:rPr>
              <w:t>王刚</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开发区</w:t>
            </w:r>
          </w:p>
        </w:tc>
        <w:tc>
          <w:tcPr>
            <w:tcW w:w="517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仿宋_GB2312" w:eastAsia="仿宋_GB2312"/>
                <w:sz w:val="32"/>
                <w:szCs w:val="32"/>
                <w:lang w:val="en-US"/>
              </w:rPr>
            </w:pPr>
            <w:r>
              <w:rPr>
                <w:rFonts w:hint="eastAsia" w:ascii="仿宋_GB2312" w:eastAsia="仿宋_GB2312"/>
                <w:sz w:val="28"/>
                <w:szCs w:val="28"/>
                <w:lang w:val="en-US" w:eastAsia="zh-CN"/>
              </w:rPr>
              <w:t>山东吉利新能源商用车有限公司公共关系总监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32"/>
                <w:szCs w:val="32"/>
                <w:lang w:val="en-US" w:eastAsia="zh-CN"/>
              </w:rPr>
              <w:t>李冬梅</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开发区</w:t>
            </w:r>
          </w:p>
        </w:tc>
        <w:tc>
          <w:tcPr>
            <w:tcW w:w="517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水利技师学院财务处副科长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32"/>
                <w:szCs w:val="32"/>
                <w:lang w:val="en-US" w:eastAsia="zh-CN"/>
              </w:rPr>
              <w:t>胡金荣</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开发区</w:t>
            </w:r>
          </w:p>
        </w:tc>
        <w:tc>
          <w:tcPr>
            <w:tcW w:w="517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sz w:val="28"/>
                <w:szCs w:val="28"/>
                <w:lang w:val="en-US" w:eastAsia="zh-CN"/>
              </w:rPr>
              <w:t>浙江景宁商会常务副会长、好又多超市总经理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张朋</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开发区</w:t>
            </w:r>
          </w:p>
        </w:tc>
        <w:tc>
          <w:tcPr>
            <w:tcW w:w="517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_GB2312" w:eastAsia="仿宋_GB2312"/>
                <w:sz w:val="32"/>
                <w:szCs w:val="32"/>
              </w:rPr>
            </w:pPr>
            <w:r>
              <w:rPr>
                <w:rFonts w:hint="eastAsia" w:ascii="仿宋_GB2312" w:eastAsia="仿宋_GB2312"/>
                <w:kern w:val="2"/>
                <w:sz w:val="32"/>
                <w:szCs w:val="32"/>
                <w:lang w:val="en-US" w:eastAsia="zh-CN" w:bidi="ar-SA"/>
              </w:rPr>
              <w:t>贾村社区</w:t>
            </w:r>
          </w:p>
        </w:tc>
      </w:tr>
    </w:tbl>
    <w:p>
      <w:pPr>
        <w:keepNext w:val="0"/>
        <w:keepLines w:val="0"/>
        <w:pageBreakBefore w:val="0"/>
        <w:widowControl w:val="0"/>
        <w:kinsoku/>
        <w:wordWrap/>
        <w:overflowPunct/>
        <w:topLinePunct w:val="0"/>
        <w:autoSpaceDE/>
        <w:autoSpaceDN/>
        <w:bidi w:val="0"/>
        <w:adjustRightInd/>
        <w:snapToGrid/>
        <w:textAlignment w:val="baseline"/>
        <w:rPr>
          <w:rStyle w:val="7"/>
          <w:rFonts w:ascii="仿宋_GB2312" w:eastAsia="仿宋_GB2312"/>
          <w:sz w:val="32"/>
          <w:szCs w:val="32"/>
          <w:u w:val="single"/>
        </w:rPr>
      </w:pPr>
      <w:r>
        <w:rPr>
          <w:rStyle w:val="7"/>
          <w:rFonts w:ascii="仿宋_GB2312" w:eastAsia="仿宋_GB2312"/>
          <w:sz w:val="32"/>
          <w:szCs w:val="32"/>
          <w:u w:val="single" w:color="000000"/>
        </w:rPr>
        <w:t>理</w:t>
      </w:r>
      <w:r>
        <w:rPr>
          <w:rStyle w:val="7"/>
          <w:rFonts w:hint="eastAsia" w:ascii="仿宋_GB2312" w:eastAsia="仿宋_GB2312"/>
          <w:sz w:val="32"/>
          <w:szCs w:val="32"/>
          <w:u w:val="single" w:color="000000"/>
          <w:lang w:val="en-US" w:eastAsia="zh-CN"/>
        </w:rPr>
        <w:t xml:space="preserve">  </w:t>
      </w:r>
      <w:r>
        <w:rPr>
          <w:rStyle w:val="7"/>
          <w:rFonts w:ascii="仿宋_GB2312" w:eastAsia="仿宋_GB2312"/>
          <w:sz w:val="32"/>
          <w:szCs w:val="32"/>
          <w:u w:val="single" w:color="000000"/>
        </w:rPr>
        <w:t>由</w:t>
      </w:r>
    </w:p>
    <w:p>
      <w:pPr>
        <w:keepNext w:val="0"/>
        <w:keepLines w:val="0"/>
        <w:pageBreakBefore w:val="0"/>
        <w:widowControl w:val="0"/>
        <w:kinsoku/>
        <w:wordWrap/>
        <w:overflowPunct/>
        <w:topLinePunct w:val="0"/>
        <w:autoSpaceDE/>
        <w:autoSpaceDN/>
        <w:bidi w:val="0"/>
        <w:adjustRightInd/>
        <w:snapToGrid/>
        <w:ind w:firstLine="643" w:firstLineChars="200"/>
        <w:textAlignment w:val="baseline"/>
        <w:rPr>
          <w:rStyle w:val="7"/>
          <w:rFonts w:ascii="仿宋_GB2312" w:eastAsia="仿宋_GB2312"/>
          <w:b/>
          <w:sz w:val="32"/>
          <w:szCs w:val="32"/>
          <w:u w:val="single"/>
        </w:rPr>
      </w:pPr>
      <w:r>
        <w:rPr>
          <w:rStyle w:val="7"/>
          <w:rFonts w:ascii="仿宋_GB2312" w:eastAsia="仿宋_GB2312"/>
          <w:b/>
          <w:sz w:val="32"/>
          <w:szCs w:val="32"/>
          <w:u w:val="single" w:color="000000"/>
        </w:rPr>
        <w:t>1、《中华人民共和国家庭教育促进法》对家庭教育明确提出要求，家庭教育成为家长的“必选项”。</w:t>
      </w:r>
    </w:p>
    <w:p>
      <w:pPr>
        <w:keepNext w:val="0"/>
        <w:keepLines w:val="0"/>
        <w:pageBreakBefore w:val="0"/>
        <w:widowControl w:val="0"/>
        <w:kinsoku/>
        <w:wordWrap/>
        <w:overflowPunct/>
        <w:topLinePunct w:val="0"/>
        <w:autoSpaceDE/>
        <w:autoSpaceDN/>
        <w:bidi w:val="0"/>
        <w:adjustRightInd/>
        <w:snapToGrid/>
        <w:ind w:firstLine="640" w:firstLineChars="200"/>
        <w:textAlignment w:val="baseline"/>
        <w:rPr>
          <w:rStyle w:val="7"/>
          <w:rFonts w:ascii="仿宋_GB2312" w:eastAsia="仿宋_GB2312"/>
          <w:sz w:val="32"/>
          <w:szCs w:val="32"/>
          <w:u w:val="single"/>
        </w:rPr>
      </w:pPr>
      <w:r>
        <w:rPr>
          <w:rStyle w:val="7"/>
          <w:rFonts w:ascii="仿宋_GB2312" w:eastAsia="仿宋_GB2312"/>
          <w:sz w:val="32"/>
          <w:szCs w:val="32"/>
          <w:u w:val="single" w:color="000000"/>
        </w:rPr>
        <w:t>2021年10月23日，中华人民共和国主席习近平签署中华人民共和国主席令第九十八号，公布《中华人民共和国家庭教育促进法》。2022年1月1日，《中华人民共和国家庭教育促进法》正式实施。</w:t>
      </w:r>
    </w:p>
    <w:p>
      <w:pPr>
        <w:keepNext w:val="0"/>
        <w:keepLines w:val="0"/>
        <w:pageBreakBefore w:val="0"/>
        <w:widowControl w:val="0"/>
        <w:kinsoku/>
        <w:wordWrap/>
        <w:overflowPunct/>
        <w:topLinePunct w:val="0"/>
        <w:autoSpaceDE/>
        <w:autoSpaceDN/>
        <w:bidi w:val="0"/>
        <w:adjustRightInd/>
        <w:snapToGrid/>
        <w:ind w:firstLine="640" w:firstLineChars="200"/>
        <w:textAlignment w:val="baseline"/>
        <w:rPr>
          <w:rStyle w:val="7"/>
          <w:rFonts w:ascii="仿宋_GB2312" w:eastAsia="仿宋_GB2312"/>
          <w:sz w:val="32"/>
          <w:szCs w:val="32"/>
          <w:u w:val="single"/>
        </w:rPr>
      </w:pPr>
      <w:r>
        <w:rPr>
          <w:rStyle w:val="7"/>
          <w:rFonts w:ascii="仿宋_GB2312" w:eastAsia="仿宋_GB2312"/>
          <w:sz w:val="32"/>
          <w:szCs w:val="32"/>
          <w:u w:val="single" w:color="000000"/>
        </w:rPr>
        <w:t>父母应当树立家庭是第一个课堂、家长是第一任老师的责任意识，承担对未成年人实施家庭教育的主体责任，用正确思想、方法和行为教育未成年人养成良好思想、品行和习惯。</w:t>
      </w:r>
    </w:p>
    <w:p>
      <w:pPr>
        <w:keepNext w:val="0"/>
        <w:keepLines w:val="0"/>
        <w:pageBreakBefore w:val="0"/>
        <w:widowControl w:val="0"/>
        <w:kinsoku/>
        <w:wordWrap/>
        <w:overflowPunct/>
        <w:topLinePunct w:val="0"/>
        <w:autoSpaceDE/>
        <w:autoSpaceDN/>
        <w:bidi w:val="0"/>
        <w:adjustRightInd/>
        <w:snapToGrid/>
        <w:ind w:firstLine="643" w:firstLineChars="200"/>
        <w:textAlignment w:val="baseline"/>
        <w:rPr>
          <w:rStyle w:val="7"/>
          <w:rFonts w:ascii="仿宋_GB2312" w:eastAsia="仿宋_GB2312"/>
          <w:b/>
          <w:sz w:val="32"/>
          <w:szCs w:val="32"/>
          <w:u w:val="single"/>
        </w:rPr>
      </w:pPr>
      <w:r>
        <w:rPr>
          <w:rStyle w:val="7"/>
          <w:rFonts w:ascii="仿宋_GB2312" w:eastAsia="仿宋_GB2312"/>
          <w:b/>
          <w:sz w:val="32"/>
          <w:szCs w:val="32"/>
          <w:u w:val="single" w:color="000000"/>
        </w:rPr>
        <w:t>2、国家要求县级以上地方人民政府及有关部门组织建立家庭教育指导服务专业队伍，家庭教育成为政府及有关部门的“必选项”。</w:t>
      </w:r>
    </w:p>
    <w:p>
      <w:pPr>
        <w:keepNext w:val="0"/>
        <w:keepLines w:val="0"/>
        <w:pageBreakBefore w:val="0"/>
        <w:widowControl w:val="0"/>
        <w:kinsoku/>
        <w:wordWrap/>
        <w:overflowPunct/>
        <w:topLinePunct w:val="0"/>
        <w:autoSpaceDE/>
        <w:autoSpaceDN/>
        <w:bidi w:val="0"/>
        <w:adjustRightInd/>
        <w:snapToGrid/>
        <w:ind w:firstLine="640" w:firstLineChars="200"/>
        <w:textAlignment w:val="baseline"/>
        <w:rPr>
          <w:rStyle w:val="7"/>
          <w:rFonts w:ascii="仿宋_GB2312" w:eastAsia="仿宋_GB2312"/>
          <w:sz w:val="32"/>
          <w:szCs w:val="32"/>
          <w:u w:val="single"/>
        </w:rPr>
      </w:pPr>
      <w:r>
        <w:rPr>
          <w:rStyle w:val="7"/>
          <w:rFonts w:ascii="仿宋_GB2312" w:eastAsia="仿宋_GB2312"/>
          <w:sz w:val="32"/>
          <w:szCs w:val="32"/>
          <w:u w:val="single" w:color="000000"/>
        </w:rPr>
        <w:t>《中华人民共和国家庭教育促进法》明确提出：县级以上地方人民政府及有关部门组织建立家庭教育指导服务专业队伍，加强对专业人员的培养，鼓励社会工作者、志愿者参与家庭教育指导服务工作。</w:t>
      </w:r>
    </w:p>
    <w:p>
      <w:pPr>
        <w:keepNext w:val="0"/>
        <w:keepLines w:val="0"/>
        <w:pageBreakBefore w:val="0"/>
        <w:widowControl w:val="0"/>
        <w:kinsoku/>
        <w:wordWrap/>
        <w:overflowPunct/>
        <w:topLinePunct w:val="0"/>
        <w:autoSpaceDE/>
        <w:autoSpaceDN/>
        <w:bidi w:val="0"/>
        <w:adjustRightInd/>
        <w:snapToGrid/>
        <w:ind w:firstLine="643" w:firstLineChars="200"/>
        <w:textAlignment w:val="baseline"/>
        <w:rPr>
          <w:rStyle w:val="7"/>
          <w:rFonts w:ascii="仿宋_GB2312" w:eastAsia="仿宋_GB2312"/>
          <w:b/>
          <w:sz w:val="32"/>
          <w:szCs w:val="32"/>
          <w:u w:val="single"/>
        </w:rPr>
      </w:pPr>
      <w:r>
        <w:rPr>
          <w:rStyle w:val="7"/>
          <w:rFonts w:ascii="仿宋_GB2312" w:eastAsia="仿宋_GB2312"/>
          <w:b/>
          <w:sz w:val="32"/>
          <w:szCs w:val="32"/>
          <w:u w:val="single" w:color="000000"/>
        </w:rPr>
        <w:t>3、家长学校、家长会的形式不能满足家庭教育的时代需求，进行家庭教育课程化教学成为学校的“必选项”。</w:t>
      </w:r>
    </w:p>
    <w:p>
      <w:pPr>
        <w:keepNext w:val="0"/>
        <w:keepLines w:val="0"/>
        <w:pageBreakBefore w:val="0"/>
        <w:widowControl w:val="0"/>
        <w:kinsoku/>
        <w:wordWrap/>
        <w:overflowPunct/>
        <w:topLinePunct w:val="0"/>
        <w:autoSpaceDE/>
        <w:autoSpaceDN/>
        <w:bidi w:val="0"/>
        <w:adjustRightInd/>
        <w:snapToGrid/>
        <w:textAlignment w:val="baseline"/>
        <w:rPr>
          <w:rStyle w:val="7"/>
          <w:rFonts w:ascii="仿宋_GB2312" w:eastAsia="仿宋_GB2312"/>
          <w:sz w:val="32"/>
          <w:szCs w:val="32"/>
          <w:u w:val="single"/>
        </w:rPr>
      </w:pPr>
      <w:r>
        <w:rPr>
          <w:rStyle w:val="7"/>
          <w:rFonts w:ascii="仿宋_GB2312" w:eastAsia="仿宋_GB2312"/>
          <w:sz w:val="32"/>
          <w:szCs w:val="32"/>
          <w:u w:val="single" w:color="000000"/>
        </w:rPr>
        <w:t>通过家长学校与家长会形式涉及的家庭教育内容是碎片化的，实施是随意的。所以，目前有学校（如，张店区凯瑞小学、淄博师专附中）尝试探索家庭教育系列课程化实施的新形式，经访谈调研，存在师资队伍缺乏、内容</w:t>
      </w:r>
      <w:r>
        <w:rPr>
          <w:rStyle w:val="7"/>
          <w:rFonts w:hint="eastAsia" w:ascii="仿宋_GB2312" w:eastAsia="仿宋_GB2312"/>
          <w:sz w:val="32"/>
          <w:szCs w:val="32"/>
          <w:u w:val="single" w:color="000000"/>
        </w:rPr>
        <w:t>不系统</w:t>
      </w:r>
      <w:r>
        <w:rPr>
          <w:rStyle w:val="7"/>
          <w:rFonts w:ascii="仿宋_GB2312" w:eastAsia="仿宋_GB2312"/>
          <w:sz w:val="32"/>
          <w:szCs w:val="32"/>
          <w:u w:val="single" w:color="000000"/>
        </w:rPr>
        <w:t>、</w:t>
      </w:r>
      <w:r>
        <w:rPr>
          <w:rStyle w:val="7"/>
          <w:rFonts w:hint="eastAsia" w:ascii="仿宋_GB2312" w:eastAsia="仿宋_GB2312"/>
          <w:sz w:val="32"/>
          <w:szCs w:val="32"/>
          <w:u w:val="single" w:color="000000"/>
        </w:rPr>
        <w:t>针对性不强、</w:t>
      </w:r>
      <w:r>
        <w:rPr>
          <w:rStyle w:val="7"/>
          <w:rFonts w:ascii="仿宋_GB2312" w:eastAsia="仿宋_GB2312"/>
          <w:sz w:val="32"/>
          <w:szCs w:val="32"/>
          <w:u w:val="single" w:color="000000"/>
        </w:rPr>
        <w:t>授课形式单一、零评价等问题，尚未形成成熟的课程内容与具有实操性的实施方案。</w:t>
      </w:r>
    </w:p>
    <w:p>
      <w:pPr>
        <w:keepNext w:val="0"/>
        <w:keepLines w:val="0"/>
        <w:pageBreakBefore w:val="0"/>
        <w:widowControl w:val="0"/>
        <w:kinsoku/>
        <w:wordWrap/>
        <w:overflowPunct/>
        <w:topLinePunct w:val="0"/>
        <w:autoSpaceDE/>
        <w:autoSpaceDN/>
        <w:bidi w:val="0"/>
        <w:adjustRightInd/>
        <w:snapToGrid/>
        <w:textAlignment w:val="baseline"/>
        <w:rPr>
          <w:rStyle w:val="7"/>
          <w:rFonts w:ascii="仿宋_GB2312" w:eastAsia="仿宋_GB2312"/>
          <w:sz w:val="32"/>
          <w:szCs w:val="32"/>
          <w:u w:val="single"/>
        </w:rPr>
      </w:pPr>
      <w:r>
        <w:rPr>
          <w:rStyle w:val="7"/>
          <w:rFonts w:ascii="仿宋_GB2312" w:eastAsia="仿宋_GB2312"/>
          <w:sz w:val="32"/>
          <w:szCs w:val="32"/>
          <w:u w:val="single" w:color="000000"/>
        </w:rPr>
        <w:t>办  法：</w:t>
      </w:r>
    </w:p>
    <w:p>
      <w:pPr>
        <w:keepNext w:val="0"/>
        <w:keepLines w:val="0"/>
        <w:pageBreakBefore w:val="0"/>
        <w:widowControl w:val="0"/>
        <w:kinsoku/>
        <w:wordWrap/>
        <w:overflowPunct/>
        <w:topLinePunct w:val="0"/>
        <w:autoSpaceDE/>
        <w:autoSpaceDN/>
        <w:bidi w:val="0"/>
        <w:adjustRightInd/>
        <w:snapToGrid/>
        <w:ind w:firstLine="640" w:firstLineChars="200"/>
        <w:textAlignment w:val="baseline"/>
        <w:rPr>
          <w:rStyle w:val="7"/>
          <w:rFonts w:ascii="仿宋_GB2312" w:eastAsia="仿宋_GB2312"/>
          <w:sz w:val="32"/>
          <w:szCs w:val="32"/>
          <w:u w:val="single"/>
        </w:rPr>
      </w:pPr>
      <w:r>
        <w:rPr>
          <w:rStyle w:val="7"/>
          <w:rFonts w:ascii="仿宋_GB2312" w:eastAsia="仿宋_GB2312"/>
          <w:sz w:val="32"/>
          <w:szCs w:val="32"/>
          <w:u w:val="single" w:color="000000"/>
        </w:rPr>
        <w:t>1、</w:t>
      </w:r>
      <w:r>
        <w:rPr>
          <w:rStyle w:val="7"/>
          <w:rFonts w:hint="eastAsia" w:ascii="仿宋_GB2312" w:eastAsia="仿宋_GB2312"/>
          <w:sz w:val="32"/>
          <w:szCs w:val="32"/>
          <w:u w:val="single" w:color="000000"/>
        </w:rPr>
        <w:t>成</w:t>
      </w:r>
      <w:r>
        <w:rPr>
          <w:rStyle w:val="7"/>
          <w:rFonts w:ascii="仿宋_GB2312" w:eastAsia="仿宋_GB2312"/>
          <w:sz w:val="32"/>
          <w:szCs w:val="32"/>
          <w:u w:val="single" w:color="000000"/>
        </w:rPr>
        <w:t>立</w:t>
      </w:r>
      <w:r>
        <w:rPr>
          <w:rStyle w:val="7"/>
          <w:rFonts w:hint="eastAsia" w:ascii="仿宋_GB2312" w:eastAsia="仿宋_GB2312"/>
          <w:sz w:val="32"/>
          <w:szCs w:val="32"/>
          <w:u w:val="single" w:color="000000"/>
        </w:rPr>
        <w:t>淄川区</w:t>
      </w:r>
      <w:r>
        <w:rPr>
          <w:rStyle w:val="7"/>
          <w:rFonts w:ascii="仿宋_GB2312" w:eastAsia="仿宋_GB2312"/>
          <w:sz w:val="32"/>
          <w:szCs w:val="32"/>
          <w:u w:val="single" w:color="000000"/>
        </w:rPr>
        <w:t>家庭教育指导服务专业委员会，有区级政府相关单位牵头，组建由教育局主管人员、家庭教育专家、高校专业教师、中小学教师、优秀家长、社会工作者、志愿者组成的若干家庭教育培训团队。</w:t>
      </w:r>
    </w:p>
    <w:p>
      <w:pPr>
        <w:keepNext w:val="0"/>
        <w:keepLines w:val="0"/>
        <w:pageBreakBefore w:val="0"/>
        <w:widowControl w:val="0"/>
        <w:kinsoku/>
        <w:wordWrap/>
        <w:overflowPunct/>
        <w:topLinePunct w:val="0"/>
        <w:autoSpaceDE/>
        <w:autoSpaceDN/>
        <w:bidi w:val="0"/>
        <w:adjustRightInd/>
        <w:snapToGrid/>
        <w:ind w:firstLine="480" w:firstLineChars="150"/>
        <w:textAlignment w:val="baseline"/>
        <w:rPr>
          <w:rStyle w:val="7"/>
          <w:rFonts w:ascii="仿宋_GB2312" w:eastAsia="仿宋_GB2312"/>
          <w:sz w:val="32"/>
          <w:szCs w:val="32"/>
          <w:u w:val="single"/>
        </w:rPr>
      </w:pPr>
      <w:r>
        <w:rPr>
          <w:rStyle w:val="7"/>
          <w:rFonts w:ascii="仿宋_GB2312" w:eastAsia="仿宋_GB2312"/>
          <w:sz w:val="32"/>
          <w:szCs w:val="32"/>
          <w:u w:val="single" w:color="000000"/>
        </w:rPr>
        <w:t>2、整合利用国家、省、市资源（如，山东省教育电视台、山东省文明办和山东省妇联共同成立的家庭教育平台“养教有方”，淄博市妇联牵头成立的淄博市家庭教育宣讲团。）发挥地方高校师资优势，以高校专业教师牵头构建以培养培训家庭教育能力和素养为目的的课程体系。包括：课程目标、课程内容、课程实施、课程评价等。</w:t>
      </w:r>
    </w:p>
    <w:p>
      <w:pPr>
        <w:keepNext w:val="0"/>
        <w:keepLines w:val="0"/>
        <w:pageBreakBefore w:val="0"/>
        <w:widowControl w:val="0"/>
        <w:kinsoku/>
        <w:wordWrap/>
        <w:overflowPunct/>
        <w:topLinePunct w:val="0"/>
        <w:autoSpaceDE/>
        <w:autoSpaceDN/>
        <w:bidi w:val="0"/>
        <w:adjustRightInd/>
        <w:snapToGrid/>
        <w:ind w:firstLine="480" w:firstLineChars="150"/>
        <w:textAlignment w:val="baseline"/>
        <w:rPr>
          <w:rStyle w:val="7"/>
          <w:rFonts w:ascii="仿宋_GB2312" w:eastAsia="仿宋_GB2312"/>
          <w:sz w:val="32"/>
          <w:szCs w:val="32"/>
          <w:u w:val="single"/>
        </w:rPr>
      </w:pPr>
      <w:r>
        <w:rPr>
          <w:rStyle w:val="7"/>
          <w:rFonts w:ascii="仿宋_GB2312" w:eastAsia="仿宋_GB2312"/>
          <w:sz w:val="32"/>
          <w:szCs w:val="32"/>
          <w:u w:val="single" w:color="000000"/>
        </w:rPr>
        <w:t>3、由中小学学校出台家庭教育课程实施方案与细则，定期开展</w:t>
      </w:r>
      <w:r>
        <w:rPr>
          <w:rStyle w:val="7"/>
          <w:rFonts w:hint="eastAsia" w:ascii="仿宋_GB2312" w:eastAsia="仿宋_GB2312"/>
          <w:sz w:val="32"/>
          <w:szCs w:val="32"/>
          <w:u w:val="single" w:color="000000"/>
        </w:rPr>
        <w:t>线上线下</w:t>
      </w:r>
      <w:r>
        <w:rPr>
          <w:rStyle w:val="7"/>
          <w:rFonts w:ascii="仿宋_GB2312" w:eastAsia="仿宋_GB2312"/>
          <w:sz w:val="32"/>
          <w:szCs w:val="32"/>
          <w:u w:val="single" w:color="000000"/>
        </w:rPr>
        <w:t xml:space="preserve">家庭教育课程化教学。并签订学校、家长双方家庭教育课程化教学协议。由上级主管部门对学校进行监督落实，并纳入学校评价体系。    </w:t>
      </w:r>
    </w:p>
    <w:p>
      <w:pPr>
        <w:keepNext w:val="0"/>
        <w:keepLines w:val="0"/>
        <w:pageBreakBefore w:val="0"/>
        <w:widowControl w:val="0"/>
        <w:kinsoku/>
        <w:wordWrap/>
        <w:overflowPunct/>
        <w:topLinePunct w:val="0"/>
        <w:autoSpaceDE/>
        <w:autoSpaceDN/>
        <w:bidi w:val="0"/>
        <w:adjustRightInd/>
        <w:snapToGrid/>
        <w:ind w:firstLine="480" w:firstLineChars="150"/>
        <w:textAlignment w:val="baseline"/>
        <w:rPr>
          <w:rStyle w:val="7"/>
          <w:rFonts w:ascii="仿宋_GB2312" w:eastAsia="仿宋_GB2312"/>
          <w:sz w:val="32"/>
          <w:szCs w:val="32"/>
        </w:rPr>
      </w:pPr>
      <w:r>
        <w:rPr>
          <w:rStyle w:val="7"/>
          <w:rFonts w:ascii="仿宋_GB2312" w:eastAsia="仿宋_GB2312"/>
          <w:sz w:val="32"/>
          <w:szCs w:val="32"/>
          <w:u w:val="single" w:color="000000"/>
        </w:rPr>
        <w:t>4、由学校、教师、孩子等评价主体定期对家长进行多元评价、过程性评价、激励性评价，调动家长学习课程的积极性，促进课程学习的持续、有效进行。</w:t>
      </w:r>
    </w:p>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418" w:left="1531" w:header="851" w:footer="992" w:gutter="0"/>
      <w:cols w:space="720" w:num="1"/>
      <w:docGrid w:type="lines" w:linePitch="5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rPr>
        <w:rStyle w:val="10"/>
        <w:rFonts w:ascii="宋体" w:hAnsi="宋体"/>
        <w:sz w:val="21"/>
        <w:szCs w:val="21"/>
      </w:rPr>
    </w:pPr>
  </w:p>
  <w:p>
    <w:pPr>
      <w:pStyle w:val="2"/>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rPr>
        <w:rStyle w:val="10"/>
      </w:rPr>
    </w:pPr>
  </w:p>
  <w:p>
    <w:pPr>
      <w:pStyle w:val="2"/>
      <w:rPr>
        <w:rStyle w:val="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67"/>
    <w:rsid w:val="00037662"/>
    <w:rsid w:val="00242ED7"/>
    <w:rsid w:val="005B0E85"/>
    <w:rsid w:val="006D2E51"/>
    <w:rsid w:val="00897CBD"/>
    <w:rsid w:val="00A20B5A"/>
    <w:rsid w:val="00CD09B9"/>
    <w:rsid w:val="00E17BC9"/>
    <w:rsid w:val="00E35467"/>
    <w:rsid w:val="262C7A89"/>
    <w:rsid w:val="2CE743DE"/>
    <w:rsid w:val="401D3956"/>
    <w:rsid w:val="41A05529"/>
    <w:rsid w:val="569E0734"/>
    <w:rsid w:val="5FB25949"/>
    <w:rsid w:val="64AE0A99"/>
    <w:rsid w:val="6D5A7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semiHidden/>
    <w:qFormat/>
    <w:uiPriority w:val="0"/>
  </w:style>
  <w:style w:type="table" w:customStyle="1" w:styleId="8">
    <w:name w:val="TableNormal"/>
    <w:semiHidden/>
    <w:qFormat/>
    <w:uiPriority w:val="0"/>
    <w:tblPr>
      <w:tblCellMar>
        <w:top w:w="0" w:type="dxa"/>
        <w:left w:w="0" w:type="dxa"/>
        <w:bottom w:w="0" w:type="dxa"/>
        <w:right w:w="0" w:type="dxa"/>
      </w:tblCellMar>
    </w:tblPr>
  </w:style>
  <w:style w:type="paragraph" w:customStyle="1" w:styleId="9">
    <w:name w:val="Acetate"/>
    <w:basedOn w:val="1"/>
    <w:semiHidden/>
    <w:qFormat/>
    <w:uiPriority w:val="0"/>
    <w:rPr>
      <w:sz w:val="18"/>
      <w:szCs w:val="18"/>
    </w:rPr>
  </w:style>
  <w:style w:type="character" w:customStyle="1" w:styleId="10">
    <w:name w:val="Page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1016</Words>
  <Characters>5797</Characters>
  <Lines>48</Lines>
  <Paragraphs>13</Paragraphs>
  <TotalTime>2</TotalTime>
  <ScaleCrop>false</ScaleCrop>
  <LinksUpToDate>false</LinksUpToDate>
  <CharactersWithSpaces>6800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2022-01-15T10:29:00Z</dcterms:created>
  <dc:creator>HH</dc:creator>
  <cp:lastModifiedBy>银杏果</cp:lastModifiedBy>
  <dcterms:modified xsi:type="dcterms:W3CDTF">2022-11-09T06:57:50Z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894FA24230B6481DB57D7AAF5FD6E935</vt:lpwstr>
  </property>
</Properties>
</file>