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sz w:val="36"/>
          <w:szCs w:val="36"/>
        </w:rPr>
      </w:pPr>
      <w:r>
        <w:rPr>
          <w:sz w:val="36"/>
        </w:rPr>
        <w:pict>
          <v:shape id="文本框 3" o:spid="_x0000_s1026" o:spt="202" type="#_x0000_t202" style="position:absolute;left:0pt;margin-left:27.85pt;margin-top:-7.75pt;height:72pt;width:131.2pt;z-index:251659264;mso-width-relative:page;mso-height-relative:page;" fillcolor="#FFFFFF" filled="t" stroked="t" coordsize="21600,21600" o:gfxdata="UEsDBAoAAAAAAIdO4kAAAAAAAAAAAAAAAAAEAAAAZHJzL1BLAwQUAAAACACHTuJAoAIffdgAAAAK AQAADwAAAGRycy9kb3ducmV2LnhtbE2PwU7DMBBE70j8g7WVuKDWdpAhCnEqVIE4t3Dh5sbbJGps J7HbtHw9ywmOq3maeVuuL65nZ5xiF7wGuRLA0NfBdr7R8PnxtsyBxWS8NX3wqOGKEdbV7U1pChtm v8XzLjWMSnwsjIY2paHgPNYtOhNXYUBP2SFMziQ6p4bbycxU7nqeCfHInek8LbRmwE2L9XF3chrC /Hp1AUeR3X99u/fNy7g9ZKPWdwspnoElvKQ/GH71SR0qctqHk7eR9RqUeiJSw1IqBYyAB5lLYHsi s1wBr0r+/4XqB1BLAwQUAAAACACHTuJAtr4WZAYCAAA2BAAADgAAAGRycy9lMm9Eb2MueG1srVNL jhMxEN0jcQfLe9JJyETQSmckCGGDAGngAI4/3Zb8k8tJdy4AN2DFhj3nyjmm7A4ZZthkQS/cZVf5 Vb1X5dXtYA05yAjau4bOJlNKpONeaNc29OuX7YtXlEBiTjDjnWzoUQK9XT9/tupDLee+80bISBDE Qd2HhnYphbqqgHfSMpj4IB06lY+WJdzGthKR9YhuTTWfTpdV76MI0XMJgKeb0UnPiPEaQK+U5nLj +d5Kl0bUKA1LSAk6HYCuS7VKSZ4+KQUyEdNQZJrKiknQ3uW1Wq9Y3UYWOs3PJbBrSnjCyTLtMOkF asMSI/uo/4GymkcPXqUJ97YaiRRFkMVs+kSbu44FWbig1BAuosP/g+UfD58j0QIngRLHLDb89OP7 6efv069v5GWWpw9QY9RdwLg0vPFDDj2fAx5m1oOKNv+RD0E/inu8iCuHRHi+tFwu5wt0cfS9ni0W 06J+9XA7REjvpbckGw2N2LyiKTt8gIQZMfRPSE4G3mix1caUTWx3b00kB4aN3pYvF4lXHoUZR3rM fjO/wToYTq/CqUHTBlQAXFvyPboB1wHnwjYMurGAgjDOltVJRqyE1Z1k4p0TJB0DquzwcdFcjJWC EiPxLWarRCamzTWRyM44JJlbNLYiW2nYDQiTzZ0XR2zbPkTddihpaVwJx3Eq6pxHP8/r3/sC+vDc 1/dQSwMECgAAAAAAh07iQAAAAAAAAAAAAAAAAAYAAABfcmVscy9QSwMEFAAAAAgAh07iQIoUZjzR AAAAlAEAAAsAAABfcmVscy8ucmVsc6WQwWrDMAyG74O9g9F9cZrDGKNOL6PQa+kewNiKYxpbRjLZ +vbzDoNl9LajfqHvE//+8JkWtSJLpGxg1/WgMDvyMQcD75fj0wsoqTZ7u1BGAzcUOIyPD/szLra2 I5ljEdUoWQzMtZZXrcXNmKx0VDC3zUScbG0jB12su9qAeuj7Z82/GTBumOrkDfDJD6Aut9LMf9gp OiahqXaOkqZpiu4eVQe2ZY7uyDbhG7lGsxywGvAsGgdqWdd+BH1fv/un3tNHPuO61X6HjOuPV2+6 HL8AUEsDBBQAAAAIAIdO4kB+5uUg9wAAAOEBAAATAAAAW0NvbnRlbnRfVHlwZXNdLnhtbJWRQU7D MBBF90jcwfIWJU67QAgl6YK0S0CoHGBkTxKLZGx5TGhvj5O2G0SRWNoz/78nu9wcxkFMGNg6quQq L6RA0s5Y6ir5vt9lD1JwBDIwOMJKHpHlpr69KfdHjyxSmriSfYz+USnWPY7AufNIadK6MEJMx9Ap D/oDOlTrorhX2lFEilmcO2RdNtjC5xDF9pCuTyYBB5bi6bQ4syoJ3g9WQ0ymaiLzg5KdCXlKLjvc W893SUOqXwnz5DrgnHtJTxOsQfEKIT7DmDSUCayM+6KAU/53yWw5cuba1mrMm8BNir3hdLG61o5r 1zj93/Ltkrp0q+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CgAh992AAAAAoBAAAPAAAAAAAAAAEAIAAAACIAAABk cnMvZG93bnJldi54bWxQSwECFAAUAAAACACHTuJAtr4WZAYCAAA2BAAADgAAAAAAAAABACAAAAAn AQAAZHJzL2Uyb0RvYy54bWxQSwUGAAAAAAYABgBZAQAAnwUAAAAA ">
            <v:path/>
            <v:fill on="t" focussize="0,0"/>
            <v:stroke color="#FFFFFF" joinstyle="miter"/>
            <v:imagedata o:title=""/>
            <o:lock v:ext="edit" aspectratio="f"/>
            <v:textbox>
              <w:txbxContent>
                <w:p>
                  <w:pPr>
                    <w:spacing w:line="560" w:lineRule="exact"/>
                    <w:jc w:val="distribute"/>
                    <w:outlineLvl w:val="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中 国 人 民</w:t>
                  </w:r>
                </w:p>
                <w:p>
                  <w:pPr>
                    <w:spacing w:line="560" w:lineRule="exact"/>
                    <w:jc w:val="distribute"/>
                    <w:rPr>
                      <w:rFonts w:hint="eastAsia" w:ascii="方正小标宋简体" w:hAnsi="方正小标宋简体" w:eastAsia="方正小标宋简体" w:cs="方正小标宋简体"/>
                    </w:rPr>
                  </w:pPr>
                  <w:r>
                    <w:rPr>
                      <w:rFonts w:hint="eastAsia" w:ascii="方正小标宋简体" w:hAnsi="方正小标宋简体" w:eastAsia="方正小标宋简体" w:cs="方正小标宋简体"/>
                      <w:sz w:val="36"/>
                      <w:szCs w:val="36"/>
                    </w:rPr>
                    <w:t>政治协商会议</w:t>
                  </w:r>
                </w:p>
              </w:txbxContent>
            </v:textbox>
          </v:shape>
        </w:pict>
      </w:r>
      <w:r>
        <w:rPr>
          <w:sz w:val="36"/>
        </w:rPr>
        <w:pict>
          <v:shape id="文本框 4" o:spid="_x0000_s1027" o:spt="202" type="#_x0000_t202" style="position:absolute;left:0pt;margin-left:150.2pt;margin-top:0.8pt;height:47.25pt;width:271.45pt;z-index:251660288;mso-width-relative:page;mso-height-relative:page;" fillcolor="#FFFFFF" filled="t" stroked="t" coordsize="21600,21600" o:gfxdata="UEsDBAoAAAAAAIdO4kAAAAAAAAAAAAAAAAAEAAAAZHJzL1BLAwQUAAAACACHTuJA8yn7o9YAAAAI AQAADwAAAGRycy9kb3ducmV2LnhtbE2PwU7DMBBE70j8g7VIXBC1k1RRCXEqVIE4t+XCzY23SUS8 TmK3afl6lhMcV28087ZcX1wvzjiFzpOGZKFAINXedtRo+Ni/Pa5AhGjImt4TarhigHV1e1OawvqZ tnjexUZwCYXCaGhjHAopQ92iM2HhByRmRz85E/mcGmknM3O562WqVC6d6YgXWjPgpsX6a3dyGvz8 enUeR5U+fH67983LuD2mo9b3d4l6BhHxEv/C8KvP6lCx08GfyAbRa8iUWnKUQQ6C+WqZZSAOGp7y BGRVyv8PVD9QSwMEFAAAAAgAh07iQE+PRfMGAgAANgQAAA4AAABkcnMvZTJvRG9jLnhtbK1TTa7T MBDeI3EHy3uatLTvQdT0SVDKBgHSgwO4tpNY8p88bpNeAG7Aig17ztVzMHb6+v42XZCFMx5//mbm m/HyZjCa7GUA5WxNp5OSEmm5E8q2Nf3+bfPqDSUQmRVMOytrepBAb1YvXyx7X8mZ65wWMhAksVD1 vqZdjL4qCuCdNAwmzkuLh40LhkXchrYQgfXIbnQxK8urondB+OC4BEDvejykJ8ZwCaFrGsXl2vGd kTaOrEFqFrEk6JQHusrZNo3k8UvTgIxE1xQrjXnFIGhv01qslqxqA/Od4qcU2CUpPKnJMGUx6Jlq zSIju6CeURnFgwPXxAl3phgLyYpgFdPyiTa3HfMy14JSgz+LDv+Pln/efw1EiZrOKLHMYMOPv34e f/89/vlB5kme3kOFqFuPuDi8cwMOzZ0f0JmqHppg0h/rIXiO4h7O4sohEo7O1/P59Xy6oITj2VVZ lteLRFPc3/YB4kfpDElGTQM2L2vK9p8gjtA7SAoGTiuxUVrnTWi373Uge4aN3uTvxP4Ipi3pa/p2 MUt5MJzeBqcGTeNRAbBtjvfoBlxGnBJbM+jGBDJDis8qo6IM2eokEx+sIPHgUWWLj4umZIwUlGiJ bzFZGRmZ0pcgUTttUcLUorEVyYrDdkCaZG6dOGDbdj6otkNJc+MyHMcpa38a/TSvD/eZ9P65r/4B UEsDBAoAAAAAAIdO4kAAAAAAAAAAAAAAAAAGAAAAX3JlbHMvUEsDBBQAAAAIAIdO4kCKFGY80QAA AJQBAAALAAAAX3JlbHMvLnJlbHOlkMFqwzAMhu+DvYPRfXGawxijTi+j0GvpHsDYimMaW0Yy2fr2 8w6DZfS2o36h7xP//vCZFrUiS6RsYNf1oDA78jEHA++X49MLKKk2e7tQRgM3FDiMjw/7My62tiOZ YxHVKFkMzLWWV63FzZisdFQwt81EnGxtIwddrLvagHro+2fNvxkwbpjq5A3wyQ+gLrfSzH/YKTom oal2jpKmaYruHlUHtmWO7sg24Ru5RrMcsBrwLBoHalnXfgR9X7/7p97TRz7jutV+h4zrj1dvuhy/ AFBLAwQUAAAACACHTuJAfublIPcAAADhAQAAEwAAAFtDb250ZW50X1R5cGVzXS54bWyVkUFOwzAQ RfdI3MHyFiVOu0AIJemCtEtAqBxgZE8Si2RseUxob4+TthtEkVjaM/+/J7vcHMZBTBjYOqrkKi+k QNLOWOoq+b7fZQ9ScAQyMDjCSh6R5aa+vSn3R48sUpq4kn2M/lEp1j2OwLnzSGnSujBCTMfQKQ/6 AzpU66K4V9pRRIpZnDtkXTbYwucQxfaQrk8mAQeW4um0OLMqCd4PVkNMpmoi84OSnQl5Si473FvP d0lDql8J8+Q64Jx7SU8TrEHxCiE+w5g0lAmsjPuigFP+d8lsOXLm2tZqzJvATYq94XSxutaOa9c4 /d/y7ZK6dKvlg+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PRfMGAgAANgQAAA4AAAAAAAAAAQAgAAAAJQEA AGRycy9lMm9Eb2MueG1sUEsFBgAAAAAGAAYAWQEAAJ0FAAAAAA== ">
            <v:path/>
            <v:fill on="t" focussize="0,0"/>
            <v:stroke color="#FFFFFF" joinstyle="miter"/>
            <v:imagedata o:title=""/>
            <o:lock v:ext="edit" aspectratio="f"/>
            <v:textbox>
              <w:txbxContent>
                <w:p>
                  <w:pPr>
                    <w:jc w:val="center"/>
                    <w:outlineLvl w:val="0"/>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淄博市</w:t>
                  </w:r>
                  <w:r>
                    <w:rPr>
                      <w:rFonts w:hint="eastAsia" w:ascii="方正小标宋简体" w:hAnsi="方正小标宋简体" w:eastAsia="方正小标宋简体" w:cs="方正小标宋简体"/>
                      <w:sz w:val="44"/>
                      <w:szCs w:val="44"/>
                      <w:lang w:val="en-US" w:eastAsia="zh-CN"/>
                    </w:rPr>
                    <w:t>淄川</w:t>
                  </w:r>
                  <w:r>
                    <w:rPr>
                      <w:rFonts w:hint="eastAsia" w:ascii="方正小标宋简体" w:hAnsi="方正小标宋简体" w:eastAsia="方正小标宋简体" w:cs="方正小标宋简体"/>
                      <w:sz w:val="44"/>
                      <w:szCs w:val="44"/>
                    </w:rPr>
                    <w:t>区委员会提案</w:t>
                  </w:r>
                </w:p>
                <w:p>
                  <w:pPr>
                    <w:jc w:val="distribute"/>
                    <w:rPr>
                      <w:rFonts w:hint="eastAsia" w:ascii="方正小标宋简体" w:hAnsi="方正小标宋简体" w:eastAsia="方正小标宋简体" w:cs="方正小标宋简体"/>
                    </w:rPr>
                  </w:pPr>
                </w:p>
              </w:txbxContent>
            </v:textbox>
          </v:shape>
        </w:pict>
      </w:r>
    </w:p>
    <w:p>
      <w:pPr>
        <w:jc w:val="center"/>
        <w:outlineLvl w:val="0"/>
        <w:rPr>
          <w:rFonts w:hint="eastAsia" w:ascii="仿宋_GB2312" w:hAnsi="仿宋_GB2312" w:eastAsia="仿宋_GB2312" w:cs="仿宋_GB2312"/>
          <w:color w:val="FF0000"/>
          <w:sz w:val="32"/>
          <w:szCs w:val="32"/>
        </w:rPr>
      </w:pPr>
      <w:bookmarkStart w:id="0" w:name="jiebie"/>
    </w:p>
    <w:p>
      <w:pPr>
        <w:jc w:val="center"/>
        <w:outlineLvl w:val="0"/>
        <w:rPr>
          <w:rFonts w:hint="eastAsia" w:ascii="楷体_GB2312" w:hAnsi="楷体_GB2312" w:eastAsia="仿宋_GB2312" w:cs="楷体_GB2312"/>
          <w:color w:val="000000" w:themeColor="text1"/>
          <w:sz w:val="32"/>
          <w:szCs w:val="32"/>
        </w:rPr>
      </w:pPr>
      <w:r>
        <w:rPr>
          <w:rFonts w:hint="eastAsia" w:ascii="楷体_GB2312" w:hAnsi="楷体_GB2312" w:eastAsia="楷体_GB2312" w:cs="楷体_GB2312"/>
          <w:color w:val="000000" w:themeColor="text1"/>
          <w:sz w:val="32"/>
          <w:szCs w:val="32"/>
        </w:rPr>
        <w:t>十</w:t>
      </w:r>
      <w:bookmarkEnd w:id="0"/>
      <w:r>
        <w:rPr>
          <w:rFonts w:hint="eastAsia" w:ascii="楷体_GB2312" w:hAnsi="楷体_GB2312" w:eastAsia="楷体_GB2312" w:cs="楷体_GB2312"/>
          <w:color w:val="000000" w:themeColor="text1"/>
          <w:sz w:val="32"/>
          <w:szCs w:val="32"/>
        </w:rPr>
        <w:t>三届四次会议  第</w:t>
      </w:r>
      <w:r>
        <w:rPr>
          <w:rFonts w:hint="eastAsia" w:ascii="楷体_GB2312" w:hAnsi="楷体_GB2312" w:eastAsia="楷体_GB2312" w:cs="楷体_GB2312"/>
          <w:color w:val="000000" w:themeColor="text1"/>
          <w:sz w:val="32"/>
          <w:szCs w:val="32"/>
          <w:lang w:val="en-US" w:eastAsia="zh-CN"/>
        </w:rPr>
        <w:t xml:space="preserve"> </w:t>
      </w:r>
      <w:r>
        <w:rPr>
          <w:rFonts w:hint="eastAsia" w:ascii="楷体_GB2312" w:hAnsi="楷体_GB2312" w:eastAsia="楷体_GB2312" w:cs="楷体_GB2312"/>
          <w:color w:val="000000" w:themeColor="text1"/>
          <w:sz w:val="32"/>
          <w:szCs w:val="32"/>
        </w:rPr>
        <w:t>十三届五次会议133号</w:t>
      </w:r>
      <w:r>
        <w:rPr>
          <w:rFonts w:hint="eastAsia" w:ascii="楷体_GB2312" w:hAnsi="楷体_GB2312" w:eastAsia="楷体_GB2312" w:cs="楷体_GB2312"/>
          <w:color w:val="000000" w:themeColor="text1"/>
          <w:sz w:val="32"/>
          <w:szCs w:val="32"/>
          <w:lang w:val="en-US" w:eastAsia="zh-CN"/>
        </w:rPr>
        <w:t xml:space="preserve"> </w:t>
      </w:r>
      <w:r>
        <w:rPr>
          <w:rFonts w:hint="eastAsia" w:ascii="楷体_GB2312" w:hAnsi="楷体_GB2312" w:eastAsia="楷体_GB2312" w:cs="楷体_GB2312"/>
          <w:color w:val="000000" w:themeColor="text1"/>
          <w:sz w:val="32"/>
          <w:szCs w:val="32"/>
        </w:rPr>
        <w:t xml:space="preserve">  </w:t>
      </w:r>
    </w:p>
    <w:tbl>
      <w:tblPr>
        <w:tblStyle w:val="4"/>
        <w:tblW w:w="88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79"/>
        <w:gridCol w:w="71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1679"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提案案由</w:t>
            </w:r>
          </w:p>
        </w:tc>
        <w:tc>
          <w:tcPr>
            <w:tcW w:w="7167"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关于整治本区教育培训机构“过度包装”乱象，促进教育评价公平与健康发展的建议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5" w:hRule="atLeast"/>
          <w:jc w:val="center"/>
        </w:trPr>
        <w:tc>
          <w:tcPr>
            <w:tcW w:w="1679" w:type="dxa"/>
            <w:vAlign w:val="center"/>
          </w:tcPr>
          <w:p>
            <w:pPr>
              <w:spacing w:line="560" w:lineRule="exact"/>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审查意见</w:t>
            </w:r>
          </w:p>
        </w:tc>
        <w:tc>
          <w:tcPr>
            <w:tcW w:w="7167" w:type="dxa"/>
            <w:vAlign w:val="center"/>
          </w:tcPr>
          <w:p>
            <w:pPr>
              <w:spacing w:before="156" w:beforeLines="50" w:after="156" w:afterLines="50" w:line="15" w:lineRule="auto"/>
              <w:ind w:left="210" w:leftChars="100"/>
              <w:jc w:val="lef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主办单位：</w:t>
            </w:r>
            <w:r>
              <w:rPr>
                <w:rFonts w:hint="eastAsia" w:ascii="仿宋_GB2312" w:hAnsi="仿宋_GB2312" w:eastAsia="仿宋_GB2312" w:cs="仿宋_GB2312"/>
                <w:sz w:val="28"/>
                <w:szCs w:val="28"/>
              </w:rPr>
              <w:t>淄川区市场监督管理局,淄川区教育和体育局-流转中心,淄川区民政局,淄川区公安分局</w:t>
            </w:r>
          </w:p>
          <w:p>
            <w:pPr>
              <w:spacing w:before="156" w:beforeLines="50" w:after="156" w:afterLines="50" w:line="15" w:lineRule="auto"/>
              <w:ind w:left="210" w:leftChars="100"/>
              <w:jc w:val="lef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会办单位：</w:t>
            </w:r>
            <w:r>
              <w:rPr>
                <w:rFonts w:hint="eastAsia" w:ascii="仿宋_GB2312" w:hAnsi="仿宋_GB2312" w:eastAsia="仿宋_GB2312" w:cs="仿宋_GB2312"/>
                <w:sz w:val="28"/>
                <w:szCs w:val="28"/>
              </w:rPr>
              <w:t/>
            </w:r>
          </w:p>
          <w:p>
            <w:pPr>
              <w:spacing w:before="156" w:beforeLines="50" w:after="156" w:afterLines="50" w:line="15" w:lineRule="auto"/>
              <w:ind w:left="210" w:leftChars="100"/>
              <w:jc w:val="lef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分办单位：</w:t>
            </w:r>
            <w:r>
              <w:rPr>
                <w:rFonts w:hint="eastAsia" w:ascii="仿宋_GB2312" w:hAnsi="仿宋_GB2312" w:eastAsia="仿宋_GB2312" w:cs="仿宋_GB2312"/>
                <w:sz w:val="28"/>
                <w:szCs w:val="28"/>
              </w:rPr>
              <w:t/>
            </w:r>
          </w:p>
        </w:tc>
      </w:tr>
    </w:tbl>
    <w:p>
      <w:pPr>
        <w:rPr>
          <w:rFonts w:hint="eastAsia" w:ascii="仿宋" w:hAnsi="仿宋" w:eastAsia="仿宋"/>
          <w:sz w:val="28"/>
          <w:szCs w:val="28"/>
        </w:rPr>
      </w:pPr>
    </w:p>
    <w:tbl>
      <w:tblPr>
        <w:tblStyle w:val="4"/>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8"/>
        <w:gridCol w:w="1215"/>
        <w:gridCol w:w="1178"/>
        <w:gridCol w:w="2295"/>
        <w:gridCol w:w="1545"/>
        <w:gridCol w:w="18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053" w:type="dxa"/>
            <w:gridSpan w:val="2"/>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提 案 者</w:t>
            </w:r>
          </w:p>
        </w:tc>
        <w:tc>
          <w:tcPr>
            <w:tcW w:w="1178"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界别</w:t>
            </w:r>
          </w:p>
        </w:tc>
        <w:tc>
          <w:tcPr>
            <w:tcW w:w="2295"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工作单位</w:t>
            </w:r>
          </w:p>
        </w:tc>
        <w:tc>
          <w:tcPr>
            <w:tcW w:w="1545"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通讯地址</w:t>
            </w:r>
          </w:p>
        </w:tc>
        <w:tc>
          <w:tcPr>
            <w:tcW w:w="1833"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 w:hRule="atLeast"/>
          <w:jc w:val="center"/>
        </w:trPr>
        <w:tc>
          <w:tcPr>
            <w:tcW w:w="2053" w:type="dxa"/>
            <w:gridSpan w:val="2"/>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李志华</w:t>
            </w:r>
          </w:p>
        </w:tc>
        <w:tc>
          <w:tcPr>
            <w:tcW w:w="1178"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民盟</w:t>
            </w:r>
          </w:p>
        </w:tc>
        <w:tc>
          <w:tcPr>
            <w:tcW w:w="2295"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淄博第十五中学教科研室主任</w:t>
            </w:r>
          </w:p>
        </w:tc>
        <w:tc>
          <w:tcPr>
            <w:tcW w:w="1545"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w:r>
          </w:p>
        </w:tc>
        <w:tc>
          <w:tcPr>
            <w:tcW w:w="1833"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13705333649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904" w:type="dxa"/>
            <w:gridSpan w:val="6"/>
            <w:vAlign w:val="center"/>
          </w:tcPr>
          <w:p>
            <w:pPr>
              <w:tabs>
                <w:tab w:val="left" w:pos="2732"/>
              </w:tabs>
              <w:jc w:val="center"/>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联名提案者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838"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序号</w:t>
            </w:r>
          </w:p>
        </w:tc>
        <w:tc>
          <w:tcPr>
            <w:tcW w:w="1215"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委员姓名</w:t>
            </w:r>
          </w:p>
        </w:tc>
        <w:tc>
          <w:tcPr>
            <w:tcW w:w="1178"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界别</w:t>
            </w:r>
          </w:p>
        </w:tc>
        <w:tc>
          <w:tcPr>
            <w:tcW w:w="2295"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工作单位及职务</w:t>
            </w:r>
          </w:p>
        </w:tc>
        <w:tc>
          <w:tcPr>
            <w:tcW w:w="1545"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通讯地址</w:t>
            </w:r>
          </w:p>
        </w:tc>
        <w:tc>
          <w:tcPr>
            <w:tcW w:w="1833"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联系</w:t>
            </w:r>
            <w:r>
              <w:rPr>
                <w:rFonts w:ascii="Arial" w:hAnsi="Arial" w:eastAsia="Arial" w:cs="Arial"/>
                <w:b/>
                <w:sz w:val="24"/>
                <w:szCs w:val="24"/>
              </w:rPr>
              <w:t>电话</w:t>
            </w:r>
          </w:p>
        </w:tc>
      </w:tr>
    </w:tbl>
    <w:p>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集体提案</w:t>
      </w:r>
      <w:bookmarkStart w:id="4" w:name="_GoBack"/>
      <w:bookmarkEnd w:id="4"/>
    </w:p>
    <w:tbl>
      <w:tblPr>
        <w:tblStyle w:val="4"/>
        <w:tblW w:w="89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42"/>
        <w:gridCol w:w="66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2242" w:type="dxa"/>
            <w:vAlign w:val="center"/>
          </w:tcPr>
          <w:p>
            <w:pPr>
              <w:jc w:val="center"/>
              <w:rPr>
                <w:rFonts w:hint="eastAsia" w:ascii="仿宋" w:hAnsi="仿宋" w:eastAsia="仿宋"/>
                <w:b/>
                <w:sz w:val="28"/>
                <w:szCs w:val="28"/>
              </w:rPr>
            </w:pPr>
            <w:r>
              <w:rPr>
                <w:rFonts w:hint="eastAsia" w:ascii="仿宋_GB2312" w:hAnsi="仿宋_GB2312" w:eastAsia="仿宋_GB2312" w:cs="仿宋_GB2312"/>
                <w:b/>
                <w:sz w:val="28"/>
                <w:szCs w:val="28"/>
              </w:rPr>
              <w:t>执笔委员</w:t>
            </w:r>
          </w:p>
        </w:tc>
        <w:tc>
          <w:tcPr>
            <w:tcW w:w="6660" w:type="dxa"/>
            <w:vAlign w:val="center"/>
          </w:tcPr>
          <w:p>
            <w:pPr>
              <w:jc w:val="center"/>
              <w:rPr>
                <w:rFonts w:hint="eastAsia" w:ascii="仿宋" w:hAnsi="仿宋" w:eastAsia="仿宋"/>
                <w:sz w:val="28"/>
                <w:szCs w:val="28"/>
              </w:rPr>
            </w:pPr>
            <w:r>
              <w:rPr>
                <w:rFonts w:hint="eastAsia" w:ascii="仿宋_GB2312" w:hAnsi="仿宋_GB2312" w:eastAsia="仿宋_GB2312" w:cs="仿宋_GB2312"/>
                <w:sz w:val="28"/>
                <w:szCs w:val="28"/>
              </w:rPr>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2242" w:type="dxa"/>
            <w:vAlign w:val="center"/>
          </w:tcPr>
          <w:p>
            <w:pPr>
              <w:jc w:val="center"/>
              <w:rPr>
                <w:rFonts w:hint="eastAsia" w:ascii="仿宋" w:hAnsi="仿宋" w:eastAsia="仿宋"/>
                <w:b/>
                <w:sz w:val="28"/>
                <w:szCs w:val="28"/>
              </w:rPr>
            </w:pPr>
            <w:r>
              <w:rPr>
                <w:rFonts w:hint="eastAsia" w:ascii="仿宋_GB2312" w:hAnsi="仿宋_GB2312" w:eastAsia="仿宋_GB2312" w:cs="仿宋_GB2312"/>
                <w:b/>
                <w:sz w:val="28"/>
                <w:szCs w:val="28"/>
              </w:rPr>
              <w:t>牵头人或组织者</w:t>
            </w:r>
          </w:p>
        </w:tc>
        <w:tc>
          <w:tcPr>
            <w:tcW w:w="6660" w:type="dxa"/>
            <w:vAlign w:val="center"/>
          </w:tcPr>
          <w:p>
            <w:pPr>
              <w:jc w:val="center"/>
              <w:rPr>
                <w:rFonts w:hint="eastAsia" w:ascii="仿宋" w:hAnsi="仿宋" w:eastAsia="仿宋"/>
                <w:sz w:val="28"/>
                <w:szCs w:val="28"/>
              </w:rPr>
            </w:pPr>
            <w:r>
              <w:rPr>
                <w:rFonts w:hint="eastAsia" w:ascii="仿宋_GB2312" w:hAnsi="仿宋_GB2312" w:eastAsia="仿宋_GB2312" w:cs="仿宋_GB2312"/>
                <w:sz w:val="28"/>
                <w:szCs w:val="28"/>
              </w:rPr>
              <w:t/>
            </w:r>
          </w:p>
        </w:tc>
      </w:tr>
    </w:tbl>
    <w:p>
      <w:pPr>
        <w:outlineLvl w:val="0"/>
        <w:rPr>
          <w:rFonts w:hint="eastAsia" w:ascii="黑体" w:hAnsi="黑体" w:eastAsia="黑体" w:cs="黑体"/>
          <w:sz w:val="32"/>
          <w:szCs w:val="32"/>
        </w:rPr>
        <w:sectPr>
          <w:pgSz w:w="11906" w:h="16838"/>
          <w:pgMar w:top="2041" w:right="1531" w:bottom="1701" w:left="1531" w:header="720" w:footer="720" w:gutter="0"/>
          <w:cols w:space="0" w:num="1"/>
          <w:docGrid w:type="lines" w:linePitch="312" w:charSpace="0"/>
        </w:sectPr>
      </w:pPr>
      <w:bookmarkStart w:id="1" w:name="name4"/>
      <w:bookmarkEnd w:id="1"/>
      <w:bookmarkStart w:id="2" w:name="name2"/>
      <w:bookmarkEnd w:id="2"/>
    </w:p>
    <w:p>
      <w:pPr>
        <w:jc w:val="center"/>
        <w:outlineLvl w:val="0"/>
        <w:rPr>
          <w:rFonts w:ascii="方正小标宋简体" w:eastAsia="方正小标宋简体"/>
          <w:sz w:val="36"/>
          <w:szCs w:val="36"/>
        </w:rPr>
      </w:pPr>
      <w:r>
        <w:rPr>
          <w:rFonts w:hint="eastAsia" w:ascii="方正小标宋简体" w:eastAsia="方正小标宋简体"/>
          <w:sz w:val="36"/>
          <w:szCs w:val="36"/>
        </w:rPr>
        <w:t>关于整治本区教育培训机构“过度包装”乱象，促进教育评价公平与健康发展的建议</w:t>
      </w:r>
    </w:p>
    <w:p>
      <w:pPr>
        <w:ind w:firstLine="640" w:firstLineChars="200"/>
        <w:jc w:val="left"/>
        <w:outlineLvl w:val="0"/>
        <w:rPr>
          <w:rFonts w:hint="eastAsia"/>
        </w:rPr>
      </w:pPr>
      <w:r>
        <w:rPr>
          <w:rFonts w:hint="eastAsia" w:ascii="楷体_GB2312" w:hAnsi="楷体_GB2312" w:eastAsia="楷体_GB2312" w:cs="楷体_GB2312"/>
          <w:sz w:val="32"/>
          <w:szCs w:val="32"/>
        </w:rPr>
        <w:t>界别：民盟  提案者：李志华  联系方式：13705333649</w:t>
      </w:r>
    </w:p>
    <w:p>
      <w:pPr>
        <w:outlineLvl w:val="0"/>
        <w:rPr>
          <w:rFonts w:hint="eastAsia" w:ascii="黑体" w:hAnsi="黑体" w:eastAsia="黑体" w:cs="黑体"/>
          <w:sz w:val="32"/>
          <w:szCs w:val="32"/>
        </w:rPr>
      </w:pPr>
      <w:r>
        <w:rPr>
          <w:rFonts w:hint="eastAsia" w:ascii="黑体" w:hAnsi="黑体" w:eastAsia="黑体" w:cs="黑体"/>
          <w:sz w:val="32"/>
          <w:szCs w:val="32"/>
        </w:rPr>
        <w:t>背景及问题分析</w:t>
      </w:r>
    </w:p>
    <w:p>
      <w:pPr>
        <w:spacing w:line="560" w:lineRule="exact"/>
        <w:rPr>
          <w:rFonts w:hint="eastAsia" w:ascii="仿宋" w:hAnsi="仿宋" w:eastAsia="仿宋"/>
          <w:sz w:val="28"/>
          <w:szCs w:val="28"/>
        </w:rPr>
      </w:pPr>
      <w:bookmarkStart w:id="3" w:name="trouble"/>
      <w:r>
        <w:rPr>
          <w:rFonts w:hint="eastAsia" w:ascii="仿宋_GB2312" w:hAnsi="仿宋_GB2312" w:eastAsia="仿宋_GB2312" w:cs="仿宋_GB2312"/>
          <w:sz w:val="28"/>
          <w:szCs w:val="28"/>
        </w:rPr>
        <w:t>一、背景及问题分析
教育公平是社会公平的重要基础，教育评价改革是深化教育领域综合改革的关键环节。当前，随着国家及省市对学生综合素质评价的重视，并将其作为招生录取的重要参考，本区部分教育培训机构出现了借机进行“过度包装”的乱象，如提供所谓“综招包过”、“简历优化”、“有偿活动背书”等服务。这些行为将学生成长过程异化为商业产品，不仅违背了素质教育促进学生全面发展的初衷，加剧了家长和学生的焦虑情绪与经济负担，更在实质上造成了因经济资本差异带来的新的教育不公，损害了招生评价的公正性与公信力。这与本区着力打造公平优质教育体系、优化营商环境、建设和谐社会的目标不相适应。
“过度包装”乱象在本区的具体表现及其负面影响日益凸显，已成为威胁区域教育公平与质量提升的突出问题，其危害与治理必要性主要体现在：一是严重损害教育评价的公正性与科学性，动摇教育公平基石。综合素质评价的本意是关注学生成长过程、实践能力和个性特长。“过度包装”通过商业手段人为制造“优秀经历”和“完美简历”，使得评价结果不再完全反映学生的真实状态与发展潜能。这导致家境优越、有能力支付高额包装费用的学生在评价中占据不公平优势，而普通家庭学生则可能在“起跑线”上再次落后。长此以往，将使评价制度失信于民，严重侵蚀社会对教育公平的信念。二是加重家庭经济与精神双重负担，加剧社会教育焦虑。 培训机构利用家长对升学政策的关切和对子女未来的期盼，通过制造焦虑营销，推销昂贵的“包装”服务项目。这迫使许多家庭在常规教育支出之外承担额外经济压力，甚至陷入“教育军备竞赛”。同时，这种功利化导向扭曲了学生的成长价值观，使其过早地关注“材料”而非真正的能力提升与兴趣探索，不利于其身心健康成长。三是扰乱教育培训市场秩序，影响行业健康发展。“过度包装”往往与虚假宣传、夸大承诺、甚至材料造假等违规行为相伴生。部分机构忽视课程质量与教学研发，将重心放在营销与“包装”技巧上，形成了“劣币驱逐良币”的不良市场环境。这不仅损害了合规经营机构的利益，也破坏了整个教育培训行业的声誉和健康生态。四是背离素质教育初衷，阻碍学生真实个性与能力发展当学生参与活动的目的从内在兴趣和实践体验，异化为获取“证明材料”时，社会实践、志愿服务、科技创新等活动的教育价值便大打折扣。学生可能为了“包装”需要而被动参与不感兴趣的活动，而非基于真实兴趣进行探索和深度学习，这完全背离了综合素质评价旨在促进学生全面而有个性发展的改革初衷。
为落实立德树人根本任务，维护区域教育生态健康，亟需区委、区政府统筹协调，对本区范围内教育培训机构的“过度包装”乱象进行专项、系统整治。
</w:t>
      </w:r>
      <w:bookmarkEnd w:id="3"/>
    </w:p>
    <w:p>
      <w:pPr>
        <w:jc w:val="left"/>
        <w:outlineLvl w:val="0"/>
        <w:rPr>
          <w:rFonts w:hint="eastAsia" w:ascii="黑体" w:hAnsi="黑体" w:eastAsia="黑体" w:cs="黑体"/>
          <w:sz w:val="32"/>
          <w:szCs w:val="32"/>
        </w:rPr>
      </w:pPr>
      <w:r>
        <w:rPr>
          <w:rFonts w:hint="eastAsia" w:ascii="黑体" w:hAnsi="黑体" w:eastAsia="黑体" w:cs="黑体"/>
          <w:sz w:val="32"/>
          <w:szCs w:val="32"/>
        </w:rPr>
        <w:t>建议</w:t>
      </w:r>
    </w:p>
    <w:p>
      <w:pPr>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二、建议
为有效治理本区教育培训机构“过度包装”乱象，构建健康、公平、有序的区域教育生态，特提出以下建议：
一是完善区域评价机制，强化源头治理与过程管理。建议由区教育体育局牵头，联合各中小学，进一步细化并优化本区学生综合素质评价实施细则。强化评价的过程性、纪实性，重点考察学生的日常行为表现、参与活动的真实体验与持续收获，降低对“成果性”、“证明性”材料的绝对依赖。探索建立或完善区级统一的学生综合素质成长档案数字平台，推动学生重要活动记录、实践成果的常态化、客观化录入，并加强信息的可追溯、可核查机制，从评价端压缩“包装”与造假的空间。
二是建立跨部门协同监管机制，加大执法与公示力度。建议建立由区市场监督管理局、区教育体育局、区民政局（负责民办非企业单位登记管理）、区公安分局（涉及诈骗等违法行为）等部门组成的联合治理工作组。定期开展专项整治行动，重点查处培训机构关于“保过”、“包装”、“虚构背景”等虚假宣传和违规经营行为。建立健全本区培训机构“黑白名单”动态管理制度，将查实存在“过度包装”、欺诈等严重问题的机构列入黑名单，依法予以处罚并公开曝光，实施联合信用惩戒。畅通家长和学生投诉举报渠道。
三是拓展普惠性公共教育资源，优化素质教育供给。建议区政府加大财政支持与资源整合力度，将拓展优质普惠的素质教育资源作为重要的民生实事。依托青少年宫、社区教育中心、图书馆、博物馆、科技馆及区内企事业单位等，系统规划和建设一批公益性、常态化的社会实践基地、科学探究实验室、人文艺术工坊和志愿服务项目。鼓励学校与这些社会资源深度合作，开发多样化的课后服务与假期活动课程，为广大学生提供低成本、高质量、真实可及的素质拓展平台，从供给侧减少对商业化“包装”服务的依赖。
四是加强宣传引导与家校社协同，倡导科学教育观念。建议区委宣传部、区教育体育局、区妇联、各街镇社区等多方联动，通过家长学校、社区讲堂、媒体专栏等多种形式，持续向全社会宣传科学的教育观、成才观和评价观。引导家长理性看待学生成长和升学，关注孩子的真实兴趣与长期发展，自觉抵制“过度包装”。各中小学应切实加强对学生的生涯规划教育和诚信教育，指导学生基于自身特点进行真实探索和记录。
五是规范与引导并重，促进培训行业转型与健康发展。在严格整治乱象的同时，建议相关主管部门加强对合规培训机构的业务指导与政策引导。鼓励培训机构将发展重心转向课程研发、教学质量提升和特色服务，围绕学生真实的兴趣培养、思维训练和能力短板提供有益的个性化补充。支持行业协会加强自律，制定服务规范。对于在素质教育领域有特色、质量优、口碑好的合规机构，可探索通过政府购买服务等方式，引导其参与校内外协同育人，形成有益补充，构建规范有序、良性发展的区域教育培训新生态。
审查意见：同意立案
处理意见：由区市场监管局、区教育体育局、区民政局、区公安分局办理
</w:t>
      </w:r>
    </w:p>
    <w:p/>
    <w:p/>
    <w:sectPr>
      <w:footerReference r:id="rId3" w:type="default"/>
      <w:pgSz w:w="11906" w:h="16838"/>
      <w:pgMar w:top="2041" w:right="1531" w:bottom="1701" w:left="1531" w:header="720" w:footer="720" w:gutter="0"/>
      <w:pgNumType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文本框 1025"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 AQAADwAAAGRycy9kb3ducmV2LnhtbE2PMWvDMBCF90L/g7hAt0ZOhtY4ljMEsnRLWgrdFOtimUgn IymO/e9zLYV2Oe7xjnffq7eTd2LEmPpAClbLAgRSG0xPnYKP9/1zCSJlTUa7QKhgxgTb5vGh1pUJ NzrgeMyd4BBKlVZgcx4qKVNr0eu0DAMSe+cQvc4sYydN1DcO906ui+JFet0Tf7B6wJ3F9nK8egWv 02fAIeEOv85jG20/l+5tVuppsSo2IDJO+e8YvvEZHRpmOoUrmSScAi6SfyZ767JkefpdZFPL//TN HVBLAwQUAAAACACHTuJAWZgglcQBAACQAwAADgAAAGRycy9lMm9Eb2MueG1srVPNjtMwEL4j8Q6W 79RpEaiKmq5A1SIkBEjLPoDr2I0l/8njNukLwBtw4sKd5+pzMHaSLiyXPXBxxjPjb+b7ZrK5Gawh JxlBe9fQ5aKiRDrhW+0ODb3/cvtiTQkk7lpuvJMNPUugN9vnzzZ9qOXKd960MhIEcVD3oaFdSqFm DEQnLYeFD9JhUPloecJrPLA28h7RrWGrqnrNeh/bEL2QAOjdjUE6IcanAHqltJA7L45WujSiRml4 QkrQ6QB0W7pVSor0SSmQiZiGItNUTiyC9j6fbLvh9SHy0GkxtcCf0sIjTpZrh0WvUDueODlG/Q+U 1SJ68CothLdsJFIUQRbL6pE2dx0PsnBBqSFcRYf/Bys+nj5HotuGvqTEcYsDv3z/dvnx6/LzK1lW q1dZoT5AjYl3AVPT8NYPuDezH9CZiQ8q2vxFSgTjqO/5qq8cEhH50Xq1XlcYEhibL4jPHp6HCOmd 9JZko6ERB1h05acPkMbUOSVXc/5WG1OGaNxfDsTMHpZ7H3vMVhr2w0Ro79sz8ulx9g11uOqUmPcO pc1rMhtxNvaTkWtAeHNMWLj0k1FHqKkYDqowmpYqb8Kf95L18CNtfwNQSwMECgAAAAAAh07iQAAA AAAAAAAAAAAAAAYAAABfcmVscy9QSwMEFAAAAAgAh07iQIoUZjzRAAAAlAEAAAsAAABfcmVscy8u cmVsc6WQwWrDMAyG74O9g9F9cZrDGKNOL6PQa+kewNiKYxpbRjLZ+vbzDoNl9LajfqHvE//+8JkW tSJLpGxg1/WgMDvyMQcD75fj0wsoqTZ7u1BGAzcUOIyPD/szLra2I5ljEdUoWQzMtZZXrcXNmKx0 VDC3zUScbG0jB12su9qAeuj7Z82/GTBumOrkDfDJD6Aut9LMf9gpOiahqXaOkqZpiu4eVQe2ZY7u yDbhG7lGsxywGvAsGgdqWdd+BH1fv/un3tNHPuO61X6HjOuPV2+6HL8AUEsDBBQAAAAIAIdO4kB+ 5uUg9wAAAOEBAAATAAAAW0NvbnRlbnRfVHlwZXNdLnhtbJWRQU7DMBBF90jcwfIWJU67QAgl6YK0 S0CoHGBkTxKLZGx5TGhvj5O2G0SRWNoz/78nu9wcxkFMGNg6quQqL6RA0s5Y6ir5vt9lD1JwBDIw OMJKHpHlpr69KfdHjyxSmriSfYz+USnWPY7AufNIadK6MEJMx9ApD/oDOlTrorhX2lFEilmcO2Rd NtjC5xDF9pCuTyYBB5bi6bQ4syoJ3g9WQ0ymaiLzg5KdCXlKLjvcW893SUOqXwnz5DrgnHtJTxOs QfEKIT7DmDSUCayM+6KAU/53yWw5cuba1mrMm8BNir3hdLG61o5r1zj93/Ltkrp0q+WD6m9QSwEC FAAUAAAACACHTuJAfublIPcAAADhAQAAEwAAAAAAAAABACAAAAAsBAAAW0NvbnRlbnRfVHlwZXNd LnhtbFBLAQIUAAoAAAAAAIdO4kAAAAAAAAAAAAAAAAAGAAAAAAAAAAAAEAAAAA4DAABfcmVscy9Q SwECFAAUAAAACACHTuJAihRmPNEAAACUAQAACwAAAAAAAAABACAAAAAyAwAAX3JlbHMvLnJlbHNQ SwECFAAKAAAAAACHTuJAAAAAAAAAAAAAAAAABAAAAAAAAAAAABAAAAAAAAAAZHJzL1BLAQIUABQA AAAIAIdO4kDOqXm5zwAAAAUBAAAPAAAAAAAAAAEAIAAAACIAAABkcnMvZG93bnJldi54bWxQSwEC FAAUAAAACACHTuJAWZgglcQBAACQAwAADgAAAAAAAAABACAAAAAeAQAAZHJzL2Uyb0RvYy54bWxQ SwUGAAAAAAYABgBZAQAAVAUAAAAA ">
          <v:path/>
          <v:fill on="f" focussize="0,0"/>
          <v:stroke on="f"/>
          <v:imagedata o:title=""/>
          <o:lock v:ext="edit" aspectratio="f"/>
          <v:textbox inset="0mm,0mm,0mm,0mm" style="mso-fit-shape-to-text:t;">
            <w:txbxContent>
              <w:p>
                <w:pPr>
                  <w:pStyle w:val="2"/>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hdrShapeDefaults>
    <o:shapelayout v:ext="edit">
      <o:idmap v:ext="edit" data="2"/>
    </o:shapelayout>
  </w:hdrShapeDefaults>
  <w:compat>
    <w:useFELayout/>
    <w:splitPgBreakAndParaMark/>
    <w:compatSetting w:name="compatibilityMode" w:uri="http://schemas.microsoft.com/office/word" w:val="12"/>
  </w:compat>
  <w:docVars>
    <w:docVar w:name="commondata" w:val="eyJoZGlkIjoiMGUxNjUxNzQwN2UzNDFjZjMzMjlhNzg5ODIzMjdmYzIifQ=="/>
  </w:docVars>
  <w:rsids>
    <w:rsidRoot w:val="00000000"/>
    <w:rsid w:val="0B8D6E79"/>
    <w:rsid w:val="14523AA3"/>
    <w:rsid w:val="2A781EB5"/>
    <w:rsid w:val="6841330B"/>
    <w:rsid w:val="6BE932D1"/>
    <w:rsid w:val="6E217B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5">
    <w:name w:val="Default Paragraph Font"/>
    <w:semiHidden/>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table" w:styleId="4">
    <w:name w:val="Table Grid"/>
    <w:basedOn w:val="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oter1.xml" Type="http://schemas.openxmlformats.org/officeDocument/2006/relationships/footer"/><Relationship Id="rId4" Target="theme/theme1.xml" Type="http://schemas.openxmlformats.org/officeDocument/2006/relationships/theme"/><Relationship Id="rId5" Target="../customXml/item1.xml" Type="http://schemas.openxmlformats.org/officeDocument/2006/relationships/customXml"/><Relationship Id="rId6" Target="fontTable.xml" Type="http://schemas.openxmlformats.org/officeDocument/2006/relationships/fontTable"/></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143</Words>
  <Characters>290</Characters>
  <TotalTime>2</TotalTime>
  <ScaleCrop>false</ScaleCrop>
  <LinksUpToDate>false</LinksUpToDate>
  <CharactersWithSpaces>302</CharactersWithSpaces>
  <Application>WPS Office_12.1.0.15712_F1E327BC-269C-435d-A152-05C5408002CA</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2025-01-07T03:00:00Z</dcterms:created>
  <dc:creator>Apache POI</dc:creator>
  <cp:lastModifiedBy>玖鹿</cp:lastModifiedBy>
  <dcterms:modified xsi:type="dcterms:W3CDTF">2025-03-25T03:57:55Z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eyJoZGlkIjoiZWNjNDhhMjRkODFjM2EzZWQ1M2IyZGJiYTMzZDQ5MmMiLCJ1c2VySWQiOiI3OTYyNzEyNjQifQ==</vt:lpwstr>
  </property>
  <property fmtid="{D5CDD505-2E9C-101B-9397-08002B2CF9AE}" pid="3" name="KSOProductBuildVer">
    <vt:lpwstr>2052-12.1.0.15712</vt:lpwstr>
  </property>
  <property fmtid="{D5CDD505-2E9C-101B-9397-08002B2CF9AE}" pid="4" name="ICV">
    <vt:lpwstr>E10B580AA1074ED6BA378DB59ACED75F_12</vt:lpwstr>
  </property>
</Properties>
</file>