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淄博市淄川区昆仑镇人民政府2023年</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本报告中所列数据的统计期限</w:t>
      </w:r>
      <w:r>
        <w:rPr>
          <w:rFonts w:hint="eastAsia" w:ascii="Times New Roman" w:hAnsi="Times New Roman" w:eastAsia="仿宋_GB2312" w:cs="Times New Roman"/>
          <w:sz w:val="32"/>
          <w:szCs w:val="40"/>
        </w:rPr>
        <w:t>自</w:t>
      </w:r>
      <w:r>
        <w:rPr>
          <w:rFonts w:ascii="Times New Roman" w:hAnsi="Times New Roman" w:eastAsia="仿宋_GB2312" w:cs="Times New Roman"/>
          <w:sz w:val="32"/>
          <w:szCs w:val="40"/>
        </w:rPr>
        <w:t>202</w:t>
      </w:r>
      <w:r>
        <w:rPr>
          <w:rFonts w:hint="eastAsia" w:ascii="Times New Roman" w:hAnsi="Times New Roman" w:eastAsia="仿宋_GB2312" w:cs="Times New Roman"/>
          <w:sz w:val="32"/>
          <w:szCs w:val="40"/>
        </w:rPr>
        <w:t>3</w:t>
      </w:r>
      <w:r>
        <w:rPr>
          <w:rFonts w:ascii="Times New Roman" w:hAnsi="Times New Roman" w:eastAsia="仿宋_GB2312" w:cs="Times New Roman"/>
          <w:sz w:val="32"/>
          <w:szCs w:val="40"/>
        </w:rPr>
        <w:t>年1月1日</w:t>
      </w:r>
      <w:r>
        <w:rPr>
          <w:rFonts w:hint="eastAsia" w:ascii="Times New Roman" w:hAnsi="Times New Roman" w:eastAsia="仿宋_GB2312" w:cs="Times New Roman"/>
          <w:sz w:val="32"/>
          <w:szCs w:val="40"/>
        </w:rPr>
        <w:t>起，</w:t>
      </w:r>
      <w:r>
        <w:rPr>
          <w:rFonts w:ascii="Times New Roman" w:hAnsi="Times New Roman" w:eastAsia="仿宋_GB2312" w:cs="Times New Roman"/>
          <w:sz w:val="32"/>
          <w:szCs w:val="40"/>
        </w:rPr>
        <w:t>至</w:t>
      </w:r>
      <w:r>
        <w:rPr>
          <w:rFonts w:hint="eastAsia" w:ascii="Times New Roman" w:hAnsi="Times New Roman" w:eastAsia="仿宋_GB2312" w:cs="Times New Roman"/>
          <w:sz w:val="32"/>
          <w:szCs w:val="40"/>
        </w:rPr>
        <w:t>2023年</w:t>
      </w:r>
      <w:r>
        <w:rPr>
          <w:rFonts w:ascii="Times New Roman" w:hAnsi="Times New Roman" w:eastAsia="仿宋_GB2312" w:cs="Times New Roman"/>
          <w:sz w:val="32"/>
          <w:szCs w:val="40"/>
        </w:rPr>
        <w:t>12月31日</w:t>
      </w:r>
      <w:r>
        <w:rPr>
          <w:rFonts w:hint="eastAsia" w:ascii="Times New Roman" w:hAnsi="Times New Roman" w:eastAsia="仿宋_GB2312" w:cs="Times New Roman"/>
          <w:sz w:val="32"/>
          <w:szCs w:val="40"/>
        </w:rPr>
        <w:t>止</w:t>
      </w:r>
      <w:r>
        <w:rPr>
          <w:rFonts w:ascii="Times New Roman" w:hAnsi="Times New Roman" w:eastAsia="仿宋_GB2312" w:cs="Times New Roman"/>
          <w:sz w:val="32"/>
          <w:szCs w:val="40"/>
        </w:rPr>
        <w:t>。本年度报告电子版可在淄川区人民政府网站（http://www.zichuan.gov.cn/）查阅或下载。如对报告有疑问，请与昆仑镇人民政府办公室联系（地址：山东省淄博市淄川区昆仑路201号</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邮编：255129</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电话：0533-5781622</w:t>
      </w:r>
      <w:r>
        <w:rPr>
          <w:rFonts w:hint="eastAsia" w:ascii="Times New Roman" w:hAnsi="Times New Roman" w:eastAsia="仿宋_GB2312" w:cs="Times New Roman"/>
          <w:sz w:val="32"/>
          <w:szCs w:val="40"/>
        </w:rPr>
        <w:t>；电子邮箱：kunlunzhengfu@zb.shandong.cn</w:t>
      </w:r>
      <w:r>
        <w:rPr>
          <w:rFonts w:ascii="Times New Roman" w:hAnsi="Times New Roman" w:eastAsia="仿宋_GB2312" w:cs="Times New Roman"/>
          <w:sz w:val="32"/>
          <w:szCs w:val="40"/>
        </w:rPr>
        <w:t>）。</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一、总体情况</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在区委、区政府的正确领导下，202</w:t>
      </w:r>
      <w:r>
        <w:rPr>
          <w:rFonts w:hint="eastAsia" w:ascii="Times New Roman" w:hAnsi="Times New Roman" w:eastAsia="仿宋_GB2312" w:cs="Times New Roman"/>
          <w:sz w:val="32"/>
          <w:szCs w:val="40"/>
        </w:rPr>
        <w:t>3</w:t>
      </w:r>
      <w:r>
        <w:rPr>
          <w:rFonts w:ascii="Times New Roman" w:hAnsi="Times New Roman" w:eastAsia="仿宋_GB2312" w:cs="Times New Roman"/>
          <w:sz w:val="32"/>
          <w:szCs w:val="40"/>
        </w:rPr>
        <w:t>年昆仑镇人民政府</w:t>
      </w:r>
      <w:r>
        <w:rPr>
          <w:rFonts w:hint="eastAsia" w:ascii="Times New Roman" w:hAnsi="Times New Roman" w:eastAsia="仿宋_GB2312" w:cs="Times New Roman"/>
          <w:sz w:val="32"/>
          <w:szCs w:val="40"/>
        </w:rPr>
        <w:t>全面贯彻落实党的二十大精神，紧扣</w:t>
      </w:r>
      <w:r>
        <w:rPr>
          <w:rFonts w:ascii="Times New Roman" w:hAnsi="Times New Roman" w:eastAsia="仿宋_GB2312" w:cs="Times New Roman"/>
          <w:sz w:val="32"/>
          <w:szCs w:val="40"/>
        </w:rPr>
        <w:t>《中华人民共和国政府信息公开条例》</w:t>
      </w:r>
      <w:r>
        <w:rPr>
          <w:rFonts w:hint="eastAsia" w:ascii="Times New Roman" w:hAnsi="Times New Roman" w:eastAsia="仿宋_GB2312" w:cs="Times New Roman"/>
          <w:sz w:val="32"/>
          <w:szCs w:val="40"/>
        </w:rPr>
        <w:t>有关要求，</w:t>
      </w:r>
      <w:r>
        <w:rPr>
          <w:rFonts w:ascii="Times New Roman" w:hAnsi="Times New Roman" w:eastAsia="仿宋_GB2312" w:cs="Times New Roman"/>
          <w:sz w:val="32"/>
          <w:szCs w:val="40"/>
        </w:rPr>
        <w:t>坚持全面、及时、准确公开的原则</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扎实推进全镇政府信息公开</w:t>
      </w:r>
      <w:r>
        <w:rPr>
          <w:rFonts w:hint="eastAsia" w:ascii="Times New Roman" w:hAnsi="Times New Roman" w:eastAsia="仿宋_GB2312" w:cs="Times New Roman"/>
          <w:sz w:val="32"/>
          <w:szCs w:val="40"/>
        </w:rPr>
        <w:t>各项</w:t>
      </w:r>
      <w:r>
        <w:rPr>
          <w:rFonts w:ascii="Times New Roman" w:hAnsi="Times New Roman" w:eastAsia="仿宋_GB2312" w:cs="Times New Roman"/>
          <w:sz w:val="32"/>
          <w:szCs w:val="40"/>
        </w:rPr>
        <w:t>工作。</w:t>
      </w:r>
    </w:p>
    <w:p>
      <w:pPr>
        <w:numPr>
          <w:ilvl w:val="0"/>
          <w:numId w:val="1"/>
        </w:num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主动公开方面</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202</w:t>
      </w:r>
      <w:r>
        <w:rPr>
          <w:rFonts w:hint="eastAsia" w:ascii="Times New Roman" w:hAnsi="Times New Roman" w:eastAsia="仿宋_GB2312" w:cs="Times New Roman"/>
          <w:sz w:val="32"/>
          <w:szCs w:val="40"/>
        </w:rPr>
        <w:t>3</w:t>
      </w:r>
      <w:r>
        <w:rPr>
          <w:rFonts w:ascii="Times New Roman" w:hAnsi="Times New Roman" w:eastAsia="仿宋_GB2312" w:cs="Times New Roman"/>
          <w:sz w:val="32"/>
          <w:szCs w:val="40"/>
        </w:rPr>
        <w:t>年</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昆仑镇人民政府严格</w:t>
      </w:r>
      <w:r>
        <w:rPr>
          <w:rFonts w:hint="eastAsia" w:ascii="Times New Roman" w:hAnsi="Times New Roman" w:eastAsia="仿宋_GB2312" w:cs="Times New Roman"/>
          <w:sz w:val="32"/>
          <w:szCs w:val="40"/>
        </w:rPr>
        <w:t>按照</w:t>
      </w:r>
      <w:r>
        <w:rPr>
          <w:rFonts w:ascii="Times New Roman" w:hAnsi="Times New Roman" w:eastAsia="仿宋_GB2312" w:cs="Times New Roman"/>
          <w:sz w:val="32"/>
          <w:szCs w:val="40"/>
        </w:rPr>
        <w:t>区政府政务公开要求，统筹协调各</w:t>
      </w:r>
      <w:r>
        <w:rPr>
          <w:rFonts w:hint="eastAsia" w:ascii="Times New Roman" w:hAnsi="Times New Roman" w:eastAsia="仿宋_GB2312" w:cs="Times New Roman"/>
          <w:sz w:val="32"/>
          <w:szCs w:val="40"/>
        </w:rPr>
        <w:t>部门</w:t>
      </w:r>
      <w:r>
        <w:rPr>
          <w:rFonts w:ascii="Times New Roman" w:hAnsi="Times New Roman" w:eastAsia="仿宋_GB2312" w:cs="Times New Roman"/>
          <w:sz w:val="32"/>
          <w:szCs w:val="40"/>
        </w:rPr>
        <w:t>推进</w:t>
      </w:r>
      <w:r>
        <w:rPr>
          <w:rFonts w:hint="eastAsia" w:ascii="Times New Roman" w:hAnsi="Times New Roman" w:eastAsia="仿宋_GB2312" w:cs="Times New Roman"/>
          <w:sz w:val="32"/>
          <w:szCs w:val="40"/>
        </w:rPr>
        <w:t>政府信息公开</w:t>
      </w:r>
      <w:r>
        <w:rPr>
          <w:rFonts w:ascii="Times New Roman" w:hAnsi="Times New Roman" w:eastAsia="仿宋_GB2312" w:cs="Times New Roman"/>
          <w:sz w:val="32"/>
          <w:szCs w:val="40"/>
        </w:rPr>
        <w:t>工作，及时更新</w:t>
      </w:r>
      <w:r>
        <w:rPr>
          <w:rFonts w:hint="eastAsia" w:ascii="Times New Roman" w:hAnsi="Times New Roman" w:eastAsia="仿宋_GB2312" w:cs="Times New Roman"/>
          <w:sz w:val="32"/>
          <w:szCs w:val="40"/>
        </w:rPr>
        <w:t>发布</w:t>
      </w:r>
      <w:r>
        <w:rPr>
          <w:rFonts w:ascii="Times New Roman" w:hAnsi="Times New Roman" w:eastAsia="仿宋_GB2312" w:cs="Times New Roman"/>
          <w:sz w:val="32"/>
          <w:szCs w:val="40"/>
        </w:rPr>
        <w:t>机构职能、领导分工等信息，发布</w:t>
      </w:r>
      <w:r>
        <w:rPr>
          <w:rFonts w:hint="eastAsia" w:ascii="Times New Roman" w:hAnsi="Times New Roman" w:eastAsia="仿宋_GB2312" w:cs="Times New Roman"/>
          <w:sz w:val="32"/>
          <w:szCs w:val="40"/>
        </w:rPr>
        <w:t>规划计划、财政信息及</w:t>
      </w:r>
      <w:r>
        <w:rPr>
          <w:rFonts w:ascii="Times New Roman" w:hAnsi="Times New Roman" w:eastAsia="仿宋_GB2312" w:cs="Times New Roman"/>
          <w:sz w:val="32"/>
          <w:szCs w:val="40"/>
        </w:rPr>
        <w:t>重点领域信息公开事项等信息。202</w:t>
      </w:r>
      <w:r>
        <w:rPr>
          <w:rFonts w:hint="eastAsia" w:ascii="Times New Roman" w:hAnsi="Times New Roman" w:eastAsia="仿宋_GB2312" w:cs="Times New Roman"/>
          <w:sz w:val="32"/>
          <w:szCs w:val="40"/>
        </w:rPr>
        <w:t>3</w:t>
      </w:r>
      <w:r>
        <w:rPr>
          <w:rFonts w:ascii="Times New Roman" w:hAnsi="Times New Roman" w:eastAsia="仿宋_GB2312" w:cs="Times New Roman"/>
          <w:sz w:val="32"/>
          <w:szCs w:val="40"/>
        </w:rPr>
        <w:t>年累计主动公开政府信息</w:t>
      </w:r>
      <w:r>
        <w:rPr>
          <w:rFonts w:hint="eastAsia" w:ascii="Times New Roman" w:hAnsi="Times New Roman" w:eastAsia="仿宋_GB2312" w:cs="Times New Roman"/>
          <w:sz w:val="32"/>
          <w:szCs w:val="40"/>
        </w:rPr>
        <w:t>54</w:t>
      </w:r>
      <w:r>
        <w:rPr>
          <w:rFonts w:ascii="Times New Roman" w:hAnsi="Times New Roman" w:eastAsia="仿宋_GB2312" w:cs="Times New Roman"/>
          <w:sz w:val="32"/>
          <w:szCs w:val="40"/>
        </w:rPr>
        <w:t>条。公开类别：</w:t>
      </w:r>
      <w:r>
        <w:rPr>
          <w:rFonts w:hint="eastAsia" w:ascii="Times New Roman" w:hAnsi="Times New Roman" w:eastAsia="仿宋_GB2312" w:cs="Times New Roman"/>
          <w:sz w:val="32"/>
          <w:szCs w:val="40"/>
        </w:rPr>
        <w:t>政府</w:t>
      </w:r>
      <w:r>
        <w:rPr>
          <w:rFonts w:ascii="Times New Roman" w:hAnsi="Times New Roman" w:eastAsia="仿宋_GB2312" w:cs="Times New Roman"/>
          <w:sz w:val="32"/>
          <w:szCs w:val="40"/>
        </w:rPr>
        <w:t>文件类</w:t>
      </w:r>
      <w:r>
        <w:rPr>
          <w:rFonts w:hint="eastAsia" w:ascii="Times New Roman" w:hAnsi="Times New Roman" w:eastAsia="仿宋_GB2312" w:cs="Times New Roman"/>
          <w:sz w:val="32"/>
          <w:szCs w:val="40"/>
        </w:rPr>
        <w:t>4</w:t>
      </w:r>
      <w:r>
        <w:rPr>
          <w:rFonts w:ascii="Times New Roman" w:hAnsi="Times New Roman" w:eastAsia="仿宋_GB2312" w:cs="Times New Roman"/>
          <w:sz w:val="32"/>
          <w:szCs w:val="40"/>
        </w:rPr>
        <w:t>条；机构职能类2条；</w:t>
      </w:r>
      <w:r>
        <w:rPr>
          <w:rFonts w:hint="eastAsia" w:ascii="Times New Roman" w:hAnsi="Times New Roman" w:eastAsia="仿宋_GB2312" w:cs="Times New Roman"/>
          <w:sz w:val="32"/>
          <w:szCs w:val="40"/>
        </w:rPr>
        <w:t>政府工作报告2条；</w:t>
      </w:r>
      <w:r>
        <w:rPr>
          <w:rFonts w:ascii="Times New Roman" w:hAnsi="Times New Roman" w:eastAsia="仿宋_GB2312" w:cs="Times New Roman"/>
          <w:sz w:val="32"/>
          <w:szCs w:val="40"/>
        </w:rPr>
        <w:t>规划计划类</w:t>
      </w:r>
      <w:r>
        <w:rPr>
          <w:rFonts w:hint="eastAsia" w:ascii="Times New Roman" w:hAnsi="Times New Roman" w:eastAsia="仿宋_GB2312" w:cs="Times New Roman"/>
          <w:sz w:val="32"/>
          <w:szCs w:val="40"/>
        </w:rPr>
        <w:t>13</w:t>
      </w:r>
      <w:r>
        <w:rPr>
          <w:rFonts w:ascii="Times New Roman" w:hAnsi="Times New Roman" w:eastAsia="仿宋_GB2312" w:cs="Times New Roman"/>
          <w:sz w:val="32"/>
          <w:szCs w:val="40"/>
        </w:rPr>
        <w:t>条；经济和社会发展统计信息1条；建议提案</w:t>
      </w:r>
      <w:r>
        <w:rPr>
          <w:rFonts w:hint="eastAsia" w:ascii="Times New Roman" w:hAnsi="Times New Roman" w:eastAsia="仿宋_GB2312" w:cs="Times New Roman"/>
          <w:sz w:val="32"/>
          <w:szCs w:val="40"/>
        </w:rPr>
        <w:t>办理</w:t>
      </w:r>
      <w:r>
        <w:rPr>
          <w:rFonts w:ascii="Times New Roman" w:hAnsi="Times New Roman" w:eastAsia="仿宋_GB2312" w:cs="Times New Roman"/>
          <w:sz w:val="32"/>
          <w:szCs w:val="40"/>
        </w:rPr>
        <w:t>类3条；财政信息类</w:t>
      </w:r>
      <w:r>
        <w:rPr>
          <w:rFonts w:hint="eastAsia" w:ascii="Times New Roman" w:hAnsi="Times New Roman" w:eastAsia="仿宋_GB2312" w:cs="Times New Roman"/>
          <w:sz w:val="32"/>
          <w:szCs w:val="40"/>
        </w:rPr>
        <w:t>5</w:t>
      </w:r>
      <w:r>
        <w:rPr>
          <w:rFonts w:ascii="Times New Roman" w:hAnsi="Times New Roman" w:eastAsia="仿宋_GB2312" w:cs="Times New Roman"/>
          <w:sz w:val="32"/>
          <w:szCs w:val="40"/>
        </w:rPr>
        <w:t>条；</w:t>
      </w:r>
      <w:r>
        <w:rPr>
          <w:rFonts w:hint="eastAsia" w:ascii="Times New Roman" w:hAnsi="Times New Roman" w:eastAsia="仿宋_GB2312" w:cs="Times New Roman"/>
          <w:sz w:val="32"/>
          <w:szCs w:val="40"/>
        </w:rPr>
        <w:t>应急管理类1条；</w:t>
      </w:r>
      <w:r>
        <w:rPr>
          <w:rFonts w:ascii="Times New Roman" w:hAnsi="Times New Roman" w:eastAsia="仿宋_GB2312" w:cs="Times New Roman"/>
          <w:sz w:val="32"/>
          <w:szCs w:val="40"/>
        </w:rPr>
        <w:t>重点领域信息公开事项</w:t>
      </w:r>
      <w:r>
        <w:rPr>
          <w:rFonts w:hint="eastAsia" w:ascii="Times New Roman" w:hAnsi="Times New Roman" w:eastAsia="仿宋_GB2312" w:cs="Times New Roman"/>
          <w:sz w:val="32"/>
          <w:szCs w:val="40"/>
        </w:rPr>
        <w:t>10</w:t>
      </w:r>
      <w:r>
        <w:rPr>
          <w:rFonts w:ascii="Times New Roman" w:hAnsi="Times New Roman" w:eastAsia="仿宋_GB2312" w:cs="Times New Roman"/>
          <w:sz w:val="32"/>
          <w:szCs w:val="40"/>
        </w:rPr>
        <w:t>条；政府信息公开指南类1条；政府信息</w:t>
      </w:r>
      <w:r>
        <w:rPr>
          <w:rFonts w:hint="eastAsia" w:ascii="Times New Roman" w:hAnsi="Times New Roman" w:eastAsia="仿宋_GB2312" w:cs="Times New Roman"/>
          <w:sz w:val="32"/>
          <w:szCs w:val="40"/>
        </w:rPr>
        <w:t>主动</w:t>
      </w:r>
      <w:r>
        <w:rPr>
          <w:rFonts w:ascii="Times New Roman" w:hAnsi="Times New Roman" w:eastAsia="仿宋_GB2312" w:cs="Times New Roman"/>
          <w:sz w:val="32"/>
          <w:szCs w:val="40"/>
        </w:rPr>
        <w:t>公开</w:t>
      </w:r>
      <w:r>
        <w:rPr>
          <w:rFonts w:hint="eastAsia" w:ascii="Times New Roman" w:hAnsi="Times New Roman" w:eastAsia="仿宋_GB2312" w:cs="Times New Roman"/>
          <w:sz w:val="32"/>
          <w:szCs w:val="40"/>
        </w:rPr>
        <w:t>基本</w:t>
      </w:r>
      <w:r>
        <w:rPr>
          <w:rFonts w:ascii="Times New Roman" w:hAnsi="Times New Roman" w:eastAsia="仿宋_GB2312" w:cs="Times New Roman"/>
          <w:sz w:val="32"/>
          <w:szCs w:val="40"/>
        </w:rPr>
        <w:t>目录</w:t>
      </w:r>
      <w:r>
        <w:rPr>
          <w:rFonts w:hint="eastAsia" w:ascii="Times New Roman" w:hAnsi="Times New Roman" w:eastAsia="仿宋_GB2312" w:cs="Times New Roman"/>
          <w:sz w:val="32"/>
          <w:szCs w:val="40"/>
        </w:rPr>
        <w:t>1</w:t>
      </w:r>
      <w:r>
        <w:rPr>
          <w:rFonts w:ascii="Times New Roman" w:hAnsi="Times New Roman" w:eastAsia="仿宋_GB2312" w:cs="Times New Roman"/>
          <w:sz w:val="32"/>
          <w:szCs w:val="40"/>
        </w:rPr>
        <w:t>条；</w:t>
      </w:r>
      <w:r>
        <w:rPr>
          <w:rFonts w:hint="eastAsia" w:ascii="Times New Roman" w:hAnsi="Times New Roman" w:eastAsia="仿宋_GB2312" w:cs="Times New Roman"/>
          <w:sz w:val="32"/>
          <w:szCs w:val="40"/>
        </w:rPr>
        <w:t>基层政务公开标准化目录2条；</w:t>
      </w:r>
      <w:r>
        <w:rPr>
          <w:rFonts w:ascii="Times New Roman" w:hAnsi="Times New Roman" w:eastAsia="仿宋_GB2312" w:cs="Times New Roman"/>
          <w:sz w:val="32"/>
          <w:szCs w:val="40"/>
        </w:rPr>
        <w:t>政府信息公开年度报告1条；政务公开组织管理类</w:t>
      </w:r>
      <w:r>
        <w:rPr>
          <w:rFonts w:hint="eastAsia" w:ascii="Times New Roman" w:hAnsi="Times New Roman" w:eastAsia="仿宋_GB2312" w:cs="Times New Roman"/>
          <w:sz w:val="32"/>
          <w:szCs w:val="40"/>
        </w:rPr>
        <w:t>5</w:t>
      </w:r>
      <w:r>
        <w:rPr>
          <w:rFonts w:ascii="Times New Roman" w:hAnsi="Times New Roman" w:eastAsia="仿宋_GB2312" w:cs="Times New Roman"/>
          <w:sz w:val="32"/>
          <w:szCs w:val="40"/>
        </w:rPr>
        <w:t>条；法治政府建设年度报告1条。</w:t>
      </w:r>
    </w:p>
    <w:p>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（二）依申请公开工作方面</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202</w:t>
      </w:r>
      <w:r>
        <w:rPr>
          <w:rFonts w:hint="eastAsia" w:ascii="Times New Roman" w:hAnsi="Times New Roman" w:eastAsia="仿宋_GB2312" w:cs="Times New Roman"/>
          <w:sz w:val="32"/>
          <w:szCs w:val="40"/>
        </w:rPr>
        <w:t>3</w:t>
      </w:r>
      <w:r>
        <w:rPr>
          <w:rFonts w:ascii="Times New Roman" w:hAnsi="Times New Roman" w:eastAsia="仿宋_GB2312" w:cs="Times New Roman"/>
          <w:sz w:val="32"/>
          <w:szCs w:val="40"/>
        </w:rPr>
        <w:t>年我镇收到</w:t>
      </w:r>
      <w:r>
        <w:rPr>
          <w:rFonts w:hint="eastAsia" w:ascii="Times New Roman" w:hAnsi="Times New Roman" w:eastAsia="仿宋_GB2312" w:cs="Times New Roman"/>
          <w:sz w:val="32"/>
          <w:szCs w:val="40"/>
        </w:rPr>
        <w:t>政府信息</w:t>
      </w:r>
      <w:r>
        <w:rPr>
          <w:rFonts w:ascii="Times New Roman" w:hAnsi="Times New Roman" w:eastAsia="仿宋_GB2312" w:cs="Times New Roman"/>
          <w:sz w:val="32"/>
          <w:szCs w:val="40"/>
        </w:rPr>
        <w:t>公开</w:t>
      </w:r>
      <w:r>
        <w:rPr>
          <w:rFonts w:hint="eastAsia" w:ascii="Times New Roman" w:hAnsi="Times New Roman" w:eastAsia="仿宋_GB2312" w:cs="Times New Roman"/>
          <w:sz w:val="32"/>
          <w:szCs w:val="40"/>
        </w:rPr>
        <w:t>申请2</w:t>
      </w:r>
      <w:r>
        <w:rPr>
          <w:rFonts w:ascii="Times New Roman" w:hAnsi="Times New Roman" w:eastAsia="仿宋_GB2312" w:cs="Times New Roman"/>
          <w:sz w:val="32"/>
          <w:szCs w:val="40"/>
        </w:rPr>
        <w:t>件，</w:t>
      </w:r>
      <w:r>
        <w:rPr>
          <w:rFonts w:hint="eastAsia" w:ascii="Times New Roman" w:hAnsi="Times New Roman" w:eastAsia="仿宋_GB2312" w:cs="Times New Roman"/>
          <w:sz w:val="32"/>
          <w:szCs w:val="40"/>
        </w:rPr>
        <w:t>涉及机关干部休假制度及加班情况、残疾人政策等信息，全部依法依规予以办理。因依申请引发的行政复议案件0件，行政诉讼案件0件。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（三）政府信息管理方面</w:t>
      </w:r>
    </w:p>
    <w:p>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为进一步贯彻落实国家、省、市、区关于全面推进政务公开的工作要求，推动政府管理服务更加透明化、规范化，调整充实我镇政府信息公开领导小组，小组下设办公室，</w:t>
      </w:r>
      <w:r>
        <w:rPr>
          <w:rFonts w:hint="eastAsia" w:ascii="仿宋_GB2312" w:hAnsi="仿宋_GB2312" w:eastAsia="仿宋_GB2312" w:cs="仿宋_GB2312"/>
          <w:sz w:val="32"/>
          <w:szCs w:val="32"/>
        </w:rPr>
        <w:t>负责政府信息公开日常工作。</w:t>
      </w:r>
      <w:r>
        <w:rPr>
          <w:rFonts w:hint="eastAsia" w:ascii="仿宋_GB2312" w:hAnsi="仿宋_GB2312" w:eastAsia="仿宋_GB2312" w:cs="仿宋_GB2312"/>
          <w:sz w:val="32"/>
          <w:szCs w:val="40"/>
        </w:rPr>
        <w:t>动态更新政府信息主动公开目录，明确公开内容、主体及时限。健全昆仑镇信息公开审查制度，依据淄川区昆仑镇人民政府信息公开指南，规范信息公开流程，政府信息公开须经政府信息公开领导小组审核后方可进行公开。</w:t>
      </w:r>
    </w:p>
    <w:p>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（四）平台建设方面</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加强网站集约化建设，定期维护网站各栏目内容，及时更新相关栏目信息，及时调整优化政府信息公开平台栏目设置。积极运用政务新媒体等政府信息公开平台，利用政务新媒体受众范围广泛、传播速度快、易于接受传播等优势，通过微信公众号“奋进新昆仑”及时向公众发布权威信息，更新我镇政府工作动态，促进政务新媒体与政府信息公开平台协同发展。</w:t>
      </w:r>
    </w:p>
    <w:p>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（五）监督保障方面</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贯彻落实区政府办公室关于政务公开工作的部署要求，结合我镇实际情况，制定</w:t>
      </w:r>
      <w:r>
        <w:rPr>
          <w:rFonts w:ascii="Times New Roman" w:hAnsi="Times New Roman" w:eastAsia="仿宋_GB2312" w:cs="Times New Roman"/>
          <w:sz w:val="32"/>
          <w:szCs w:val="40"/>
        </w:rPr>
        <w:t>2023</w:t>
      </w:r>
      <w:r>
        <w:rPr>
          <w:rFonts w:hint="eastAsia" w:ascii="仿宋_GB2312" w:hAnsi="仿宋_GB2312" w:eastAsia="仿宋_GB2312" w:cs="仿宋_GB2312"/>
          <w:sz w:val="32"/>
          <w:szCs w:val="40"/>
        </w:rPr>
        <w:t>年度政务公开工作培训计划。安排政务公开工作负责人及具体工作人员参加全区政务公开工作相关会议及培训，组织各部门负责人、具体负责政务公开工作人员对新修订的《中华人民共和国政府信息公开条例》进行学习，熟悉了解政务公开基本操作规程，不断提升政务公开工作质量和水平。</w:t>
      </w:r>
    </w:p>
    <w:p>
      <w:pPr>
        <w:pStyle w:val="4"/>
        <w:widowControl/>
        <w:spacing w:beforeAutospacing="0" w:afterAutospacing="0" w:line="56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lang w:bidi="ar"/>
        </w:rPr>
        <w:t>二、</w:t>
      </w:r>
      <w:r>
        <w:rPr>
          <w:rFonts w:hint="eastAsia" w:ascii="黑体" w:hAnsi="黑体" w:eastAsia="黑体" w:cs="黑体"/>
          <w:color w:val="000000"/>
          <w:sz w:val="32"/>
          <w:szCs w:val="32"/>
        </w:rPr>
        <w:t>主动公开政府信息情况</w:t>
      </w:r>
    </w:p>
    <w:tbl>
      <w:tblPr>
        <w:tblStyle w:val="5"/>
        <w:tblW w:w="7500" w:type="dxa"/>
        <w:jc w:val="center"/>
        <w:tblLayout w:type="fixed"/>
        <w:tblCellMar>
          <w:top w:w="0" w:type="dxa"/>
          <w:left w:w="108" w:type="dxa"/>
          <w:bottom w:w="0" w:type="dxa"/>
          <w:right w:w="108" w:type="dxa"/>
        </w:tblCellMar>
      </w:tblPr>
      <w:tblGrid>
        <w:gridCol w:w="1875"/>
        <w:gridCol w:w="1875"/>
        <w:gridCol w:w="1875"/>
        <w:gridCol w:w="1875"/>
      </w:tblGrid>
      <w:tr>
        <w:tblPrEx>
          <w:tblCellMar>
            <w:top w:w="0" w:type="dxa"/>
            <w:left w:w="108" w:type="dxa"/>
            <w:bottom w:w="0" w:type="dxa"/>
            <w:right w:w="108" w:type="dxa"/>
          </w:tblCellMar>
        </w:tblPrEx>
        <w:trPr>
          <w:trHeight w:val="901" w:hRule="atLeast"/>
          <w:jc w:val="center"/>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本年制发件数</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本年废止件数</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现行有效件数</w:t>
            </w:r>
          </w:p>
        </w:tc>
      </w:tr>
      <w:tr>
        <w:tblPrEx>
          <w:tblCellMar>
            <w:top w:w="0" w:type="dxa"/>
            <w:left w:w="108" w:type="dxa"/>
            <w:bottom w:w="0" w:type="dxa"/>
            <w:right w:w="108" w:type="dxa"/>
          </w:tblCellMar>
        </w:tblPrEx>
        <w:trPr>
          <w:trHeight w:val="904"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规章</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1028"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行政规范性文件</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901" w:hRule="atLeast"/>
          <w:jc w:val="center"/>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880" w:hRule="atLeast"/>
          <w:jc w:val="center"/>
        </w:trPr>
        <w:tc>
          <w:tcPr>
            <w:tcW w:w="187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rPr>
              <w:t>行政许可</w:t>
            </w:r>
          </w:p>
        </w:tc>
        <w:tc>
          <w:tcPr>
            <w:tcW w:w="5625" w:type="dxa"/>
            <w:gridSpan w:val="3"/>
            <w:tcBorders>
              <w:top w:val="single" w:color="auto" w:sz="8" w:space="0"/>
              <w:left w:val="single" w:color="auto" w:sz="8" w:space="0"/>
              <w:bottom w:val="single" w:color="auto" w:sz="8" w:space="0"/>
              <w:right w:val="single" w:color="000000" w:sz="8" w:space="0"/>
            </w:tcBorders>
            <w:vAlign w:val="center"/>
          </w:tcPr>
          <w:p>
            <w:pPr>
              <w:widowControl/>
              <w:jc w:val="center"/>
              <w:rPr>
                <w:rFonts w:ascii="仿宋_GB2312" w:hAnsi="Calibri" w:eastAsia="仿宋_GB2312" w:cs="Calibri"/>
                <w:color w:val="000000"/>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901" w:hRule="atLeast"/>
          <w:jc w:val="center"/>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901" w:hRule="atLeast"/>
          <w:jc w:val="center"/>
        </w:trPr>
        <w:tc>
          <w:tcPr>
            <w:tcW w:w="187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901" w:hRule="atLeast"/>
          <w:jc w:val="center"/>
        </w:trPr>
        <w:tc>
          <w:tcPr>
            <w:tcW w:w="187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行政处罚</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Calibri" w:eastAsia="仿宋_GB2312" w:cs="Calibri"/>
                <w:color w:val="FF0000"/>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行政强制</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Calibri" w:eastAsia="仿宋_GB2312" w:cs="Calibri"/>
                <w:color w:val="FF0000"/>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901" w:hRule="atLeast"/>
          <w:jc w:val="center"/>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901"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本年收费金额（单位：万元）</w:t>
            </w:r>
          </w:p>
        </w:tc>
      </w:tr>
      <w:tr>
        <w:tblPrEx>
          <w:tblCellMar>
            <w:top w:w="0" w:type="dxa"/>
            <w:left w:w="108" w:type="dxa"/>
            <w:bottom w:w="0" w:type="dxa"/>
            <w:right w:w="108" w:type="dxa"/>
          </w:tblCellMar>
        </w:tblPrEx>
        <w:trPr>
          <w:trHeight w:val="975" w:hRule="atLeast"/>
          <w:jc w:val="center"/>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rPr>
              <w:t>行政事业性收费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Calibri" w:eastAsia="仿宋_GB2312" w:cs="Calibri"/>
                <w:color w:val="000000"/>
                <w:kern w:val="0"/>
                <w:szCs w:val="21"/>
              </w:rPr>
            </w:pPr>
            <w:r>
              <w:rPr>
                <w:rFonts w:hint="eastAsia" w:ascii="Times New Roman" w:hAnsi="Times New Roman" w:eastAsia="仿宋_GB2312" w:cs="Times New Roman"/>
                <w:kern w:val="0"/>
                <w:szCs w:val="21"/>
              </w:rPr>
              <w:t>0</w:t>
            </w:r>
          </w:p>
        </w:tc>
      </w:tr>
    </w:tbl>
    <w:p>
      <w:pPr>
        <w:pStyle w:val="4"/>
        <w:widowControl/>
        <w:spacing w:beforeAutospacing="0" w:afterAutospacing="0" w:line="560" w:lineRule="exact"/>
        <w:ind w:firstLine="640" w:firstLineChars="200"/>
        <w:jc w:val="both"/>
        <w:rPr>
          <w:rFonts w:ascii="仿宋_GB2312" w:hAnsi="仿宋_GB2312" w:eastAsia="仿宋_GB2312" w:cs="仿宋_GB2312"/>
          <w:color w:val="0000FF"/>
          <w:sz w:val="32"/>
          <w:szCs w:val="40"/>
          <w:highlight w:val="yellow"/>
        </w:rPr>
      </w:pPr>
      <w:r>
        <w:rPr>
          <w:rFonts w:hint="eastAsia" w:ascii="黑体" w:hAnsi="黑体" w:eastAsia="黑体" w:cs="黑体"/>
          <w:color w:val="000000"/>
          <w:sz w:val="32"/>
          <w:szCs w:val="32"/>
        </w:rPr>
        <w:t>三、收到和处理政府信息公开申请情况</w:t>
      </w:r>
    </w:p>
    <w:tbl>
      <w:tblPr>
        <w:tblStyle w:val="5"/>
        <w:tblW w:w="7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81"/>
        <w:gridCol w:w="736"/>
        <w:gridCol w:w="2531"/>
        <w:gridCol w:w="581"/>
        <w:gridCol w:w="488"/>
        <w:gridCol w:w="562"/>
        <w:gridCol w:w="769"/>
        <w:gridCol w:w="731"/>
        <w:gridCol w:w="500"/>
        <w:gridCol w:w="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3648" w:type="dxa"/>
            <w:gridSpan w:val="3"/>
            <w:vMerge w:val="restart"/>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174" w:type="dxa"/>
            <w:gridSpan w:val="7"/>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8" w:type="dxa"/>
            <w:gridSpan w:val="3"/>
            <w:vMerge w:val="continue"/>
            <w:tcMar>
              <w:left w:w="108" w:type="dxa"/>
              <w:right w:w="108" w:type="dxa"/>
            </w:tcMar>
            <w:vAlign w:val="center"/>
          </w:tcPr>
          <w:p>
            <w:pPr>
              <w:jc w:val="center"/>
              <w:rPr>
                <w:rFonts w:ascii="仿宋_GB2312" w:hAnsi="Times New Roman" w:eastAsia="仿宋_GB2312"/>
                <w:szCs w:val="21"/>
              </w:rPr>
            </w:pPr>
          </w:p>
        </w:tc>
        <w:tc>
          <w:tcPr>
            <w:tcW w:w="581"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50" w:type="dxa"/>
            <w:gridSpan w:val="5"/>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543"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3648" w:type="dxa"/>
            <w:gridSpan w:val="3"/>
            <w:vMerge w:val="continue"/>
            <w:tcMar>
              <w:left w:w="108" w:type="dxa"/>
              <w:right w:w="108" w:type="dxa"/>
            </w:tcMar>
            <w:vAlign w:val="center"/>
          </w:tcPr>
          <w:p>
            <w:pPr>
              <w:jc w:val="center"/>
              <w:rPr>
                <w:rFonts w:ascii="仿宋_GB2312" w:hAnsi="Times New Roman" w:eastAsia="仿宋_GB2312"/>
                <w:szCs w:val="21"/>
              </w:rPr>
            </w:pPr>
          </w:p>
        </w:tc>
        <w:tc>
          <w:tcPr>
            <w:tcW w:w="581" w:type="dxa"/>
            <w:vMerge w:val="continue"/>
            <w:tcMar>
              <w:left w:w="108" w:type="dxa"/>
              <w:right w:w="108" w:type="dxa"/>
            </w:tcMar>
            <w:vAlign w:val="center"/>
          </w:tcPr>
          <w:p>
            <w:pPr>
              <w:jc w:val="center"/>
              <w:rPr>
                <w:rFonts w:ascii="黑体" w:hAnsi="黑体" w:eastAsia="黑体"/>
                <w:szCs w:val="21"/>
              </w:rPr>
            </w:pPr>
          </w:p>
        </w:tc>
        <w:tc>
          <w:tcPr>
            <w:tcW w:w="488"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2"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69"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31"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00" w:type="dxa"/>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543" w:type="dxa"/>
            <w:vMerge w:val="continue"/>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58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488"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2"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69"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00"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43" w:type="dxa"/>
            <w:shd w:val="clear" w:color="auto" w:fill="auto"/>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81" w:type="dxa"/>
            <w:vMerge w:val="restart"/>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3267" w:type="dxa"/>
            <w:gridSpan w:val="2"/>
            <w:tcMar>
              <w:left w:w="108" w:type="dxa"/>
              <w:right w:w="108" w:type="dxa"/>
            </w:tcMar>
            <w:vAlign w:val="center"/>
          </w:tcPr>
          <w:p>
            <w:pPr>
              <w:widowControl/>
              <w:rPr>
                <w:rFonts w:ascii="黑体" w:hAnsi="黑体" w:eastAsia="黑体"/>
                <w:sz w:val="16"/>
                <w:szCs w:val="16"/>
              </w:rPr>
            </w:pPr>
            <w:r>
              <w:rPr>
                <w:rFonts w:hint="eastAsia" w:ascii="黑体" w:hAnsi="黑体" w:eastAsia="黑体"/>
                <w:kern w:val="0"/>
                <w:sz w:val="16"/>
                <w:szCs w:val="16"/>
              </w:rPr>
              <w:t>（一）予以公开</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381" w:type="dxa"/>
            <w:vMerge w:val="continue"/>
            <w:tcMar>
              <w:left w:w="108" w:type="dxa"/>
              <w:right w:w="108" w:type="dxa"/>
            </w:tcMar>
            <w:vAlign w:val="center"/>
          </w:tcPr>
          <w:p>
            <w:pPr>
              <w:rPr>
                <w:rFonts w:ascii="黑体" w:hAnsi="黑体" w:eastAsia="黑体"/>
                <w:szCs w:val="21"/>
              </w:rPr>
            </w:pPr>
          </w:p>
        </w:tc>
        <w:tc>
          <w:tcPr>
            <w:tcW w:w="3267" w:type="dxa"/>
            <w:gridSpan w:val="2"/>
            <w:tcMar>
              <w:left w:w="108" w:type="dxa"/>
              <w:right w:w="108" w:type="dxa"/>
            </w:tcMar>
            <w:vAlign w:val="center"/>
          </w:tcPr>
          <w:p>
            <w:pPr>
              <w:widowControl/>
              <w:rPr>
                <w:rFonts w:ascii="黑体" w:hAnsi="黑体" w:eastAsia="黑体"/>
                <w:sz w:val="16"/>
                <w:szCs w:val="16"/>
              </w:rPr>
            </w:pPr>
            <w:r>
              <w:rPr>
                <w:rFonts w:hint="eastAsia" w:ascii="黑体" w:hAnsi="黑体" w:eastAsia="黑体"/>
                <w:kern w:val="0"/>
                <w:sz w:val="16"/>
                <w:szCs w:val="16"/>
              </w:rPr>
              <w:t>（二）部分公开（</w:t>
            </w:r>
            <w:bookmarkStart w:id="1" w:name="_Hlk66973981"/>
            <w:r>
              <w:rPr>
                <w:rFonts w:hint="eastAsia" w:ascii="黑体" w:hAnsi="黑体" w:eastAsia="黑体"/>
                <w:kern w:val="0"/>
                <w:sz w:val="16"/>
                <w:szCs w:val="16"/>
              </w:rPr>
              <w:t>区分处理的，只计这一情形，不计其他情形</w:t>
            </w:r>
            <w:bookmarkEnd w:id="1"/>
            <w:r>
              <w:rPr>
                <w:rFonts w:hint="eastAsia" w:ascii="黑体" w:hAnsi="黑体" w:eastAsia="黑体"/>
                <w:kern w:val="0"/>
                <w:sz w:val="16"/>
                <w:szCs w:val="16"/>
              </w:rPr>
              <w:t>）</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restart"/>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（三）不予公开</w:t>
            </w: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1.属于国家秘密</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r>
              <w:rPr>
                <w:rFonts w:hint="eastAsia" w:ascii="黑体" w:hAnsi="黑体" w:eastAsia="黑体"/>
                <w:szCs w:val="21"/>
              </w:rPr>
              <w:t>S</w:t>
            </w: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w:t>
            </w:r>
            <w:bookmarkStart w:id="2" w:name="_Hlk66974104"/>
            <w:r>
              <w:rPr>
                <w:rFonts w:hint="eastAsia" w:ascii="仿宋_GB2312" w:hAnsi="黑体" w:eastAsia="仿宋_GB2312"/>
                <w:kern w:val="0"/>
                <w:sz w:val="16"/>
                <w:szCs w:val="16"/>
              </w:rPr>
              <w:t>其他法律行政法规禁止公开</w:t>
            </w:r>
            <w:bookmarkEnd w:id="2"/>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3.危及“三安全一稳定”</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4.</w:t>
            </w:r>
            <w:bookmarkStart w:id="3" w:name="_Hlk66974290"/>
            <w:r>
              <w:rPr>
                <w:rFonts w:hint="eastAsia" w:ascii="仿宋_GB2312" w:hAnsi="黑体" w:eastAsia="仿宋_GB2312"/>
                <w:kern w:val="0"/>
                <w:sz w:val="16"/>
                <w:szCs w:val="16"/>
              </w:rPr>
              <w:t>保护第三方合法权益</w:t>
            </w:r>
            <w:bookmarkEnd w:id="3"/>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5.属于三类内部事务信息</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6.</w:t>
            </w:r>
            <w:bookmarkStart w:id="4" w:name="_Hlk66974555"/>
            <w:r>
              <w:rPr>
                <w:rFonts w:hint="eastAsia" w:ascii="仿宋_GB2312" w:hAnsi="黑体" w:eastAsia="仿宋_GB2312"/>
                <w:kern w:val="0"/>
                <w:sz w:val="16"/>
                <w:szCs w:val="16"/>
              </w:rPr>
              <w:t>属于四类过程性信息</w:t>
            </w:r>
            <w:bookmarkEnd w:id="4"/>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7.属于行政执法案卷</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8.</w:t>
            </w:r>
            <w:bookmarkStart w:id="5" w:name="_Hlk66975211"/>
            <w:r>
              <w:rPr>
                <w:rFonts w:hint="eastAsia" w:ascii="仿宋_GB2312" w:hAnsi="黑体" w:eastAsia="仿宋_GB2312"/>
                <w:kern w:val="0"/>
                <w:sz w:val="16"/>
                <w:szCs w:val="16"/>
              </w:rPr>
              <w:t>属于行政查询事项</w:t>
            </w:r>
            <w:bookmarkEnd w:id="5"/>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restart"/>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（四）无法提供</w:t>
            </w: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1.本机关不掌握相关政府信息</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ind w:left="-107" w:leftChars="-51"/>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w:t>
            </w:r>
            <w:bookmarkStart w:id="6" w:name="_Hlk66975392"/>
            <w:r>
              <w:rPr>
                <w:rFonts w:hint="eastAsia" w:ascii="仿宋_GB2312" w:hAnsi="黑体" w:eastAsia="仿宋_GB2312"/>
                <w:kern w:val="0"/>
                <w:sz w:val="16"/>
                <w:szCs w:val="16"/>
              </w:rPr>
              <w:t>没有现成信息需要另行制作</w:t>
            </w:r>
            <w:bookmarkEnd w:id="6"/>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ind w:left="-107" w:leftChars="-51"/>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3.</w:t>
            </w:r>
            <w:bookmarkStart w:id="7" w:name="_Hlk66975466"/>
            <w:r>
              <w:rPr>
                <w:rFonts w:hint="eastAsia" w:ascii="仿宋_GB2312" w:hAnsi="黑体" w:eastAsia="仿宋_GB2312"/>
                <w:kern w:val="0"/>
                <w:sz w:val="16"/>
                <w:szCs w:val="16"/>
              </w:rPr>
              <w:t>补正后申请内容仍不明确</w:t>
            </w:r>
            <w:bookmarkEnd w:id="7"/>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restart"/>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（五）不予处理</w:t>
            </w: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w:t>
            </w:r>
            <w:bookmarkStart w:id="8" w:name="_Hlk66975537"/>
            <w:r>
              <w:rPr>
                <w:rFonts w:hint="eastAsia" w:ascii="仿宋_GB2312" w:hAnsi="黑体" w:eastAsia="仿宋_GB2312"/>
                <w:kern w:val="0"/>
                <w:sz w:val="16"/>
                <w:szCs w:val="16"/>
              </w:rPr>
              <w:t>信访举报投诉类申请</w:t>
            </w:r>
            <w:bookmarkEnd w:id="8"/>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2.重复申请</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sz w:val="16"/>
                <w:szCs w:val="16"/>
              </w:rPr>
            </w:pPr>
            <w:r>
              <w:rPr>
                <w:rFonts w:hint="eastAsia" w:ascii="仿宋_GB2312" w:hAnsi="黑体" w:eastAsia="仿宋_GB2312"/>
                <w:kern w:val="0"/>
                <w:sz w:val="16"/>
                <w:szCs w:val="16"/>
              </w:rPr>
              <w:t>3.要求提供公开出版物</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sz w:val="16"/>
                <w:szCs w:val="16"/>
              </w:rPr>
            </w:pPr>
            <w:r>
              <w:rPr>
                <w:rFonts w:hint="eastAsia" w:ascii="仿宋_GB2312" w:hAnsi="黑体" w:eastAsia="仿宋_GB2312"/>
                <w:kern w:val="0"/>
                <w:sz w:val="16"/>
                <w:szCs w:val="16"/>
              </w:rPr>
              <w:t>4.无正当理由大量反复申请</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300" w:lineRule="exact"/>
              <w:rPr>
                <w:rFonts w:ascii="仿宋_GB2312" w:hAnsi="黑体" w:eastAsia="仿宋_GB2312"/>
                <w:kern w:val="0"/>
                <w:sz w:val="16"/>
                <w:szCs w:val="16"/>
              </w:rPr>
            </w:pPr>
            <w:r>
              <w:rPr>
                <w:rFonts w:hint="eastAsia" w:ascii="仿宋_GB2312" w:hAnsi="黑体" w:eastAsia="仿宋_GB2312"/>
                <w:kern w:val="0"/>
                <w:sz w:val="16"/>
                <w:szCs w:val="16"/>
              </w:rPr>
              <w:t>5.要求行政机关确认或重新</w:t>
            </w:r>
          </w:p>
          <w:p>
            <w:pPr>
              <w:widowControl/>
              <w:spacing w:line="300" w:lineRule="exact"/>
              <w:ind w:firstLine="160" w:firstLineChars="100"/>
              <w:rPr>
                <w:rFonts w:ascii="仿宋_GB2312" w:hAnsi="黑体" w:eastAsia="仿宋_GB2312"/>
                <w:sz w:val="16"/>
                <w:szCs w:val="16"/>
              </w:rPr>
            </w:pPr>
            <w:r>
              <w:rPr>
                <w:rFonts w:hint="eastAsia" w:ascii="仿宋_GB2312" w:hAnsi="黑体" w:eastAsia="仿宋_GB2312"/>
                <w:kern w:val="0"/>
                <w:sz w:val="16"/>
                <w:szCs w:val="16"/>
              </w:rPr>
              <w:t>出具已获取信息</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restart"/>
            <w:tcMar>
              <w:left w:w="108" w:type="dxa"/>
              <w:right w:w="108" w:type="dxa"/>
            </w:tcMar>
            <w:vAlign w:val="center"/>
          </w:tcPr>
          <w:p>
            <w:pPr>
              <w:widowControl/>
              <w:spacing w:line="300" w:lineRule="exact"/>
              <w:rPr>
                <w:rFonts w:ascii="黑体" w:hAnsi="黑体" w:eastAsia="黑体"/>
                <w:kern w:val="0"/>
                <w:sz w:val="16"/>
                <w:szCs w:val="16"/>
              </w:rPr>
            </w:pPr>
            <w:r>
              <w:rPr>
                <w:rFonts w:hint="eastAsia" w:ascii="黑体" w:hAnsi="黑体" w:eastAsia="黑体"/>
                <w:kern w:val="0"/>
                <w:sz w:val="16"/>
                <w:szCs w:val="16"/>
              </w:rPr>
              <w:t>（六）其他处理</w:t>
            </w:r>
          </w:p>
        </w:tc>
        <w:tc>
          <w:tcPr>
            <w:tcW w:w="2531" w:type="dxa"/>
            <w:vAlign w:val="center"/>
          </w:tcPr>
          <w:p>
            <w:pPr>
              <w:widowControl/>
              <w:spacing w:line="300" w:lineRule="exact"/>
              <w:rPr>
                <w:rFonts w:ascii="仿宋_GB2312" w:hAnsi="楷体" w:eastAsia="仿宋_GB2312"/>
                <w:sz w:val="16"/>
                <w:szCs w:val="18"/>
              </w:rPr>
            </w:pPr>
            <w:r>
              <w:rPr>
                <w:rFonts w:hint="eastAsia" w:ascii="仿宋_GB2312" w:hAnsi="楷体" w:eastAsia="仿宋_GB2312"/>
                <w:sz w:val="16"/>
                <w:szCs w:val="18"/>
              </w:rPr>
              <w:t>1.申请人无正当理由逾期……</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widowControl/>
              <w:spacing w:line="300" w:lineRule="exact"/>
              <w:rPr>
                <w:rFonts w:ascii="黑体" w:hAnsi="黑体" w:eastAsia="黑体"/>
                <w:kern w:val="0"/>
                <w:sz w:val="16"/>
                <w:szCs w:val="16"/>
              </w:rPr>
            </w:pPr>
          </w:p>
        </w:tc>
        <w:tc>
          <w:tcPr>
            <w:tcW w:w="2531" w:type="dxa"/>
            <w:vAlign w:val="center"/>
          </w:tcPr>
          <w:p>
            <w:pPr>
              <w:widowControl/>
              <w:spacing w:line="300" w:lineRule="exact"/>
              <w:rPr>
                <w:rFonts w:ascii="仿宋_GB2312" w:hAnsi="黑体" w:eastAsia="仿宋_GB2312"/>
                <w:kern w:val="0"/>
                <w:sz w:val="16"/>
                <w:szCs w:val="16"/>
              </w:rPr>
            </w:pPr>
            <w:r>
              <w:rPr>
                <w:rFonts w:hint="eastAsia" w:ascii="仿宋_GB2312" w:hAnsi="楷体" w:eastAsia="仿宋_GB2312"/>
                <w:sz w:val="16"/>
                <w:szCs w:val="18"/>
              </w:rPr>
              <w:t>2.申请人逾期未按收费通知……</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widowControl/>
              <w:spacing w:line="300" w:lineRule="exact"/>
              <w:rPr>
                <w:rFonts w:ascii="黑体" w:hAnsi="黑体" w:eastAsia="黑体"/>
                <w:kern w:val="0"/>
                <w:sz w:val="16"/>
                <w:szCs w:val="16"/>
              </w:rPr>
            </w:pPr>
          </w:p>
        </w:tc>
        <w:tc>
          <w:tcPr>
            <w:tcW w:w="2531" w:type="dxa"/>
            <w:vAlign w:val="center"/>
          </w:tcPr>
          <w:p>
            <w:pPr>
              <w:widowControl/>
              <w:spacing w:line="300" w:lineRule="exact"/>
              <w:rPr>
                <w:rFonts w:ascii="仿宋_GB2312" w:hAnsi="黑体" w:eastAsia="仿宋_GB2312"/>
                <w:kern w:val="0"/>
                <w:sz w:val="16"/>
                <w:szCs w:val="16"/>
              </w:rPr>
            </w:pPr>
            <w:r>
              <w:rPr>
                <w:rFonts w:hint="eastAsia" w:ascii="仿宋_GB2312" w:hAnsi="楷体" w:eastAsia="仿宋_GB2312"/>
                <w:sz w:val="16"/>
                <w:szCs w:val="18"/>
              </w:rPr>
              <w:t>3.其他</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tcMar>
              <w:left w:w="108" w:type="dxa"/>
              <w:right w:w="108" w:type="dxa"/>
            </w:tcMar>
            <w:vAlign w:val="center"/>
          </w:tcPr>
          <w:p>
            <w:pPr>
              <w:rPr>
                <w:rFonts w:ascii="黑体" w:hAnsi="黑体" w:eastAsia="黑体"/>
                <w:szCs w:val="21"/>
              </w:rPr>
            </w:pPr>
          </w:p>
        </w:tc>
        <w:tc>
          <w:tcPr>
            <w:tcW w:w="3267" w:type="dxa"/>
            <w:gridSpan w:val="2"/>
            <w:tcMar>
              <w:left w:w="108" w:type="dxa"/>
              <w:right w:w="108" w:type="dxa"/>
            </w:tcMar>
            <w:vAlign w:val="center"/>
          </w:tcPr>
          <w:p>
            <w:pPr>
              <w:widowControl/>
              <w:spacing w:line="300" w:lineRule="exact"/>
              <w:rPr>
                <w:rFonts w:ascii="黑体" w:hAnsi="黑体" w:eastAsia="黑体"/>
                <w:kern w:val="0"/>
                <w:sz w:val="16"/>
                <w:szCs w:val="16"/>
              </w:rPr>
            </w:pPr>
            <w:r>
              <w:rPr>
                <w:rFonts w:hint="eastAsia" w:ascii="黑体" w:hAnsi="黑体" w:eastAsia="黑体"/>
                <w:kern w:val="0"/>
                <w:sz w:val="16"/>
                <w:szCs w:val="16"/>
              </w:rPr>
              <w:t>（七）总计</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48" w:type="dxa"/>
            <w:gridSpan w:val="3"/>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58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488"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2"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69"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731"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00"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43" w:type="dxa"/>
            <w:tcMar>
              <w:left w:w="108" w:type="dxa"/>
              <w:right w:w="108" w:type="dxa"/>
            </w:tcMar>
            <w:vAlign w:val="center"/>
          </w:tcPr>
          <w:p>
            <w:pPr>
              <w:widowControl/>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bl>
    <w:p>
      <w:pPr>
        <w:pStyle w:val="4"/>
        <w:widowControl/>
        <w:spacing w:beforeAutospacing="0" w:afterAutospacing="0" w:line="56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四、政府信息公开行政复议、行政诉讼情况</w:t>
      </w:r>
    </w:p>
    <w:tbl>
      <w:tblPr>
        <w:tblStyle w:val="5"/>
        <w:tblpPr w:leftFromText="180" w:rightFromText="180" w:vertAnchor="text" w:horzAnchor="page" w:tblpX="1400" w:tblpY="225"/>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eastAsia="宋体"/>
              </w:rPr>
            </w:pPr>
            <w:r>
              <w:rPr>
                <w:rFonts w:hint="eastAsia" w:ascii="Times New Roman" w:hAnsi="Times New Roman"/>
              </w:rPr>
              <w:t>0</w:t>
            </w:r>
          </w:p>
        </w:tc>
      </w:tr>
    </w:tbl>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五、存在的主要问题及改进情况</w:t>
      </w:r>
    </w:p>
    <w:p>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（一）存在的主要问题</w:t>
      </w:r>
    </w:p>
    <w:p>
      <w:pPr>
        <w:spacing w:line="56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是思想认识不到位。作为基层组织，对政务公开工作的重要性和必要性认识不够，没有把它视为基层民主的一项重要内容，存在被动应付走形式的情况，对政务公开不够主动、不够认真，推一推动一动，应付了事。</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二是公开内容不全面</w:t>
      </w:r>
      <w:r>
        <w:rPr>
          <w:rFonts w:hint="eastAsia" w:ascii="仿宋_GB2312" w:hAnsi="仿宋_GB2312" w:eastAsia="仿宋_GB2312" w:cs="仿宋_GB2312"/>
          <w:sz w:val="32"/>
          <w:szCs w:val="40"/>
        </w:rPr>
        <w:t>。信息公开覆盖面不广，对于政府的决策、规划、政策、经济、社会、文化等方面信息未做到全面公开，致使公众无法及时全面了解政府工作。</w:t>
      </w:r>
    </w:p>
    <w:p>
      <w:pPr>
        <w:spacing w:line="560" w:lineRule="exact"/>
        <w:ind w:firstLine="640" w:firstLineChars="200"/>
        <w:rPr>
          <w:rFonts w:ascii="楷体_GB2312" w:hAnsi="楷体_GB2312" w:eastAsia="楷体_GB2312" w:cs="楷体_GB2312"/>
          <w:sz w:val="32"/>
          <w:szCs w:val="40"/>
        </w:rPr>
      </w:pPr>
      <w:r>
        <w:rPr>
          <w:rFonts w:hint="eastAsia" w:ascii="楷体_GB2312" w:hAnsi="楷体_GB2312" w:eastAsia="楷体_GB2312" w:cs="楷体_GB2312"/>
          <w:sz w:val="32"/>
          <w:szCs w:val="40"/>
        </w:rPr>
        <w:t>（二）改进情况</w:t>
      </w:r>
    </w:p>
    <w:p>
      <w:pPr>
        <w:spacing w:line="56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sz w:val="32"/>
          <w:szCs w:val="40"/>
        </w:rPr>
        <w:t>一是转变工作思想，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提升对政府信息公开工作重要性的认识。</w:t>
      </w:r>
    </w:p>
    <w:p>
      <w:pPr>
        <w:spacing w:line="560" w:lineRule="exact"/>
        <w:rPr>
          <w:rFonts w:ascii="仿宋_GB2312" w:hAnsi="仿宋_GB2312" w:eastAsia="仿宋_GB2312" w:cs="仿宋_GB2312"/>
          <w:sz w:val="32"/>
          <w:szCs w:val="40"/>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一方面，利用机关学习会加强对乡镇干部的民主政治教育，提高思想认识，</w:t>
      </w:r>
      <w:r>
        <w:rPr>
          <w:rFonts w:hint="eastAsia" w:ascii="仿宋_GB2312" w:hAnsi="仿宋_GB2312" w:eastAsia="仿宋_GB2312" w:cs="仿宋_GB2312"/>
          <w:sz w:val="32"/>
          <w:szCs w:val="40"/>
        </w:rPr>
        <w:t>督促各部门提升对信息公开工作的重视程度和进行政府信息公开的主动性，严格按照相关要求，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将政府信息公开工作作为一项长效化、日常化的工作开展</w:t>
      </w:r>
      <w:r>
        <w:rPr>
          <w:rFonts w:hint="eastAsia" w:ascii="仿宋_GB2312" w:hAnsi="仿宋_GB2312" w:eastAsia="仿宋_GB2312" w:cs="仿宋_GB2312"/>
          <w:sz w:val="32"/>
          <w:szCs w:val="40"/>
        </w:rPr>
        <w:t>。</w:t>
      </w:r>
    </w:p>
    <w:p>
      <w:pPr>
        <w:pStyle w:val="4"/>
        <w:widowControl/>
        <w:shd w:val="clear" w:color="auto" w:fill="FFFFFF"/>
        <w:spacing w:beforeAutospacing="0" w:afterAutospacing="0" w:line="560" w:lineRule="exact"/>
        <w:ind w:firstLine="640" w:firstLineChars="200"/>
        <w:jc w:val="both"/>
        <w:rPr>
          <w:rFonts w:ascii="仿宋_GB2312" w:hAnsi="仿宋_GB2312" w:eastAsia="仿宋_GB2312" w:cs="仿宋_GB2312"/>
          <w:sz w:val="32"/>
          <w:szCs w:val="40"/>
        </w:rPr>
      </w:pPr>
      <w:r>
        <w:rPr>
          <w:rFonts w:hint="eastAsia" w:ascii="仿宋_GB2312" w:hAnsi="仿宋_GB2312" w:eastAsia="仿宋_GB2312" w:cs="仿宋_GB2312"/>
          <w:sz w:val="32"/>
          <w:szCs w:val="40"/>
        </w:rPr>
        <w:t>二是推进工作落实落细，强化公开内容的全面性。认真对照国务院有关部门制定的</w:t>
      </w:r>
      <w:r>
        <w:rPr>
          <w:rFonts w:ascii="Times New Roman" w:hAnsi="Times New Roman" w:eastAsia="仿宋_GB2312"/>
          <w:sz w:val="32"/>
          <w:szCs w:val="40"/>
        </w:rPr>
        <w:t>26</w:t>
      </w:r>
      <w:r>
        <w:rPr>
          <w:rFonts w:hint="eastAsia" w:ascii="仿宋_GB2312" w:hAnsi="仿宋_GB2312" w:eastAsia="仿宋_GB2312" w:cs="仿宋_GB2312"/>
          <w:sz w:val="32"/>
          <w:szCs w:val="40"/>
        </w:rPr>
        <w:t>个试点领域标准指引和省、市、县有关要求，全面梳理乡镇政府政务公开事项，进一步完善政务公开标准目录。完善乡镇干部政务公开工作责任制，从领导干部到负责人到具体工作人员，明确分工和职责，将履职情况作为对干部考核的重要内容之一，提高各部门公开政府信息的主动性。</w:t>
      </w:r>
    </w:p>
    <w:p>
      <w:pPr>
        <w:numPr>
          <w:ilvl w:val="0"/>
          <w:numId w:val="2"/>
        </w:num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其他需要报告的事项</w:t>
      </w:r>
    </w:p>
    <w:p>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1、收取信息处理费情况。按照《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2、落实上级年度政务公开工作要点情况。2023年，我镇深入贯彻落实上级关于政务公开的部署，及时按要求公开、更新相关栏目信息，加强自查更新；及时办理依申请公开事项，确保依规办理。</w:t>
      </w:r>
    </w:p>
    <w:p>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3、人大代表和政协提案办理结果公开情况。</w:t>
      </w:r>
      <w:r>
        <w:rPr>
          <w:rFonts w:hint="eastAsia" w:ascii="Times New Roman" w:hAnsi="Times New Roman" w:eastAsia="仿宋_GB2312" w:cs="仿宋_GB2312"/>
          <w:color w:val="000000"/>
          <w:sz w:val="32"/>
          <w:szCs w:val="32"/>
          <w:shd w:val="clear" w:color="auto" w:fill="FFFFFF"/>
        </w:rPr>
        <w:t>2023年昆仑镇一共办理建议提案2件，为人大建议2件。分别为：关于“昆仑镇胶磁路和工业园路交叉口安装红绿灯”的建议</w:t>
      </w:r>
      <w:r>
        <w:rPr>
          <w:rFonts w:hint="eastAsia" w:ascii="Times New Roman" w:hAnsi="Times New Roman" w:eastAsia="仿宋_GB2312" w:cs="Times New Roman"/>
          <w:sz w:val="32"/>
          <w:szCs w:val="40"/>
        </w:rPr>
        <w:t>；</w:t>
      </w:r>
      <w:r>
        <w:rPr>
          <w:rFonts w:hint="eastAsia" w:ascii="Times New Roman" w:hAnsi="Times New Roman" w:eastAsia="仿宋_GB2312" w:cs="仿宋_GB2312"/>
          <w:color w:val="000000"/>
          <w:sz w:val="32"/>
          <w:szCs w:val="32"/>
          <w:shd w:val="clear" w:color="auto" w:fill="FFFFFF"/>
        </w:rPr>
        <w:t>关于“加强农村智能化管理，助力乡村振兴”的建议。面复率100%，办复率100%，代表委员满意率达100%。未有上级建议提案办理任务。</w:t>
      </w:r>
    </w:p>
    <w:p>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4、政务公开工作创新情况。无。</w:t>
      </w:r>
    </w:p>
    <w:p>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5、政府信息公开工作年度报告数据统计需要说明的事项。无。</w:t>
      </w:r>
    </w:p>
    <w:p>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6、本行政机关认为需要报告的其他事项。无。</w:t>
      </w:r>
    </w:p>
    <w:p>
      <w:pPr>
        <w:spacing w:line="560" w:lineRule="exact"/>
        <w:ind w:firstLine="640" w:firstLineChars="200"/>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7、其他有关文件专门要求通过政府信息公开工作年度报告予以报告的事项。无。</w:t>
      </w:r>
    </w:p>
    <w:p>
      <w:pPr>
        <w:spacing w:line="560" w:lineRule="exact"/>
        <w:ind w:firstLine="640" w:firstLineChars="200"/>
        <w:rPr>
          <w:rFonts w:ascii="Times New Roman" w:hAnsi="Times New Roman" w:eastAsia="仿宋_GB2312" w:cs="Times New Roman"/>
          <w:sz w:val="32"/>
          <w:szCs w:val="40"/>
        </w:rPr>
      </w:pPr>
    </w:p>
    <w:p>
      <w:pPr>
        <w:spacing w:line="560" w:lineRule="exact"/>
        <w:ind w:firstLine="640" w:firstLineChars="200"/>
        <w:rPr>
          <w:rFonts w:hint="eastAsia" w:ascii="Times New Roman" w:hAnsi="Times New Roman" w:eastAsia="仿宋_GB2312" w:cs="Times New Roman"/>
          <w:sz w:val="32"/>
          <w:szCs w:val="40"/>
        </w:rPr>
      </w:pPr>
      <w:bookmarkStart w:id="10" w:name="_GoBack"/>
      <w:bookmarkEnd w:id="10"/>
    </w:p>
    <w:sectPr>
      <w:footerReference r:id="rId3" w:type="default"/>
      <w:pgSz w:w="11906" w:h="16838"/>
      <w:pgMar w:top="2098" w:right="1474" w:bottom="1984" w:left="1587"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5BCCA"/>
    <w:multiLevelType w:val="singleLevel"/>
    <w:tmpl w:val="2545BCCA"/>
    <w:lvl w:ilvl="0" w:tentative="0">
      <w:start w:val="1"/>
      <w:numFmt w:val="chineseCounting"/>
      <w:suff w:val="nothing"/>
      <w:lvlText w:val="（%1）"/>
      <w:lvlJc w:val="left"/>
      <w:rPr>
        <w:rFonts w:hint="eastAsia"/>
      </w:rPr>
    </w:lvl>
  </w:abstractNum>
  <w:abstractNum w:abstractNumId="1">
    <w:nsid w:val="2B4EF144"/>
    <w:multiLevelType w:val="singleLevel"/>
    <w:tmpl w:val="2B4EF144"/>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YzM5ZjFkMGY0ODI0MjRmNTA5NWZlMWM1ZDQzODAifQ=="/>
  </w:docVars>
  <w:rsids>
    <w:rsidRoot w:val="043337EB"/>
    <w:rsid w:val="00070455"/>
    <w:rsid w:val="000B006E"/>
    <w:rsid w:val="00231733"/>
    <w:rsid w:val="01636D07"/>
    <w:rsid w:val="043337EB"/>
    <w:rsid w:val="06601CDF"/>
    <w:rsid w:val="096D4B16"/>
    <w:rsid w:val="0A0423E3"/>
    <w:rsid w:val="0A883A89"/>
    <w:rsid w:val="0D415168"/>
    <w:rsid w:val="0F4B5275"/>
    <w:rsid w:val="0FB71137"/>
    <w:rsid w:val="12434776"/>
    <w:rsid w:val="13E74900"/>
    <w:rsid w:val="16215613"/>
    <w:rsid w:val="18EB656E"/>
    <w:rsid w:val="19A15C49"/>
    <w:rsid w:val="1B090296"/>
    <w:rsid w:val="1C341B72"/>
    <w:rsid w:val="22361960"/>
    <w:rsid w:val="23DC2A00"/>
    <w:rsid w:val="267C29AA"/>
    <w:rsid w:val="29D96CC0"/>
    <w:rsid w:val="2ABD7790"/>
    <w:rsid w:val="2CC65B7E"/>
    <w:rsid w:val="2FF42F06"/>
    <w:rsid w:val="30D965D0"/>
    <w:rsid w:val="31D77D3F"/>
    <w:rsid w:val="328553F4"/>
    <w:rsid w:val="35383F66"/>
    <w:rsid w:val="353B650D"/>
    <w:rsid w:val="37206361"/>
    <w:rsid w:val="383B53FB"/>
    <w:rsid w:val="391C6012"/>
    <w:rsid w:val="397C73CC"/>
    <w:rsid w:val="3A8A7809"/>
    <w:rsid w:val="3D454108"/>
    <w:rsid w:val="3E140132"/>
    <w:rsid w:val="3E3D1DE7"/>
    <w:rsid w:val="3E8266B6"/>
    <w:rsid w:val="40D20728"/>
    <w:rsid w:val="41A27AEC"/>
    <w:rsid w:val="435708E5"/>
    <w:rsid w:val="45DB1D0D"/>
    <w:rsid w:val="464C7B5F"/>
    <w:rsid w:val="467224C3"/>
    <w:rsid w:val="493024E4"/>
    <w:rsid w:val="4CFD094D"/>
    <w:rsid w:val="54994991"/>
    <w:rsid w:val="56CB31E9"/>
    <w:rsid w:val="57944C87"/>
    <w:rsid w:val="59E17EA5"/>
    <w:rsid w:val="5BA3311D"/>
    <w:rsid w:val="5C805C3A"/>
    <w:rsid w:val="5EE06817"/>
    <w:rsid w:val="60942F16"/>
    <w:rsid w:val="610468B4"/>
    <w:rsid w:val="67EF76E0"/>
    <w:rsid w:val="6A164457"/>
    <w:rsid w:val="6F603DCB"/>
    <w:rsid w:val="707035D3"/>
    <w:rsid w:val="70C04B0B"/>
    <w:rsid w:val="72283E62"/>
    <w:rsid w:val="73C77B2B"/>
    <w:rsid w:val="73D219A0"/>
    <w:rsid w:val="76CB29FB"/>
    <w:rsid w:val="783E7867"/>
    <w:rsid w:val="7A20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CM12"/>
    <w:basedOn w:val="8"/>
    <w:next w:val="8"/>
    <w:unhideWhenUsed/>
    <w:qFormat/>
    <w:uiPriority w:val="99"/>
    <w:pPr>
      <w:spacing w:after="1015"/>
    </w:pPr>
  </w:style>
  <w:style w:type="paragraph" w:customStyle="1" w:styleId="8">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542</Words>
  <Characters>3090</Characters>
  <Lines>25</Lines>
  <Paragraphs>7</Paragraphs>
  <TotalTime>17</TotalTime>
  <ScaleCrop>false</ScaleCrop>
  <LinksUpToDate>false</LinksUpToDate>
  <CharactersWithSpaces>3625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2022-01-05T06:32:00Z</dcterms:created>
  <dc:creator>审批局专用会员</dc:creator>
  <cp:lastModifiedBy>银杏果</cp:lastModifiedBy>
  <dcterms:modified xsi:type="dcterms:W3CDTF">2024-01-29T02:08:43Z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F16DAB9AB25C4D21B58632761CB925EE</vt:lpwstr>
  </property>
</Properties>
</file>