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hd w:val="clear" w:color="auto" w:fill="FFFFFF"/>
        <w:spacing w:before="0" w:after="0" w:line="520" w:lineRule="exact"/>
        <w:jc w:val="center"/>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淄博市淄川区科学技术局</w:t>
      </w:r>
    </w:p>
    <w:p>
      <w:pPr>
        <w:pStyle w:val="3"/>
        <w:keepNext w:val="0"/>
        <w:keepLines w:val="0"/>
        <w:widowControl/>
        <w:shd w:val="clear" w:color="auto" w:fill="FFFFFF"/>
        <w:spacing w:before="0" w:after="0" w:line="52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shd w:val="clear" w:color="auto" w:fill="FFFFFF"/>
        </w:rPr>
        <w:t>2022年政府信息公开工作年度报告</w:t>
      </w:r>
    </w:p>
    <w:p>
      <w:pPr>
        <w:spacing w:line="520" w:lineRule="exact"/>
        <w:ind w:firstLine="640" w:firstLineChars="200"/>
        <w:rPr>
          <w:rFonts w:hint="default" w:ascii="Times New Roman" w:hAnsi="Times New Roman" w:eastAsia="仿宋_GB2312" w:cs="Times New Roman"/>
          <w:sz w:val="32"/>
          <w:szCs w:val="32"/>
        </w:rPr>
      </w:pPr>
    </w:p>
    <w:p>
      <w:pPr>
        <w:pStyle w:val="8"/>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sz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sz w:val="32"/>
          <w:szCs w:val="32"/>
        </w:rPr>
        <w:t>本报告中所列数据的统计期限自2022年1月1日起，至2022年12月31日止。</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如对报告内容有疑问，请与淄博市淄川区科学技术局联系（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地址：山东省淄博市淄川区般阳路78号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电话：0533-5181027</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邮箱：kjj5181027@zb.shandong.cn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spacing w:line="5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000000"/>
          <w:sz w:val="32"/>
          <w:lang w:val="en-US" w:eastAsia="zh-CN"/>
        </w:rPr>
        <w:t>2022年区科技局</w:t>
      </w:r>
      <w:r>
        <w:rPr>
          <w:rFonts w:hint="default" w:ascii="Times New Roman" w:hAnsi="Times New Roman" w:eastAsia="仿宋_GB2312" w:cs="Times New Roman"/>
          <w:bCs/>
          <w:color w:val="000000"/>
          <w:sz w:val="32"/>
        </w:rPr>
        <w:t>严格落实</w:t>
      </w:r>
      <w:r>
        <w:rPr>
          <w:rFonts w:hint="default" w:ascii="Times New Roman" w:hAnsi="Times New Roman" w:eastAsia="仿宋_GB2312" w:cs="Times New Roman"/>
          <w:bCs/>
          <w:color w:val="000000"/>
          <w:sz w:val="32"/>
          <w:lang w:eastAsia="zh-CN"/>
        </w:rPr>
        <w:t>上级</w:t>
      </w:r>
      <w:r>
        <w:rPr>
          <w:rFonts w:hint="default" w:ascii="Times New Roman" w:hAnsi="Times New Roman" w:eastAsia="仿宋_GB2312" w:cs="Times New Roman"/>
          <w:bCs/>
          <w:color w:val="000000"/>
          <w:sz w:val="32"/>
        </w:rPr>
        <w:t>对政务公开工作的部署要求，着力提升政务公开质量，加强信息发布、解读和回应工作</w:t>
      </w:r>
      <w:r>
        <w:rPr>
          <w:rFonts w:hint="default" w:ascii="Times New Roman" w:hAnsi="Times New Roman" w:eastAsia="仿宋_GB2312" w:cs="Times New Roman"/>
          <w:bCs/>
          <w:color w:val="000000"/>
          <w:sz w:val="32"/>
          <w:lang w:eastAsia="zh-CN"/>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（一）主动公开情况。2022年度，通过淄川区人民政府门户网站公开信息53条，对政务服务工作起到了较好的宣传作用。</w:t>
      </w:r>
    </w:p>
    <w:p>
      <w:pPr>
        <w:ind w:firstLine="420" w:firstLineChars="200"/>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0" distR="0">
            <wp:extent cx="5616575" cy="5542915"/>
            <wp:effectExtent l="0" t="0" r="31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16575" cy="5542915"/>
                    </a:xfrm>
                    <a:prstGeom prst="rect">
                      <a:avLst/>
                    </a:prstGeom>
                  </pic:spPr>
                </pic:pic>
              </a:graphicData>
            </a:graphic>
          </wp:inline>
        </w:drawing>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（二）依申请公开情况。我局高度重视依申请公开工作，及时更新发布依申请公开指南，切实保障群众的知情权与监督权。2022年度，我局未收到和处理政府信息依申请公开申请。</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（三）政务信息管理。贯彻落实信息公开相关政策，对政务公开栏目及时进行充实更新，严格落实信息发布“三审”制度，积极抓好错敏信息整改，不断强化信息管理。</w:t>
      </w:r>
    </w:p>
    <w:p>
      <w:pPr>
        <w:spacing w:line="520" w:lineRule="exact"/>
        <w:ind w:firstLine="640" w:firstLineChars="200"/>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（四）政府信息公开平台建设。依托区政府网站、淄川科技微信公众号，结合科技工作实际情况，持续规范优化栏目设计与内容发布，精准衔接服务供给与用户需求，注重彰显科技特色。</w:t>
      </w:r>
    </w:p>
    <w:p>
      <w:pPr>
        <w:ind w:firstLine="420" w:firstLineChars="200"/>
        <w:jc w:val="center"/>
        <w:rPr>
          <w:rFonts w:hint="default" w:ascii="Times New Roman" w:hAnsi="Times New Roman" w:eastAsia="仿宋_GB2312" w:cs="Times New Roman"/>
          <w:b/>
          <w:color w:val="000000"/>
          <w:sz w:val="32"/>
        </w:rPr>
      </w:pPr>
      <w:r>
        <w:rPr>
          <w:rFonts w:hint="default" w:ascii="Times New Roman" w:hAnsi="Times New Roman" w:cs="Times New Roman"/>
        </w:rPr>
        <w:drawing>
          <wp:inline distT="0" distB="0" distL="0" distR="0">
            <wp:extent cx="3352800" cy="5162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52800" cy="5162550"/>
                    </a:xfrm>
                    <a:prstGeom prst="rect">
                      <a:avLst/>
                    </a:prstGeom>
                  </pic:spPr>
                </pic:pic>
              </a:graphicData>
            </a:graphic>
          </wp:inline>
        </w:drawing>
      </w:r>
    </w:p>
    <w:p>
      <w:pPr>
        <w:spacing w:line="520" w:lineRule="exact"/>
        <w:ind w:firstLine="640" w:firstLineChars="200"/>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（五）监督保障。认真做好政府信息公开工作，定期组织人员学习《条例》等与政务公开工作相关的法律法规，按要求参加政务公开工作培训。</w:t>
      </w:r>
    </w:p>
    <w:p>
      <w:pPr>
        <w:tabs>
          <w:tab w:val="center" w:pos="6778"/>
          <w:tab w:val="left" w:pos="10980"/>
        </w:tabs>
        <w:ind w:firstLine="640" w:firstLineChars="200"/>
        <w:jc w:val="left"/>
        <w:rPr>
          <w:rFonts w:hint="default" w:ascii="Times New Roman" w:hAnsi="Times New Roman" w:cs="Times New Roman"/>
          <w:sz w:val="32"/>
          <w:szCs w:val="32"/>
        </w:rPr>
      </w:pPr>
      <w:r>
        <w:rPr>
          <w:rFonts w:hint="default" w:ascii="Times New Roman" w:hAnsi="Times New Roman" w:eastAsia="黑体" w:cs="Times New Roman"/>
          <w:color w:val="000000"/>
          <w:sz w:val="32"/>
          <w:szCs w:val="32"/>
          <w:shd w:val="clear" w:color="auto" w:fill="FFFFFF"/>
        </w:rPr>
        <w:t>二、主动公开政府信息情况</w:t>
      </w:r>
    </w:p>
    <w:p>
      <w:pPr>
        <w:spacing w:line="600" w:lineRule="exact"/>
        <w:jc w:val="center"/>
        <w:rPr>
          <w:rFonts w:hint="default" w:ascii="Times New Roman" w:hAnsi="Times New Roman" w:eastAsia="方正小标宋简体" w:cs="Times New Roman"/>
          <w:sz w:val="44"/>
          <w:szCs w:val="44"/>
        </w:rPr>
      </w:pP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bl>
    <w:p>
      <w:pPr>
        <w:ind w:firstLine="640" w:firstLineChars="200"/>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三、收到和处理政府信息公开申请情况</w:t>
      </w: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楷体_GB2312" w:cs="Times New Roman"/>
                <w:color w:val="000000"/>
              </w:rPr>
            </w:pPr>
            <w:r>
              <w:rPr>
                <w:rFonts w:hint="default"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ind w:firstLine="480" w:firstLineChars="200"/>
        <w:rPr>
          <w:rFonts w:hint="default" w:ascii="Times New Roman" w:hAnsi="Times New Roman" w:cs="Times New Roman"/>
        </w:rPr>
      </w:pPr>
      <w:r>
        <w:rPr>
          <w:rFonts w:hint="default" w:ascii="Times New Roman" w:hAnsi="Times New Roman" w:cs="Times New Roman"/>
          <w:sz w:val="24"/>
        </w:rPr>
        <w:br w:type="page"/>
      </w:r>
      <w:r>
        <w:rPr>
          <w:rFonts w:hint="default" w:ascii="Times New Roman" w:hAnsi="Times New Roman" w:eastAsia="黑体" w:cs="Times New Roman"/>
          <w:bCs/>
          <w:color w:val="000000"/>
          <w:sz w:val="32"/>
        </w:rPr>
        <w:t>四、政府信息公开工作被申请行政复议、提起行政诉讼情况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spacing w:line="520" w:lineRule="exact"/>
        <w:ind w:firstLine="640" w:firstLineChars="200"/>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五、存在主要问题及改进情况</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2022年，我局高度重视政务公开工作，政府信息公开工作运行状况良好，但也存在一些问题和不足，主要是内容不够详实，形式不够丰富；个别专栏更新不够及时，维护还不够到位。</w:t>
      </w:r>
    </w:p>
    <w:p>
      <w:pPr>
        <w:ind w:firstLine="640" w:firstLineChars="200"/>
        <w:rPr>
          <w:rFonts w:hint="default" w:ascii="Times New Roman" w:hAnsi="Times New Roman" w:eastAsia="仿宋_GB2312" w:cs="Times New Roman"/>
          <w:bCs/>
          <w:color w:val="000000"/>
          <w:sz w:val="32"/>
          <w:lang w:eastAsia="zh-CN"/>
        </w:rPr>
      </w:pPr>
      <w:r>
        <w:rPr>
          <w:rFonts w:hint="default" w:ascii="Times New Roman" w:hAnsi="Times New Roman" w:eastAsia="仿宋_GB2312" w:cs="Times New Roman"/>
          <w:bCs/>
          <w:color w:val="000000"/>
          <w:sz w:val="32"/>
          <w:lang w:eastAsia="zh-CN"/>
        </w:rPr>
        <w:t>改进情况：</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1.强化学习宣传。认真贯彻落实《中华人民共和国政府信息公开条例》和有关法律法规精神。</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2.充实信息公开内容，不断提升政府信息公开工作质量。</w:t>
      </w:r>
    </w:p>
    <w:p>
      <w:pPr>
        <w:spacing w:line="520" w:lineRule="exact"/>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 xml:space="preserve">    3.加大工作人员培训力度，提高政务公开工作水平，推进政务公开落到实处。</w:t>
      </w:r>
    </w:p>
    <w:p>
      <w:pPr>
        <w:spacing w:line="520" w:lineRule="exact"/>
        <w:ind w:firstLine="640" w:firstLineChars="200"/>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六、其他需要报告的事项</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楷体" w:cs="Times New Roman"/>
          <w:bCs/>
          <w:color w:val="000000"/>
          <w:sz w:val="32"/>
        </w:rPr>
        <w:t>1、收取信息处理费情况</w:t>
      </w:r>
      <w:r>
        <w:rPr>
          <w:rFonts w:hint="default" w:ascii="Times New Roman" w:hAnsi="Times New Roman" w:eastAsia="仿宋_GB2312" w:cs="Times New Roman"/>
          <w:bCs/>
          <w:color w:val="000000"/>
          <w:sz w:val="32"/>
        </w:rPr>
        <w:t>。按照《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楷体" w:cs="Times New Roman"/>
          <w:bCs/>
          <w:color w:val="000000"/>
          <w:sz w:val="32"/>
        </w:rPr>
        <w:t>2、落实上级年度政务公开工作要点情况。</w:t>
      </w:r>
      <w:r>
        <w:rPr>
          <w:rFonts w:hint="default" w:ascii="Times New Roman" w:hAnsi="Times New Roman" w:eastAsia="仿宋_GB2312" w:cs="Times New Roman"/>
          <w:bCs/>
          <w:color w:val="000000"/>
          <w:sz w:val="32"/>
        </w:rPr>
        <w:t>严格落实省、市、区各级政府对政务公开工作的部署要求，按照《淄川区人民政府办公室关于印发2022年淄川区政务公开工作实施方案的通知》任务分工，迅速对我局2022年政务公开重点工作进行分工，着力提升政务公开质量，加强信息发布、解读和回应工作，形成责任分工表，将责任具体到科室。</w:t>
      </w:r>
    </w:p>
    <w:p>
      <w:pPr>
        <w:ind w:firstLine="640" w:firstLineChars="200"/>
        <w:rPr>
          <w:rFonts w:hint="default" w:ascii="Times New Roman" w:hAnsi="Times New Roman" w:eastAsia="仿宋_GB2312" w:cs="Times New Roman"/>
          <w:bCs/>
          <w:color w:val="000000"/>
          <w:sz w:val="32"/>
        </w:rPr>
      </w:pPr>
      <w:r>
        <w:rPr>
          <w:rFonts w:hint="default" w:ascii="Times New Roman" w:hAnsi="Times New Roman" w:eastAsia="楷体" w:cs="Times New Roman"/>
          <w:kern w:val="0"/>
          <w:sz w:val="32"/>
          <w:szCs w:val="32"/>
        </w:rPr>
        <w:t>3、人大代表建议和政协提案办理结果公开情况。</w:t>
      </w:r>
      <w:r>
        <w:rPr>
          <w:rFonts w:hint="default" w:ascii="Times New Roman" w:hAnsi="Times New Roman" w:eastAsia="仿宋_GB2312" w:cs="Times New Roman"/>
          <w:bCs/>
          <w:color w:val="000000"/>
          <w:sz w:val="32"/>
        </w:rPr>
        <w:t>2022年区科技局收到人大建议2件，政协提案0件，人大建议答复文件按法定程序面复代表，面复率100%，办复率100%，代表满意率达100%。2022年未有上级建议提案办理任务。</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rightChars="0" w:firstLine="640" w:firstLineChars="200"/>
        <w:jc w:val="both"/>
        <w:rPr>
          <w:rFonts w:hint="default" w:ascii="Times New Roman" w:hAnsi="Times New Roman" w:eastAsia="仿宋_GB2312" w:cs="Times New Roman"/>
          <w:i w:val="0"/>
          <w:iCs w:val="0"/>
          <w:caps w:val="0"/>
          <w:color w:val="000000"/>
          <w:spacing w:val="0"/>
          <w:sz w:val="32"/>
          <w:szCs w:val="32"/>
          <w:highlight w:val="red"/>
        </w:rPr>
      </w:pP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楷体" w:cs="Times New Roman"/>
          <w:i w:val="0"/>
          <w:iCs w:val="0"/>
          <w:caps w:val="0"/>
          <w:color w:val="000000"/>
          <w:spacing w:val="0"/>
          <w:sz w:val="32"/>
          <w:szCs w:val="32"/>
        </w:rPr>
        <w:t>政务公开工作创新情况</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一是创新政务公开工作方式，举办线</w:t>
      </w:r>
      <w:r>
        <w:rPr>
          <w:rFonts w:hint="default" w:ascii="Times New Roman" w:hAnsi="Times New Roman" w:eastAsia="仿宋_GB2312" w:cs="Times New Roman"/>
          <w:i w:val="0"/>
          <w:iCs w:val="0"/>
          <w:caps w:val="0"/>
          <w:color w:val="000000"/>
          <w:spacing w:val="0"/>
          <w:sz w:val="32"/>
          <w:szCs w:val="32"/>
          <w:lang w:eastAsia="zh-CN"/>
        </w:rPr>
        <w:t>下</w:t>
      </w:r>
      <w:r>
        <w:rPr>
          <w:rFonts w:hint="default" w:ascii="Times New Roman" w:hAnsi="Times New Roman" w:eastAsia="仿宋_GB2312" w:cs="Times New Roman"/>
          <w:i w:val="0"/>
          <w:iCs w:val="0"/>
          <w:caps w:val="0"/>
          <w:color w:val="000000"/>
          <w:spacing w:val="0"/>
          <w:sz w:val="32"/>
          <w:szCs w:val="32"/>
        </w:rPr>
        <w:t>政策解读培训会推进科技型企业培育工作。</w:t>
      </w:r>
      <w:r>
        <w:rPr>
          <w:rFonts w:hint="default" w:ascii="Times New Roman" w:hAnsi="Times New Roman" w:eastAsia="仿宋_GB2312" w:cs="Times New Roman"/>
          <w:i w:val="0"/>
          <w:iCs w:val="0"/>
          <w:caps w:val="0"/>
          <w:color w:val="000000"/>
          <w:spacing w:val="0"/>
          <w:sz w:val="32"/>
          <w:szCs w:val="32"/>
          <w:lang w:eastAsia="zh-CN"/>
        </w:rPr>
        <w:t>淄川区</w:t>
      </w:r>
      <w:r>
        <w:rPr>
          <w:rFonts w:hint="default" w:ascii="Times New Roman" w:hAnsi="Times New Roman" w:eastAsia="仿宋_GB2312" w:cs="Times New Roman"/>
          <w:i w:val="0"/>
          <w:iCs w:val="0"/>
          <w:caps w:val="0"/>
          <w:color w:val="000000"/>
          <w:spacing w:val="0"/>
          <w:sz w:val="32"/>
          <w:szCs w:val="32"/>
        </w:rPr>
        <w:t>科技局联合</w:t>
      </w:r>
      <w:r>
        <w:rPr>
          <w:rFonts w:hint="default" w:ascii="Times New Roman" w:hAnsi="Times New Roman" w:eastAsia="仿宋_GB2312" w:cs="Times New Roman"/>
          <w:i w:val="0"/>
          <w:iCs w:val="0"/>
          <w:caps w:val="0"/>
          <w:color w:val="000000"/>
          <w:spacing w:val="0"/>
          <w:sz w:val="32"/>
          <w:szCs w:val="32"/>
          <w:lang w:eastAsia="zh-CN"/>
        </w:rPr>
        <w:t>各镇办街道</w:t>
      </w:r>
      <w:r>
        <w:rPr>
          <w:rFonts w:hint="default" w:ascii="Times New Roman" w:hAnsi="Times New Roman" w:eastAsia="仿宋_GB2312" w:cs="Times New Roman"/>
          <w:i w:val="0"/>
          <w:iCs w:val="0"/>
          <w:caps w:val="0"/>
          <w:color w:val="000000"/>
          <w:spacing w:val="0"/>
          <w:sz w:val="32"/>
          <w:szCs w:val="32"/>
        </w:rPr>
        <w:t>共同举办4场高新技术企业暨技术合同认定登记专题培训会</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广泛宣传、积极发动，</w:t>
      </w:r>
      <w:r>
        <w:rPr>
          <w:rFonts w:hint="default" w:ascii="Times New Roman" w:hAnsi="Times New Roman" w:eastAsia="仿宋_GB2312" w:cs="Times New Roman"/>
          <w:i w:val="0"/>
          <w:iCs w:val="0"/>
          <w:caps w:val="0"/>
          <w:color w:val="000000"/>
          <w:spacing w:val="0"/>
          <w:sz w:val="32"/>
          <w:szCs w:val="32"/>
          <w:lang w:eastAsia="zh-CN"/>
        </w:rPr>
        <w:t>全区</w:t>
      </w:r>
      <w:r>
        <w:rPr>
          <w:rFonts w:hint="default" w:ascii="Times New Roman" w:hAnsi="Times New Roman" w:eastAsia="仿宋_GB2312" w:cs="Times New Roman"/>
          <w:i w:val="0"/>
          <w:iCs w:val="0"/>
          <w:caps w:val="0"/>
          <w:color w:val="000000"/>
          <w:spacing w:val="0"/>
          <w:sz w:val="32"/>
          <w:szCs w:val="32"/>
        </w:rPr>
        <w:t>220余家企业参加培训，参会人员达到</w:t>
      </w:r>
      <w:r>
        <w:rPr>
          <w:rFonts w:hint="default" w:ascii="Times New Roman" w:hAnsi="Times New Roman" w:eastAsia="微软雅黑" w:cs="Times New Roman"/>
          <w:i w:val="0"/>
          <w:iCs w:val="0"/>
          <w:caps w:val="0"/>
          <w:color w:val="000000"/>
          <w:spacing w:val="0"/>
          <w:sz w:val="32"/>
          <w:szCs w:val="32"/>
        </w:rPr>
        <w:t>1400</w:t>
      </w:r>
      <w:r>
        <w:rPr>
          <w:rFonts w:hint="default" w:ascii="Times New Roman" w:hAnsi="Times New Roman" w:eastAsia="仿宋_GB2312" w:cs="Times New Roman"/>
          <w:i w:val="0"/>
          <w:iCs w:val="0"/>
          <w:caps w:val="0"/>
          <w:color w:val="000000"/>
          <w:spacing w:val="0"/>
          <w:sz w:val="32"/>
          <w:szCs w:val="32"/>
        </w:rPr>
        <w:t>余人。采用</w:t>
      </w:r>
      <w:r>
        <w:rPr>
          <w:rFonts w:hint="default" w:ascii="Times New Roman" w:hAnsi="Times New Roman" w:eastAsia="仿宋_GB2312" w:cs="Times New Roman"/>
          <w:i w:val="0"/>
          <w:iCs w:val="0"/>
          <w:caps w:val="0"/>
          <w:color w:val="000000"/>
          <w:spacing w:val="0"/>
          <w:sz w:val="32"/>
          <w:szCs w:val="32"/>
          <w:lang w:eastAsia="zh-CN"/>
        </w:rPr>
        <w:t>发放惠企政策指导、现场</w:t>
      </w:r>
      <w:r>
        <w:rPr>
          <w:rFonts w:hint="default" w:ascii="Times New Roman" w:hAnsi="Times New Roman" w:eastAsia="仿宋_GB2312" w:cs="Times New Roman"/>
          <w:i w:val="0"/>
          <w:iCs w:val="0"/>
          <w:caps w:val="0"/>
          <w:color w:val="000000"/>
          <w:spacing w:val="0"/>
          <w:sz w:val="32"/>
          <w:szCs w:val="32"/>
        </w:rPr>
        <w:t>答疑、回放结合方式，</w:t>
      </w:r>
      <w:r>
        <w:rPr>
          <w:rFonts w:hint="default" w:ascii="Times New Roman" w:hAnsi="Times New Roman" w:eastAsia="仿宋_GB2312" w:cs="Times New Roman"/>
          <w:i w:val="0"/>
          <w:iCs w:val="0"/>
          <w:caps w:val="0"/>
          <w:color w:val="000000"/>
          <w:spacing w:val="0"/>
          <w:sz w:val="32"/>
          <w:szCs w:val="32"/>
          <w:lang w:eastAsia="zh-CN"/>
        </w:rPr>
        <w:t>对高新技术企业申报、科技型中小企业入库评价、技术合同认定登记的业务流程进行了专业解读，帮助企业吃透政策要义、把握标准要求、学会实务操作。</w:t>
      </w:r>
      <w:r>
        <w:rPr>
          <w:rFonts w:hint="default" w:ascii="Times New Roman" w:hAnsi="Times New Roman" w:eastAsia="仿宋_GB2312" w:cs="Times New Roman"/>
          <w:i w:val="0"/>
          <w:iCs w:val="0"/>
          <w:caps w:val="0"/>
          <w:color w:val="000000"/>
          <w:spacing w:val="0"/>
          <w:sz w:val="32"/>
          <w:szCs w:val="32"/>
        </w:rPr>
        <w:t>确保在疫情防控期间，惠企政策宣传不间断，科技型企业培育质量不降低，为全区企业科技创新发展奠定了扎实基础。二是创新政务公开方式，采取“走出去”召开对接洽谈会的形式宣传我</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科技创新政策，加强市外校城融合产业项目对接洽谈。5月10</w:t>
      </w:r>
      <w:r>
        <w:rPr>
          <w:rFonts w:hint="default"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11日，我区组织到青岛，与山东科技大学、青岛理工大学等高校院所进行对接交流。通过参观和对接洽谈，使科技部门工作人员与企业家们进一步开阔了眼界、增长了知识、拓宽了思路、增强了创新意识，同时加深了淄川区与青岛方向高校院所之间的沟通联系，为深化科教创新赋能、推动校城融合发展助力加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640" w:firstLineChars="200"/>
        <w:jc w:val="both"/>
        <w:rPr>
          <w:rFonts w:ascii="微软雅黑" w:hAnsi="微软雅黑" w:eastAsia="微软雅黑" w:cs="微软雅黑"/>
          <w:i w:val="0"/>
          <w:iCs w:val="0"/>
          <w:caps w:val="0"/>
          <w:color w:val="000000"/>
          <w:spacing w:val="0"/>
          <w:sz w:val="24"/>
          <w:szCs w:val="24"/>
        </w:rPr>
      </w:pPr>
      <w:r>
        <w:rPr>
          <w:rFonts w:hint="eastAsia" w:ascii="Times New Roman" w:hAnsi="Times New Roman" w:eastAsia="仿宋_GB2312" w:cs="Times New Roman"/>
          <w:i w:val="0"/>
          <w:iCs w:val="0"/>
          <w:caps w:val="0"/>
          <w:color w:val="000000"/>
          <w:spacing w:val="0"/>
          <w:sz w:val="32"/>
          <w:szCs w:val="32"/>
          <w:lang w:val="en-US" w:eastAsia="zh-CN"/>
        </w:rPr>
        <w:t>5、</w:t>
      </w:r>
      <w:r>
        <w:rPr>
          <w:rFonts w:hint="eastAsia" w:ascii="楷体" w:hAnsi="楷体" w:eastAsia="楷体" w:cs="楷体"/>
          <w:i w:val="0"/>
          <w:iCs w:val="0"/>
          <w:caps w:val="0"/>
          <w:color w:val="000000"/>
          <w:spacing w:val="0"/>
          <w:sz w:val="32"/>
          <w:szCs w:val="32"/>
        </w:rPr>
        <w:t>年报数据统计需要说明的事项</w:t>
      </w:r>
      <w:r>
        <w:rPr>
          <w:rFonts w:hint="default" w:ascii="Times New Roman" w:hAnsi="Times New Roman" w:eastAsia="仿宋_GB2312" w:cs="Times New Roman"/>
          <w:i w:val="0"/>
          <w:iCs w:val="0"/>
          <w:caps w:val="0"/>
          <w:color w:val="000000"/>
          <w:spacing w:val="0"/>
          <w:sz w:val="32"/>
          <w:szCs w:val="32"/>
        </w:rPr>
        <w:t>。无</w:t>
      </w:r>
    </w:p>
    <w:p>
      <w:pPr>
        <w:ind w:firstLine="640" w:firstLineChars="200"/>
        <w:rPr>
          <w:rFonts w:hint="default" w:ascii="Times New Roman" w:hAnsi="Times New Roman" w:eastAsia="仿宋_GB2312" w:cs="Times New Roman"/>
          <w:bCs/>
          <w:color w:val="000000"/>
          <w:sz w:val="32"/>
        </w:rPr>
      </w:pPr>
      <w:bookmarkStart w:id="0" w:name="_GoBack"/>
      <w:bookmarkEnd w:id="0"/>
    </w:p>
    <w:p>
      <w:pPr>
        <w:ind w:firstLine="640" w:firstLineChars="200"/>
        <w:rPr>
          <w:rFonts w:hint="default" w:ascii="Times New Roman" w:hAnsi="Times New Roman" w:eastAsia="仿宋_GB2312" w:cs="Times New Roman"/>
          <w:bCs/>
          <w:color w:val="000000"/>
          <w:sz w:val="32"/>
        </w:rPr>
      </w:pPr>
    </w:p>
    <w:p>
      <w:pPr>
        <w:widowControl/>
        <w:spacing w:line="600" w:lineRule="atLeast"/>
        <w:ind w:firstLine="640"/>
        <w:jc w:val="right"/>
        <w:rPr>
          <w:rFonts w:hint="default" w:ascii="Times New Roman" w:hAnsi="Times New Roman" w:eastAsia="微软雅黑" w:cs="Times New Roman"/>
          <w:color w:val="000000"/>
          <w:kern w:val="0"/>
          <w:sz w:val="24"/>
        </w:rPr>
      </w:pPr>
      <w:r>
        <w:rPr>
          <w:rFonts w:hint="default" w:ascii="Times New Roman" w:hAnsi="Times New Roman" w:eastAsia="仿宋_GB2312" w:cs="Times New Roman"/>
          <w:color w:val="000000"/>
          <w:kern w:val="0"/>
          <w:sz w:val="32"/>
          <w:szCs w:val="32"/>
        </w:rPr>
        <w:t>淄博市淄川区科学技术局</w:t>
      </w:r>
    </w:p>
    <w:p>
      <w:pPr>
        <w:widowControl/>
        <w:spacing w:line="600" w:lineRule="atLeast"/>
        <w:ind w:firstLine="640"/>
        <w:jc w:val="right"/>
        <w:rPr>
          <w:rFonts w:hint="default" w:ascii="Times New Roman" w:hAnsi="Times New Roman" w:eastAsia="微软雅黑" w:cs="Times New Roman"/>
          <w:color w:val="000000"/>
          <w:kern w:val="0"/>
          <w:sz w:val="24"/>
        </w:rPr>
      </w:pPr>
      <w:r>
        <w:rPr>
          <w:rFonts w:hint="default" w:ascii="Times New Roman" w:hAnsi="Times New Roman" w:eastAsia="微软雅黑" w:cs="Times New Roman"/>
          <w:color w:val="000000"/>
          <w:kern w:val="0"/>
          <w:sz w:val="32"/>
          <w:szCs w:val="32"/>
        </w:rPr>
        <w:t>2023</w:t>
      </w:r>
      <w:r>
        <w:rPr>
          <w:rFonts w:hint="default" w:ascii="Times New Roman" w:hAnsi="Times New Roman" w:eastAsia="仿宋_GB2312" w:cs="Times New Roman"/>
          <w:color w:val="000000"/>
          <w:kern w:val="0"/>
          <w:sz w:val="32"/>
          <w:szCs w:val="32"/>
        </w:rPr>
        <w:t>年</w:t>
      </w:r>
      <w:r>
        <w:rPr>
          <w:rFonts w:hint="default" w:ascii="Times New Roman" w:hAnsi="Times New Roman" w:eastAsia="微软雅黑" w:cs="Times New Roman"/>
          <w:color w:val="000000"/>
          <w:kern w:val="0"/>
          <w:sz w:val="32"/>
          <w:szCs w:val="32"/>
        </w:rPr>
        <w:t>1</w:t>
      </w:r>
      <w:r>
        <w:rPr>
          <w:rFonts w:hint="default" w:ascii="Times New Roman" w:hAnsi="Times New Roman" w:eastAsia="仿宋_GB2312" w:cs="Times New Roman"/>
          <w:color w:val="000000"/>
          <w:kern w:val="0"/>
          <w:sz w:val="32"/>
          <w:szCs w:val="32"/>
        </w:rPr>
        <w:t>月</w:t>
      </w:r>
      <w:r>
        <w:rPr>
          <w:rFonts w:hint="default" w:ascii="Times New Roman" w:hAnsi="Times New Roman" w:eastAsia="微软雅黑" w:cs="Times New Roman"/>
          <w:color w:val="000000"/>
          <w:kern w:val="0"/>
          <w:sz w:val="32"/>
          <w:szCs w:val="32"/>
        </w:rPr>
        <w:t>13</w:t>
      </w:r>
      <w:r>
        <w:rPr>
          <w:rFonts w:hint="default" w:ascii="Times New Roman" w:hAnsi="Times New Roman" w:eastAsia="仿宋_GB2312" w:cs="Times New Roman"/>
          <w:color w:val="000000"/>
          <w:kern w:val="0"/>
          <w:sz w:val="32"/>
          <w:szCs w:val="32"/>
        </w:rPr>
        <w:t>日</w:t>
      </w:r>
    </w:p>
    <w:p>
      <w:pPr>
        <w:ind w:firstLine="420" w:firstLineChars="200"/>
        <w:rPr>
          <w:rFonts w:hint="default" w:ascii="Times New Roman" w:hAnsi="Times New Roman" w:cs="Times New Roman"/>
        </w:rPr>
      </w:pP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TIwYWNhYWVhNDJlNjc1OTJmOGUwOTUxYTJmYTkifQ=="/>
  </w:docVars>
  <w:rsids>
    <w:rsidRoot w:val="00C523CE"/>
    <w:rsid w:val="0000776B"/>
    <w:rsid w:val="0006394F"/>
    <w:rsid w:val="0007029B"/>
    <w:rsid w:val="00074E3C"/>
    <w:rsid w:val="000907AE"/>
    <w:rsid w:val="000B66F1"/>
    <w:rsid w:val="001866C1"/>
    <w:rsid w:val="001A0340"/>
    <w:rsid w:val="001D1D05"/>
    <w:rsid w:val="001F75FD"/>
    <w:rsid w:val="00210B15"/>
    <w:rsid w:val="00275443"/>
    <w:rsid w:val="002A044E"/>
    <w:rsid w:val="002F746B"/>
    <w:rsid w:val="0030572C"/>
    <w:rsid w:val="003215E1"/>
    <w:rsid w:val="003241E5"/>
    <w:rsid w:val="00326AB6"/>
    <w:rsid w:val="0033503F"/>
    <w:rsid w:val="0034765D"/>
    <w:rsid w:val="00357DDC"/>
    <w:rsid w:val="0036485E"/>
    <w:rsid w:val="003705D7"/>
    <w:rsid w:val="00390574"/>
    <w:rsid w:val="003D25BA"/>
    <w:rsid w:val="003D64A8"/>
    <w:rsid w:val="003E277F"/>
    <w:rsid w:val="004528AF"/>
    <w:rsid w:val="004D0017"/>
    <w:rsid w:val="004E01E0"/>
    <w:rsid w:val="005460DE"/>
    <w:rsid w:val="00566EA9"/>
    <w:rsid w:val="005834CB"/>
    <w:rsid w:val="00583AFC"/>
    <w:rsid w:val="00590101"/>
    <w:rsid w:val="00611F13"/>
    <w:rsid w:val="0061378D"/>
    <w:rsid w:val="006252B9"/>
    <w:rsid w:val="0064558C"/>
    <w:rsid w:val="0065023A"/>
    <w:rsid w:val="006614ED"/>
    <w:rsid w:val="00666D39"/>
    <w:rsid w:val="00677A74"/>
    <w:rsid w:val="006912AB"/>
    <w:rsid w:val="006B1E70"/>
    <w:rsid w:val="006C574A"/>
    <w:rsid w:val="006E7AD1"/>
    <w:rsid w:val="00700BA4"/>
    <w:rsid w:val="0071418F"/>
    <w:rsid w:val="007B6661"/>
    <w:rsid w:val="00831BF7"/>
    <w:rsid w:val="008549B8"/>
    <w:rsid w:val="00866F27"/>
    <w:rsid w:val="008A6A0F"/>
    <w:rsid w:val="008D6AB8"/>
    <w:rsid w:val="008E3A9B"/>
    <w:rsid w:val="008E7CFB"/>
    <w:rsid w:val="009150A8"/>
    <w:rsid w:val="009275F8"/>
    <w:rsid w:val="00927A45"/>
    <w:rsid w:val="009538DE"/>
    <w:rsid w:val="00981DA1"/>
    <w:rsid w:val="009B040D"/>
    <w:rsid w:val="009B066C"/>
    <w:rsid w:val="009B1B9E"/>
    <w:rsid w:val="009C7DC4"/>
    <w:rsid w:val="009D0BCD"/>
    <w:rsid w:val="009E39FA"/>
    <w:rsid w:val="00A3312B"/>
    <w:rsid w:val="00A55395"/>
    <w:rsid w:val="00A57170"/>
    <w:rsid w:val="00A665C4"/>
    <w:rsid w:val="00A77C6C"/>
    <w:rsid w:val="00A83AE7"/>
    <w:rsid w:val="00A8780C"/>
    <w:rsid w:val="00A9025E"/>
    <w:rsid w:val="00A9039E"/>
    <w:rsid w:val="00AA47D3"/>
    <w:rsid w:val="00AF304C"/>
    <w:rsid w:val="00B070E2"/>
    <w:rsid w:val="00B46AA7"/>
    <w:rsid w:val="00B67B53"/>
    <w:rsid w:val="00B719F8"/>
    <w:rsid w:val="00BA1FEC"/>
    <w:rsid w:val="00BF1288"/>
    <w:rsid w:val="00C50860"/>
    <w:rsid w:val="00C523CE"/>
    <w:rsid w:val="00C71723"/>
    <w:rsid w:val="00C720B8"/>
    <w:rsid w:val="00CA4BEC"/>
    <w:rsid w:val="00D0047F"/>
    <w:rsid w:val="00D21038"/>
    <w:rsid w:val="00D808FF"/>
    <w:rsid w:val="00D80E9B"/>
    <w:rsid w:val="00DD407A"/>
    <w:rsid w:val="00DD6A7F"/>
    <w:rsid w:val="00E0746B"/>
    <w:rsid w:val="00E243B6"/>
    <w:rsid w:val="00E55275"/>
    <w:rsid w:val="00E624B8"/>
    <w:rsid w:val="00E70CEE"/>
    <w:rsid w:val="00EA731F"/>
    <w:rsid w:val="00ED28EE"/>
    <w:rsid w:val="00ED6DD4"/>
    <w:rsid w:val="00ED779C"/>
    <w:rsid w:val="00EE31B7"/>
    <w:rsid w:val="00EF694F"/>
    <w:rsid w:val="00F41BAA"/>
    <w:rsid w:val="00F604C9"/>
    <w:rsid w:val="00F72DBB"/>
    <w:rsid w:val="00F91D70"/>
    <w:rsid w:val="00FA1DFF"/>
    <w:rsid w:val="01820EDB"/>
    <w:rsid w:val="03F95362"/>
    <w:rsid w:val="048E4B0E"/>
    <w:rsid w:val="06B16564"/>
    <w:rsid w:val="077666D8"/>
    <w:rsid w:val="07DB6173"/>
    <w:rsid w:val="08A74C9F"/>
    <w:rsid w:val="0B314F9A"/>
    <w:rsid w:val="0DE15CE1"/>
    <w:rsid w:val="1293229E"/>
    <w:rsid w:val="163F2CEF"/>
    <w:rsid w:val="18F20F9C"/>
    <w:rsid w:val="1AE43394"/>
    <w:rsid w:val="1AEC6857"/>
    <w:rsid w:val="1D8C07BC"/>
    <w:rsid w:val="227A18BC"/>
    <w:rsid w:val="24636849"/>
    <w:rsid w:val="28CA2BCE"/>
    <w:rsid w:val="29646021"/>
    <w:rsid w:val="2AC57569"/>
    <w:rsid w:val="2CEA6DF5"/>
    <w:rsid w:val="30B938FD"/>
    <w:rsid w:val="38822A1C"/>
    <w:rsid w:val="3B5F0002"/>
    <w:rsid w:val="41A70DD3"/>
    <w:rsid w:val="457B1A88"/>
    <w:rsid w:val="4B2F1D2F"/>
    <w:rsid w:val="4C2F657D"/>
    <w:rsid w:val="525864B1"/>
    <w:rsid w:val="54012AAA"/>
    <w:rsid w:val="56E81C6B"/>
    <w:rsid w:val="57356AD7"/>
    <w:rsid w:val="5EBE281D"/>
    <w:rsid w:val="616E3DEF"/>
    <w:rsid w:val="688B2451"/>
    <w:rsid w:val="6E0921B9"/>
    <w:rsid w:val="728066AF"/>
    <w:rsid w:val="73727964"/>
    <w:rsid w:val="7E992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4">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99"/>
    <w:rPr>
      <w:rFonts w:ascii="仿宋" w:hAnsi="仿宋" w:eastAsia="等线" w:cs="仿宋"/>
      <w:b/>
      <w:bCs/>
      <w:kern w:val="44"/>
      <w:sz w:val="44"/>
      <w:szCs w:val="44"/>
    </w:rPr>
  </w:style>
  <w:style w:type="character" w:customStyle="1" w:styleId="19">
    <w:name w:val="标题 2 字符"/>
    <w:basedOn w:val="11"/>
    <w:link w:val="3"/>
    <w:qFormat/>
    <w:uiPriority w:val="99"/>
    <w:rPr>
      <w:rFonts w:ascii="Cambria Math" w:hAnsi="Cambria Math" w:eastAsia="等线" w:cs="Cambria Math"/>
      <w:b/>
      <w:bCs/>
      <w:sz w:val="32"/>
      <w:szCs w:val="32"/>
    </w:rPr>
  </w:style>
  <w:style w:type="character" w:customStyle="1" w:styleId="20">
    <w:name w:val="标题 3 字符"/>
    <w:basedOn w:val="11"/>
    <w:link w:val="4"/>
    <w:qFormat/>
    <w:uiPriority w:val="99"/>
    <w:rPr>
      <w:rFonts w:ascii="Yu Mincho Light" w:hAnsi="Yu Mincho Light" w:eastAsia="等线" w:cs="Yu Mincho Light"/>
      <w:b/>
      <w:bCs/>
      <w:sz w:val="32"/>
      <w:szCs w:val="32"/>
    </w:rPr>
  </w:style>
  <w:style w:type="character" w:customStyle="1" w:styleId="21">
    <w:name w:val="批注框文本 字符"/>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2129</Words>
  <Characters>2260</Characters>
  <Lines>17</Lines>
  <Paragraphs>5</Paragraphs>
  <TotalTime>0</TotalTime>
  <ScaleCrop>false</ScaleCrop>
  <LinksUpToDate>false</LinksUpToDate>
  <CharactersWithSpaces>2302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2020-10-26T00:53:00Z</dcterms:created>
  <dc:creator>qiyuanhua0168@163.com</dc:creator>
  <cp:lastModifiedBy>银杏果</cp:lastModifiedBy>
  <cp:lastPrinted>2020-10-29T02:38:00Z</cp:lastPrinted>
  <dcterms:modified xsi:type="dcterms:W3CDTF">2023-02-14T00:54:38Z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AD66C9C12B8E40E6837E43B800999617</vt:lpwstr>
  </property>
</Properties>
</file>