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before="100" w:beforeAutospacing="1"/>
        <w:ind w:left="-105" w:leftChars="-50" w:right="-105" w:rightChars="-5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山东省企业研究开发财政补助资金确认汇总表</w:t>
      </w:r>
    </w:p>
    <w:p>
      <w:pPr>
        <w:spacing w:before="156" w:beforeLines="50" w:after="156" w:afterLines="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>科技局（盖章）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r>
        <w:rPr>
          <w:rFonts w:hint="eastAsia" w:ascii="仿宋_GB2312" w:hAnsi="仿宋" w:eastAsia="仿宋_GB2312"/>
          <w:sz w:val="24"/>
        </w:rPr>
        <w:t>财政局（盖章）</w:t>
      </w:r>
      <w:r>
        <w:rPr>
          <w:rFonts w:hint="eastAsia" w:ascii="仿宋_GB2312" w:hAnsi="仿宋" w:eastAsia="仿宋_GB2312"/>
          <w:sz w:val="24"/>
          <w:lang w:eastAsia="zh-CN"/>
        </w:rPr>
        <w:t>区</w:t>
      </w: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税务局（盖章）</w:t>
      </w:r>
    </w:p>
    <w:tbl>
      <w:tblPr>
        <w:tblStyle w:val="3"/>
        <w:tblpPr w:leftFromText="180" w:rightFromText="180" w:vertAnchor="text" w:horzAnchor="margin" w:tblpY="315"/>
        <w:tblOverlap w:val="never"/>
        <w:tblW w:w="14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9"/>
        <w:gridCol w:w="621"/>
        <w:gridCol w:w="749"/>
        <w:gridCol w:w="872"/>
        <w:gridCol w:w="621"/>
        <w:gridCol w:w="618"/>
        <w:gridCol w:w="869"/>
        <w:gridCol w:w="973"/>
        <w:gridCol w:w="973"/>
        <w:gridCol w:w="761"/>
        <w:gridCol w:w="869"/>
        <w:gridCol w:w="743"/>
        <w:gridCol w:w="890"/>
        <w:gridCol w:w="851"/>
        <w:gridCol w:w="710"/>
        <w:gridCol w:w="203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54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86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年销售收入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是否集成电路领域企业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企业类型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年是否填报国家统计局研发活动统计报表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是否符合“绿色门槛”、科研诚信、社会信用等要求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</w:trPr>
        <w:tc>
          <w:tcPr>
            <w:tcW w:w="5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618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1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69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年度加计扣除比例</w:t>
            </w:r>
          </w:p>
        </w:tc>
        <w:tc>
          <w:tcPr>
            <w:tcW w:w="74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890" w:type="dxa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年度加计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扣除比例</w:t>
            </w:r>
          </w:p>
        </w:tc>
        <w:tc>
          <w:tcPr>
            <w:tcW w:w="851" w:type="dxa"/>
            <w:vMerge w:val="continue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710" w:type="dxa"/>
            <w:vMerge w:val="continue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1224" w:type="dxa"/>
            <w:vMerge w:val="continue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5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2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18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9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Cs w:val="21"/>
        </w:rPr>
        <w:t>单位：元</w:t>
      </w:r>
    </w:p>
    <w:p>
      <w:pPr>
        <w:widowControl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企业类型中1为规模以上采矿业，制造业，电力、热力、燃气及水生产和供应业企业法人单位；2为特、一级总承包，一级专业承包建筑业企业法人单位；3为规模以上交通运输、仓储和邮政业，信息传输、软件和信息技术服务业，租赁和商务服务业，科学研究和技术服务业，水利、环境和公共设施管理业，卫生和社会工作，文化、体育和娱乐业等企业法人单位；4为其他企业。</w:t>
      </w:r>
    </w:p>
    <w:p/>
    <w:sectPr>
      <w:pgSz w:w="16838" w:h="11906" w:orient="landscape"/>
      <w:pgMar w:top="1797" w:right="873" w:bottom="1797" w:left="873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02F70E0"/>
    <w:rsid w:val="3B105421"/>
    <w:rsid w:val="602F70E0"/>
    <w:rsid w:val="779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2023-07-29T04:32:00Z</dcterms:created>
  <dc:creator>'Always</dc:creator>
  <cp:lastModifiedBy>qinlei</cp:lastModifiedBy>
  <dcterms:modified xsi:type="dcterms:W3CDTF">2023-07-31T07:12:20Z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692E90389D004C919AA38FC81A2C77AA_11</vt:lpwstr>
  </property>
</Properties>
</file>