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945"/>
        </w:tabs>
        <w:spacing w:line="480" w:lineRule="exact"/>
        <w:rPr>
          <w:rFonts w:hint="eastAsia" w:ascii="黑体" w:eastAsia="黑体"/>
          <w:color w:val="000000"/>
          <w:sz w:val="32"/>
          <w:szCs w:val="32"/>
          <w:lang w:eastAsia="zh-CN"/>
        </w:rPr>
      </w:pPr>
      <w:r>
        <w:rPr>
          <w:rFonts w:hint="eastAsia" w:ascii="黑体" w:eastAsia="黑体"/>
          <w:color w:val="000000"/>
          <w:sz w:val="32"/>
          <w:szCs w:val="32"/>
        </w:rPr>
        <w:t>附件</w:t>
      </w:r>
      <w:r>
        <w:rPr>
          <w:rFonts w:hint="eastAsia" w:ascii="黑体" w:eastAsia="黑体"/>
          <w:color w:val="000000"/>
          <w:sz w:val="32"/>
          <w:szCs w:val="32"/>
          <w:lang w:val="en-US" w:eastAsia="zh-CN"/>
        </w:rPr>
        <w:t>3</w:t>
      </w:r>
    </w:p>
    <w:p>
      <w:pPr>
        <w:spacing w:before="100" w:beforeAutospacing="1"/>
        <w:ind w:left="-105" w:leftChars="-50" w:right="-105" w:rightChars="-50"/>
        <w:jc w:val="center"/>
        <w:rPr>
          <w:rFonts w:ascii="宋体" w:hAnsi="宋体" w:eastAsia="方正小标宋简体"/>
          <w:sz w:val="44"/>
          <w:szCs w:val="44"/>
        </w:rPr>
      </w:pPr>
      <w:r>
        <w:rPr>
          <w:rFonts w:hint="eastAsia" w:ascii="宋体" w:hAnsi="宋体" w:eastAsia="方正小标宋简体"/>
          <w:sz w:val="44"/>
          <w:szCs w:val="44"/>
        </w:rPr>
        <w:t>山东省企业研究开发财政补助资金确认汇总表</w:t>
      </w:r>
    </w:p>
    <w:p>
      <w:pPr>
        <w:spacing w:before="156" w:beforeLines="50" w:after="156" w:afterLines="50" w:line="560" w:lineRule="exact"/>
        <w:rPr>
          <w:rFonts w:ascii="仿宋_GB2312" w:hAnsi="仿宋" w:eastAsia="仿宋_GB2312"/>
          <w:sz w:val="24"/>
        </w:rPr>
      </w:pPr>
      <w:r>
        <w:rPr>
          <w:rFonts w:hint="eastAsia" w:ascii="仿宋_GB2312" w:hAnsi="仿宋" w:eastAsia="仿宋_GB2312"/>
          <w:sz w:val="24"/>
        </w:rPr>
        <w:t>所在市：</w:t>
      </w:r>
      <w:r>
        <w:rPr>
          <w:rFonts w:hint="eastAsia" w:ascii="仿宋_GB2312" w:hAnsi="仿宋" w:eastAsia="仿宋_GB2312"/>
          <w:sz w:val="24"/>
          <w:lang w:eastAsia="zh-CN"/>
        </w:rPr>
        <w:t>区</w:t>
      </w:r>
      <w:r>
        <w:rPr>
          <w:rFonts w:hint="eastAsia" w:ascii="仿宋_GB2312" w:hAnsi="仿宋" w:eastAsia="仿宋_GB2312"/>
          <w:sz w:val="24"/>
        </w:rPr>
        <w:t>科技局（盖章）</w:t>
      </w:r>
      <w:r>
        <w:rPr>
          <w:rFonts w:hint="eastAsia" w:ascii="仿宋_GB2312" w:hAnsi="仿宋" w:eastAsia="仿宋_GB2312"/>
          <w:sz w:val="24"/>
          <w:lang w:eastAsia="zh-CN"/>
        </w:rPr>
        <w:t>区</w:t>
      </w:r>
      <w:r>
        <w:rPr>
          <w:rFonts w:hint="eastAsia" w:ascii="仿宋_GB2312" w:hAnsi="仿宋" w:eastAsia="仿宋_GB2312"/>
          <w:sz w:val="24"/>
        </w:rPr>
        <w:t>财政局（盖章）</w:t>
      </w:r>
      <w:r>
        <w:rPr>
          <w:rFonts w:hint="eastAsia" w:ascii="仿宋_GB2312" w:hAnsi="仿宋" w:eastAsia="仿宋_GB2312"/>
          <w:sz w:val="24"/>
          <w:lang w:eastAsia="zh-CN"/>
        </w:rPr>
        <w:t>区</w:t>
      </w:r>
      <w:bookmarkStart w:id="0" w:name="_GoBack"/>
      <w:bookmarkEnd w:id="0"/>
      <w:r>
        <w:rPr>
          <w:rFonts w:hint="eastAsia" w:ascii="仿宋_GB2312" w:hAnsi="仿宋" w:eastAsia="仿宋_GB2312"/>
          <w:sz w:val="24"/>
        </w:rPr>
        <w:t>税务局（盖章）</w:t>
      </w:r>
    </w:p>
    <w:tbl>
      <w:tblPr>
        <w:tblStyle w:val="3"/>
        <w:tblpPr w:leftFromText="180" w:rightFromText="180" w:vertAnchor="text" w:horzAnchor="margin" w:tblpY="315"/>
        <w:tblOverlap w:val="never"/>
        <w:tblW w:w="1492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57" w:type="dxa"/>
          <w:bottom w:w="0" w:type="dxa"/>
          <w:right w:w="57" w:type="dxa"/>
        </w:tblCellMar>
      </w:tblPr>
      <w:tblGrid>
        <w:gridCol w:w="549"/>
        <w:gridCol w:w="621"/>
        <w:gridCol w:w="749"/>
        <w:gridCol w:w="872"/>
        <w:gridCol w:w="621"/>
        <w:gridCol w:w="618"/>
        <w:gridCol w:w="869"/>
        <w:gridCol w:w="973"/>
        <w:gridCol w:w="973"/>
        <w:gridCol w:w="761"/>
        <w:gridCol w:w="869"/>
        <w:gridCol w:w="743"/>
        <w:gridCol w:w="890"/>
        <w:gridCol w:w="851"/>
        <w:gridCol w:w="710"/>
        <w:gridCol w:w="2030"/>
        <w:gridCol w:w="12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09" w:hRule="atLeast"/>
        </w:trPr>
        <w:tc>
          <w:tcPr>
            <w:tcW w:w="5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序号</w:t>
            </w:r>
          </w:p>
        </w:tc>
        <w:tc>
          <w:tcPr>
            <w:tcW w:w="621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名称</w:t>
            </w:r>
          </w:p>
        </w:tc>
        <w:tc>
          <w:tcPr>
            <w:tcW w:w="74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统一社会信用代码</w:t>
            </w:r>
          </w:p>
        </w:tc>
        <w:tc>
          <w:tcPr>
            <w:tcW w:w="1493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及账号信息</w:t>
            </w:r>
          </w:p>
        </w:tc>
        <w:tc>
          <w:tcPr>
            <w:tcW w:w="618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技术领域</w:t>
            </w:r>
          </w:p>
        </w:tc>
        <w:tc>
          <w:tcPr>
            <w:tcW w:w="869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年销售收入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973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研发投入</w:t>
            </w:r>
          </w:p>
        </w:tc>
        <w:tc>
          <w:tcPr>
            <w:tcW w:w="3263" w:type="dxa"/>
            <w:gridSpan w:val="4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研发费用加计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扣除总额</w:t>
            </w:r>
          </w:p>
        </w:tc>
        <w:tc>
          <w:tcPr>
            <w:tcW w:w="851" w:type="dxa"/>
            <w:vMerge w:val="restart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是否集成电路领域企业</w:t>
            </w:r>
          </w:p>
        </w:tc>
        <w:tc>
          <w:tcPr>
            <w:tcW w:w="71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企业类型</w:t>
            </w:r>
          </w:p>
        </w:tc>
        <w:tc>
          <w:tcPr>
            <w:tcW w:w="2030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年是否填报国家统计局研发活动统计报表</w:t>
            </w:r>
          </w:p>
        </w:tc>
        <w:tc>
          <w:tcPr>
            <w:tcW w:w="1224" w:type="dxa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hAnsi="黑体" w:eastAsia="仿宋_GB2312" w:cs="宋体"/>
                <w:kern w:val="0"/>
                <w:szCs w:val="21"/>
              </w:rPr>
              <w:t>是否符合“绿色门槛”、科研诚信、社会信用等要求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933" w:hRule="atLeast"/>
        </w:trPr>
        <w:tc>
          <w:tcPr>
            <w:tcW w:w="5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企业开户行</w:t>
            </w:r>
          </w:p>
        </w:tc>
        <w:tc>
          <w:tcPr>
            <w:tcW w:w="62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账号</w:t>
            </w:r>
          </w:p>
        </w:tc>
        <w:tc>
          <w:tcPr>
            <w:tcW w:w="618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vMerge w:val="continue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1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69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1</w:t>
            </w:r>
            <w:r>
              <w:rPr>
                <w:rFonts w:hint="eastAsia" w:eastAsia="仿宋_GB2312"/>
                <w:sz w:val="24"/>
              </w:rPr>
              <w:t>年度加计扣除比例</w:t>
            </w:r>
          </w:p>
        </w:tc>
        <w:tc>
          <w:tcPr>
            <w:tcW w:w="743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20</w:t>
            </w:r>
            <w:r>
              <w:rPr>
                <w:rFonts w:hint="eastAsia" w:eastAsia="仿宋_GB2312"/>
                <w:sz w:val="24"/>
              </w:rPr>
              <w:t>2</w:t>
            </w:r>
            <w:r>
              <w:rPr>
                <w:rFonts w:eastAsia="仿宋_GB2312"/>
                <w:sz w:val="24"/>
              </w:rPr>
              <w:t>2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</w:t>
            </w:r>
          </w:p>
        </w:tc>
        <w:tc>
          <w:tcPr>
            <w:tcW w:w="890" w:type="dxa"/>
          </w:tcPr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202</w:t>
            </w:r>
            <w:r>
              <w:rPr>
                <w:rFonts w:eastAsia="仿宋_GB2312"/>
                <w:sz w:val="24"/>
              </w:rPr>
              <w:t>2</w:t>
            </w:r>
            <w:r>
              <w:rPr>
                <w:rFonts w:hint="eastAsia" w:eastAsia="仿宋_GB2312"/>
                <w:sz w:val="24"/>
              </w:rPr>
              <w:t>年度加计</w:t>
            </w:r>
          </w:p>
          <w:p>
            <w:pPr>
              <w:ind w:left="-105" w:leftChars="-50" w:right="-105" w:rightChars="-50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扣除比例</w:t>
            </w:r>
          </w:p>
        </w:tc>
        <w:tc>
          <w:tcPr>
            <w:tcW w:w="851" w:type="dxa"/>
            <w:vMerge w:val="continue"/>
          </w:tcPr>
          <w:p>
            <w:pPr>
              <w:ind w:left="-105" w:leftChars="-50" w:right="-105" w:rightChars="-50"/>
              <w:jc w:val="center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710" w:type="dxa"/>
            <w:vMerge w:val="continue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2030" w:type="dxa"/>
            <w:vMerge w:val="continue"/>
            <w:vAlign w:val="center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  <w:tc>
          <w:tcPr>
            <w:tcW w:w="1224" w:type="dxa"/>
            <w:vMerge w:val="continue"/>
          </w:tcPr>
          <w:p>
            <w:pPr>
              <w:ind w:left="-52" w:leftChars="-25" w:right="-52" w:rightChars="-25"/>
              <w:rPr>
                <w:rFonts w:ascii="宋体" w:hAnsi="宋体" w:eastAsia="仿宋_GB2312" w:cs="宋体"/>
                <w:b/>
                <w:bCs/>
                <w:kern w:val="3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40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57" w:type="dxa"/>
            <w:bottom w:w="0" w:type="dxa"/>
            <w:right w:w="57" w:type="dxa"/>
          </w:tblCellMar>
        </w:tblPrEx>
        <w:trPr>
          <w:trHeight w:val="510" w:hRule="atLeast"/>
        </w:trPr>
        <w:tc>
          <w:tcPr>
            <w:tcW w:w="5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72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2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18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7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6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9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43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9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10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30" w:type="dxa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24" w:type="dxa"/>
          </w:tcPr>
          <w:p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</w:tbl>
    <w:p>
      <w:pPr>
        <w:ind w:right="480"/>
        <w:jc w:val="right"/>
        <w:rPr>
          <w:rFonts w:ascii="仿宋_GB2312" w:hAnsi="仿宋" w:eastAsia="仿宋_GB2312"/>
          <w:sz w:val="24"/>
        </w:rPr>
      </w:pPr>
      <w:r>
        <w:rPr>
          <w:rFonts w:hint="eastAsia" w:ascii="仿宋_GB2312" w:hAnsi="宋体" w:eastAsia="仿宋_GB2312"/>
          <w:szCs w:val="21"/>
        </w:rPr>
        <w:t>单位：元</w:t>
      </w:r>
    </w:p>
    <w:p>
      <w:pPr>
        <w:widowControl/>
        <w:jc w:val="left"/>
        <w:rPr>
          <w:rFonts w:ascii="仿宋_GB2312" w:hAnsi="宋体" w:eastAsia="仿宋_GB2312"/>
          <w:sz w:val="24"/>
        </w:rPr>
      </w:pPr>
      <w:r>
        <w:rPr>
          <w:rFonts w:hint="eastAsia" w:ascii="仿宋_GB2312" w:hAnsi="宋体" w:eastAsia="仿宋_GB2312"/>
          <w:sz w:val="24"/>
        </w:rPr>
        <w:t>注：企业类型中1为规模以上采矿业，制造业，电力、热力、燃气及水生产和供应业企业法人单位；2为特、一级总承包，一级专业承包建筑业企业法人单位；3为规模以上交通运输、仓储和邮政业，信息传输、软件和信息技术服务业，租赁和商务服务业，科学研究和技术服务业，水利、环境和公共设施管理业，卫生和社会工作，文化、体育和娱乐业等企业法人单位；4为其他企业。</w:t>
      </w:r>
    </w:p>
    <w:p/>
    <w:sectPr>
      <w:pgSz w:w="16838" w:h="11906" w:orient="landscape"/>
      <w:pgMar w:top="1797" w:right="873" w:bottom="1797" w:left="873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liOWM2MzNlZjk4NTNhNjlmZThmZjcxNGE1Y2Q0ZmIifQ=="/>
  </w:docVars>
  <w:rsids>
    <w:rsidRoot w:val="602F70E0"/>
    <w:rsid w:val="3B105421"/>
    <w:rsid w:val="602F70E0"/>
    <w:rsid w:val="77910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2023-07-29T04:32:00Z</dcterms:created>
  <dc:creator>'Always</dc:creator>
  <cp:lastModifiedBy>qinlei</cp:lastModifiedBy>
  <dcterms:modified xsi:type="dcterms:W3CDTF">2023-07-31T07:12:20Z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692E90389D004C919AA38FC81A2C77AA_11</vt:lpwstr>
  </property>
</Properties>
</file>