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hd w:val="clear" w:color="auto" w:fill="FFFFFF"/>
        <w:spacing w:before="0" w:after="0" w:line="520" w:lineRule="exact"/>
        <w:jc w:val="center"/>
        <w:rPr>
          <w:rFonts w:hint="default" w:ascii="Times New Roman" w:hAnsi="Times New Roman" w:eastAsia="方正小标宋简体" w:cs="Times New Roman"/>
          <w:b w:val="0"/>
          <w:bCs w:val="0"/>
          <w:color w:val="000000"/>
          <w:sz w:val="44"/>
          <w:szCs w:val="44"/>
          <w:shd w:val="clear" w:color="auto" w:fill="FFFFFF"/>
        </w:rPr>
      </w:pPr>
      <w:r>
        <w:rPr>
          <w:rFonts w:hint="default" w:ascii="Times New Roman" w:hAnsi="Times New Roman" w:eastAsia="方正小标宋简体" w:cs="Times New Roman"/>
          <w:b w:val="0"/>
          <w:bCs w:val="0"/>
          <w:color w:val="000000"/>
          <w:sz w:val="44"/>
          <w:szCs w:val="44"/>
          <w:shd w:val="clear" w:color="auto" w:fill="FFFFFF"/>
        </w:rPr>
        <w:t>淄博市淄川区科学技术局</w:t>
      </w:r>
    </w:p>
    <w:p>
      <w:pPr>
        <w:pStyle w:val="3"/>
        <w:keepNext w:val="0"/>
        <w:keepLines w:val="0"/>
        <w:widowControl/>
        <w:shd w:val="clear" w:color="auto" w:fill="FFFFFF"/>
        <w:spacing w:before="0" w:after="0" w:line="520" w:lineRule="exact"/>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shd w:val="clear" w:color="auto" w:fill="FFFFFF"/>
        </w:rPr>
        <w:t>2022年政府信息公开工作年度报告</w:t>
      </w:r>
    </w:p>
    <w:p>
      <w:pPr>
        <w:spacing w:line="520" w:lineRule="exact"/>
        <w:ind w:firstLine="640" w:firstLineChars="200"/>
        <w:rPr>
          <w:rFonts w:hint="default" w:ascii="Times New Roman" w:hAnsi="Times New Roman" w:eastAsia="仿宋_GB2312" w:cs="Times New Roman"/>
          <w:sz w:val="32"/>
          <w:szCs w:val="32"/>
        </w:rPr>
      </w:pPr>
    </w:p>
    <w:p>
      <w:pPr>
        <w:pStyle w:val="8"/>
        <w:widowControl/>
        <w:spacing w:before="0" w:beforeAutospacing="0" w:after="0" w:afterAutospacing="0" w:line="560" w:lineRule="exact"/>
        <w:ind w:firstLine="640"/>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r>
        <w:rPr>
          <w:rFonts w:hint="default" w:ascii="Times New Roman" w:hAnsi="Times New Roman" w:eastAsia="仿宋_GB2312"/>
          <w:sz w:val="32"/>
        </w:rPr>
        <w:t>本报告由总体情况、主动公开政府信息情况、收到和处理政府信息公开申请情况、因政府信息公开工作被申请行政复议和提起行政诉讼情况、存在的主要问题及改进情况、其他需要报告的事项组成。</w:t>
      </w:r>
      <w:r>
        <w:rPr>
          <w:rFonts w:hint="default" w:ascii="Times New Roman" w:hAnsi="Times New Roman" w:eastAsia="仿宋_GB2312" w:cs="Times New Roman"/>
          <w:sz w:val="32"/>
          <w:szCs w:val="32"/>
        </w:rPr>
        <w:t>本报告中所列数据的统计期限自2022年1月1日起，至2022年12月31日止。</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如对报告内容有疑问，请与淄博市淄川区科学技术局联系（</w:t>
      </w:r>
      <w:r>
        <w:rPr>
          <w:rFonts w:hint="default" w:ascii="Times New Roman" w:hAnsi="Times New Roman" w:eastAsia="仿宋_GB2312" w:cs="Times New Roman"/>
          <w:i w:val="0"/>
          <w:caps w:val="0"/>
          <w:color w:val="000000"/>
          <w:spacing w:val="0"/>
          <w:sz w:val="32"/>
          <w:szCs w:val="32"/>
          <w:shd w:val="clear" w:fill="FFFFFF"/>
        </w:rPr>
        <w:t>地址：山东省淄博市淄川区般阳路78号</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邮编：255100</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电话：0533-5181027</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邮箱：kjj5181027@zb.shandong.cn</w:t>
      </w:r>
      <w:r>
        <w:rPr>
          <w:rFonts w:hint="default" w:ascii="Times New Roman" w:hAnsi="Times New Roman" w:eastAsia="仿宋_GB2312" w:cs="Times New Roman"/>
          <w:i w:val="0"/>
          <w:caps w:val="0"/>
          <w:color w:val="000000"/>
          <w:spacing w:val="0"/>
          <w:sz w:val="32"/>
          <w:szCs w:val="32"/>
          <w:shd w:val="clear" w:fill="FFFFFF"/>
          <w:lang w:eastAsia="zh-CN"/>
        </w:rPr>
        <w:t>）。</w:t>
      </w:r>
    </w:p>
    <w:p>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spacing w:line="52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color w:val="000000"/>
          <w:sz w:val="32"/>
          <w:lang w:val="en-US" w:eastAsia="zh-CN"/>
        </w:rPr>
        <w:t>2022年区科技局</w:t>
      </w:r>
      <w:r>
        <w:rPr>
          <w:rFonts w:hint="default" w:ascii="Times New Roman" w:hAnsi="Times New Roman" w:eastAsia="仿宋_GB2312" w:cs="Times New Roman"/>
          <w:bCs/>
          <w:color w:val="000000"/>
          <w:sz w:val="32"/>
        </w:rPr>
        <w:t>严格落实</w:t>
      </w:r>
      <w:r>
        <w:rPr>
          <w:rFonts w:hint="default" w:ascii="Times New Roman" w:hAnsi="Times New Roman" w:eastAsia="仿宋_GB2312" w:cs="Times New Roman"/>
          <w:bCs/>
          <w:color w:val="000000"/>
          <w:sz w:val="32"/>
          <w:lang w:eastAsia="zh-CN"/>
        </w:rPr>
        <w:t>上级</w:t>
      </w:r>
      <w:r>
        <w:rPr>
          <w:rFonts w:hint="default" w:ascii="Times New Roman" w:hAnsi="Times New Roman" w:eastAsia="仿宋_GB2312" w:cs="Times New Roman"/>
          <w:bCs/>
          <w:color w:val="000000"/>
          <w:sz w:val="32"/>
        </w:rPr>
        <w:t>对政务公开工作的部署要求，着力提升政务公开质量，加强信息发布、解读和回应工作</w:t>
      </w:r>
      <w:r>
        <w:rPr>
          <w:rFonts w:hint="default" w:ascii="Times New Roman" w:hAnsi="Times New Roman" w:eastAsia="仿宋_GB2312" w:cs="Times New Roman"/>
          <w:bCs/>
          <w:color w:val="000000"/>
          <w:sz w:val="32"/>
          <w:lang w:eastAsia="zh-CN"/>
        </w:rPr>
        <w:t>。</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（一）主动公开情况。2022年度，通过淄川区人民政府门户网站公开信息53条，对政务服务工作起到了较好的宣传作用。</w:t>
      </w:r>
    </w:p>
    <w:p>
      <w:pPr>
        <w:ind w:firstLine="420" w:firstLineChars="200"/>
        <w:rPr>
          <w:rFonts w:hint="default" w:ascii="Times New Roman" w:hAnsi="Times New Roman" w:eastAsia="仿宋_GB2312" w:cs="Times New Roman"/>
          <w:sz w:val="32"/>
          <w:szCs w:val="32"/>
        </w:rPr>
      </w:pPr>
      <w:r>
        <w:rPr>
          <w:rFonts w:hint="default" w:ascii="Times New Roman" w:hAnsi="Times New Roman" w:cs="Times New Roman"/>
        </w:rPr>
        <w:drawing>
          <wp:inline distT="0" distB="0" distL="0" distR="0">
            <wp:extent cx="5616575" cy="5542915"/>
            <wp:effectExtent l="0" t="0" r="317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616575" cy="5542915"/>
                    </a:xfrm>
                    <a:prstGeom prst="rect">
                      <a:avLst/>
                    </a:prstGeom>
                  </pic:spPr>
                </pic:pic>
              </a:graphicData>
            </a:graphic>
          </wp:inline>
        </w:drawing>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（二）依申请公开情况。我局高度重视依申请公开工作，及时更新发布依申请公开指南，切实保障群众的知情权与监督权。2022年度，我局未收到和处理政府信息依申请公开申请。</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（三）政务信息管理。贯彻落实信息公开相关政策，对政务公开栏目及时进行充实更新，严格落实信息发布“三审”制度，积极抓好错敏信息整改，不断强化信息管理。</w:t>
      </w:r>
    </w:p>
    <w:p>
      <w:pPr>
        <w:spacing w:line="520" w:lineRule="exact"/>
        <w:ind w:firstLine="640" w:firstLineChars="200"/>
        <w:rPr>
          <w:rFonts w:hint="default" w:ascii="Times New Roman" w:hAnsi="Times New Roman" w:eastAsia="仿宋_GB2312" w:cs="Times New Roman"/>
          <w:bCs/>
          <w:color w:val="000000"/>
          <w:sz w:val="32"/>
        </w:rPr>
      </w:pPr>
      <w:r>
        <w:rPr>
          <w:rFonts w:hint="default" w:ascii="Times New Roman" w:hAnsi="Times New Roman" w:eastAsia="仿宋_GB2312" w:cs="Times New Roman"/>
          <w:bCs/>
          <w:color w:val="000000"/>
          <w:sz w:val="32"/>
        </w:rPr>
        <w:t>（四）政府信息公开平台建设。依托区政府网站、淄川科技微信公众号，结合科技工作实际情况，持续规范优化栏目设计与内容发布，精准衔接服务供给与用户需求，注重彰显科技特色。</w:t>
      </w:r>
    </w:p>
    <w:p>
      <w:pPr>
        <w:ind w:firstLine="420" w:firstLineChars="200"/>
        <w:jc w:val="center"/>
        <w:rPr>
          <w:rFonts w:hint="default" w:ascii="Times New Roman" w:hAnsi="Times New Roman" w:eastAsia="仿宋_GB2312" w:cs="Times New Roman"/>
          <w:b/>
          <w:color w:val="000000"/>
          <w:sz w:val="32"/>
        </w:rPr>
      </w:pPr>
      <w:r>
        <w:rPr>
          <w:rFonts w:hint="default" w:ascii="Times New Roman" w:hAnsi="Times New Roman" w:cs="Times New Roman"/>
        </w:rPr>
        <w:drawing>
          <wp:inline distT="0" distB="0" distL="0" distR="0">
            <wp:extent cx="3352800" cy="5162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3352800" cy="5162550"/>
                    </a:xfrm>
                    <a:prstGeom prst="rect">
                      <a:avLst/>
                    </a:prstGeom>
                  </pic:spPr>
                </pic:pic>
              </a:graphicData>
            </a:graphic>
          </wp:inline>
        </w:drawing>
      </w:r>
    </w:p>
    <w:p>
      <w:pPr>
        <w:spacing w:line="520" w:lineRule="exact"/>
        <w:ind w:firstLine="640" w:firstLineChars="200"/>
        <w:rPr>
          <w:rFonts w:hint="default" w:ascii="Times New Roman" w:hAnsi="Times New Roman" w:eastAsia="仿宋_GB2312" w:cs="Times New Roman"/>
          <w:bCs/>
          <w:color w:val="000000"/>
          <w:sz w:val="32"/>
        </w:rPr>
      </w:pPr>
      <w:r>
        <w:rPr>
          <w:rFonts w:hint="default" w:ascii="Times New Roman" w:hAnsi="Times New Roman" w:eastAsia="仿宋_GB2312" w:cs="Times New Roman"/>
          <w:bCs/>
          <w:color w:val="000000"/>
          <w:sz w:val="32"/>
        </w:rPr>
        <w:t>（五）监督保障。认真做好政府信息公开工作，定期组织人员学习《条例》等与政务公开工作相关的法律法规，按要求参加政务公开工作培训。</w:t>
      </w:r>
    </w:p>
    <w:p>
      <w:pPr>
        <w:tabs>
          <w:tab w:val="center" w:pos="6778"/>
          <w:tab w:val="left" w:pos="10980"/>
        </w:tabs>
        <w:ind w:firstLine="640" w:firstLineChars="200"/>
        <w:jc w:val="left"/>
        <w:rPr>
          <w:rFonts w:hint="default" w:ascii="Times New Roman" w:hAnsi="Times New Roman" w:cs="Times New Roman"/>
          <w:sz w:val="32"/>
          <w:szCs w:val="32"/>
        </w:rPr>
      </w:pPr>
      <w:r>
        <w:rPr>
          <w:rFonts w:hint="default" w:ascii="Times New Roman" w:hAnsi="Times New Roman" w:eastAsia="黑体" w:cs="Times New Roman"/>
          <w:color w:val="000000"/>
          <w:sz w:val="32"/>
          <w:szCs w:val="32"/>
          <w:shd w:val="clear" w:color="auto" w:fill="FFFFFF"/>
        </w:rPr>
        <w:t>二、主动公开政府信息情况</w:t>
      </w:r>
    </w:p>
    <w:p>
      <w:pPr>
        <w:spacing w:line="600" w:lineRule="exact"/>
        <w:jc w:val="center"/>
        <w:rPr>
          <w:rFonts w:hint="default" w:ascii="Times New Roman" w:hAnsi="Times New Roman" w:eastAsia="方正小标宋简体" w:cs="Times New Roman"/>
          <w:sz w:val="44"/>
          <w:szCs w:val="44"/>
        </w:rPr>
      </w:pPr>
    </w:p>
    <w:tbl>
      <w:tblPr>
        <w:tblStyle w:val="9"/>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hint="default" w:ascii="Times New Roman" w:hAnsi="Times New Roman" w:cs="Times New Roman"/>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rPr>
            </w:pPr>
            <w:r>
              <w:rPr>
                <w:rFonts w:hint="default" w:ascii="Times New Roman" w:hAnsi="Times New Roman" w:cs="Times New Roman"/>
              </w:rPr>
              <w:t>0</w:t>
            </w:r>
          </w:p>
        </w:tc>
      </w:tr>
    </w:tbl>
    <w:p>
      <w:pPr>
        <w:ind w:firstLine="640" w:firstLineChars="200"/>
        <w:rPr>
          <w:rFonts w:hint="default" w:ascii="Times New Roman" w:hAnsi="Times New Roman" w:eastAsia="黑体" w:cs="Times New Roman"/>
          <w:bCs/>
          <w:color w:val="000000"/>
          <w:sz w:val="32"/>
        </w:rPr>
      </w:pPr>
      <w:r>
        <w:rPr>
          <w:rFonts w:hint="default" w:ascii="Times New Roman" w:hAnsi="Times New Roman" w:eastAsia="黑体" w:cs="Times New Roman"/>
          <w:bCs/>
          <w:color w:val="000000"/>
          <w:sz w:val="32"/>
        </w:rPr>
        <w:t>三、收到和处理政府信息公开申请情况</w:t>
      </w:r>
    </w:p>
    <w:tbl>
      <w:tblPr>
        <w:tblStyle w:val="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楷体_GB2312" w:cs="Times New Roman"/>
                <w:color w:val="000000"/>
              </w:rPr>
            </w:pPr>
            <w:r>
              <w:rPr>
                <w:rFonts w:hint="default" w:ascii="Times New Roman" w:hAnsi="Times New Roman" w:eastAsia="楷体_GB2312" w:cs="Times New Roman"/>
                <w:color w:val="000000"/>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bl>
    <w:p>
      <w:pPr>
        <w:ind w:firstLine="480" w:firstLineChars="200"/>
        <w:rPr>
          <w:rFonts w:hint="default" w:ascii="Times New Roman" w:hAnsi="Times New Roman" w:cs="Times New Roman"/>
        </w:rPr>
      </w:pPr>
      <w:r>
        <w:rPr>
          <w:rFonts w:hint="default" w:ascii="Times New Roman" w:hAnsi="Times New Roman" w:cs="Times New Roman"/>
          <w:sz w:val="24"/>
        </w:rPr>
        <w:br w:type="page"/>
      </w:r>
      <w:r>
        <w:rPr>
          <w:rFonts w:hint="default" w:ascii="Times New Roman" w:hAnsi="Times New Roman" w:eastAsia="黑体" w:cs="Times New Roman"/>
          <w:bCs/>
          <w:color w:val="000000"/>
          <w:sz w:val="32"/>
        </w:rPr>
        <w:t>四、政府信息公开工作被申请行政复议、提起行政诉讼情况</w:t>
      </w:r>
    </w:p>
    <w:tbl>
      <w:tblPr>
        <w:tblStyle w:val="9"/>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eastAsia="黑体" w:cs="Times New Roman"/>
                <w:color w:val="000000"/>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eastAsia="黑体" w:cs="Times New Roman"/>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eastAsia="黑体" w:cs="Times New Roman"/>
                <w:color w:val="000000"/>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eastAsia="黑体" w:cs="Times New Roman"/>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0</w:t>
            </w:r>
          </w:p>
        </w:tc>
      </w:tr>
    </w:tbl>
    <w:p>
      <w:pPr>
        <w:spacing w:line="520" w:lineRule="exact"/>
        <w:ind w:firstLine="640" w:firstLineChars="200"/>
        <w:rPr>
          <w:rFonts w:hint="default" w:ascii="Times New Roman" w:hAnsi="Times New Roman" w:eastAsia="黑体" w:cs="Times New Roman"/>
          <w:bCs/>
          <w:color w:val="000000"/>
          <w:sz w:val="32"/>
        </w:rPr>
      </w:pPr>
      <w:r>
        <w:rPr>
          <w:rFonts w:hint="default" w:ascii="Times New Roman" w:hAnsi="Times New Roman" w:eastAsia="黑体" w:cs="Times New Roman"/>
          <w:bCs/>
          <w:color w:val="000000"/>
          <w:sz w:val="32"/>
        </w:rPr>
        <w:t>五、存在主要问题及改进情况</w:t>
      </w:r>
    </w:p>
    <w:p>
      <w:pPr>
        <w:ind w:firstLine="640" w:firstLineChars="200"/>
        <w:rPr>
          <w:rFonts w:hint="default" w:ascii="Times New Roman" w:hAnsi="Times New Roman" w:eastAsia="仿宋_GB2312" w:cs="Times New Roman"/>
          <w:bCs/>
          <w:color w:val="000000"/>
          <w:sz w:val="32"/>
        </w:rPr>
      </w:pPr>
      <w:r>
        <w:rPr>
          <w:rFonts w:hint="default" w:ascii="Times New Roman" w:hAnsi="Times New Roman" w:eastAsia="仿宋_GB2312" w:cs="Times New Roman"/>
          <w:bCs/>
          <w:color w:val="000000"/>
          <w:sz w:val="32"/>
        </w:rPr>
        <w:t>2022年，我局高度重视政务公开工作，政府信息公开工作运行状况良好，但也存在一些问题和不足，主要是内容不够详实，形式不够丰富；个别专栏更新不够及时，维护还不够到位。</w:t>
      </w:r>
    </w:p>
    <w:p>
      <w:pPr>
        <w:ind w:firstLine="640" w:firstLineChars="200"/>
        <w:rPr>
          <w:rFonts w:hint="default" w:ascii="Times New Roman" w:hAnsi="Times New Roman" w:eastAsia="仿宋_GB2312" w:cs="Times New Roman"/>
          <w:bCs/>
          <w:color w:val="000000"/>
          <w:sz w:val="32"/>
          <w:lang w:eastAsia="zh-CN"/>
        </w:rPr>
      </w:pPr>
      <w:r>
        <w:rPr>
          <w:rFonts w:hint="default" w:ascii="Times New Roman" w:hAnsi="Times New Roman" w:eastAsia="仿宋_GB2312" w:cs="Times New Roman"/>
          <w:bCs/>
          <w:color w:val="000000"/>
          <w:sz w:val="32"/>
          <w:lang w:eastAsia="zh-CN"/>
        </w:rPr>
        <w:t>改进情况：</w:t>
      </w:r>
    </w:p>
    <w:p>
      <w:pPr>
        <w:ind w:firstLine="640" w:firstLineChars="200"/>
        <w:rPr>
          <w:rFonts w:hint="default" w:ascii="Times New Roman" w:hAnsi="Times New Roman" w:eastAsia="仿宋_GB2312" w:cs="Times New Roman"/>
          <w:bCs/>
          <w:color w:val="000000"/>
          <w:sz w:val="32"/>
        </w:rPr>
      </w:pPr>
      <w:r>
        <w:rPr>
          <w:rFonts w:hint="default" w:ascii="Times New Roman" w:hAnsi="Times New Roman" w:eastAsia="仿宋_GB2312" w:cs="Times New Roman"/>
          <w:bCs/>
          <w:color w:val="000000"/>
          <w:sz w:val="32"/>
        </w:rPr>
        <w:t>1.强化学习宣传。认真贯彻落实《中华人民共和国政府信息公开条例》和有关法律法规精神。</w:t>
      </w:r>
    </w:p>
    <w:p>
      <w:pPr>
        <w:ind w:firstLine="640" w:firstLineChars="200"/>
        <w:rPr>
          <w:rFonts w:hint="default" w:ascii="Times New Roman" w:hAnsi="Times New Roman" w:eastAsia="仿宋_GB2312" w:cs="Times New Roman"/>
          <w:bCs/>
          <w:color w:val="000000"/>
          <w:sz w:val="32"/>
        </w:rPr>
      </w:pPr>
      <w:r>
        <w:rPr>
          <w:rFonts w:hint="default" w:ascii="Times New Roman" w:hAnsi="Times New Roman" w:eastAsia="仿宋_GB2312" w:cs="Times New Roman"/>
          <w:bCs/>
          <w:color w:val="000000"/>
          <w:sz w:val="32"/>
        </w:rPr>
        <w:t>2.充实信息公开内容，不断提升政府信息公开工作质量。</w:t>
      </w:r>
    </w:p>
    <w:p>
      <w:pPr>
        <w:spacing w:line="520" w:lineRule="exact"/>
        <w:rPr>
          <w:rFonts w:hint="default" w:ascii="Times New Roman" w:hAnsi="Times New Roman" w:eastAsia="仿宋_GB2312" w:cs="Times New Roman"/>
          <w:bCs/>
          <w:color w:val="000000"/>
          <w:sz w:val="32"/>
        </w:rPr>
      </w:pPr>
      <w:r>
        <w:rPr>
          <w:rFonts w:hint="default" w:ascii="Times New Roman" w:hAnsi="Times New Roman" w:eastAsia="仿宋_GB2312" w:cs="Times New Roman"/>
          <w:bCs/>
          <w:color w:val="000000"/>
          <w:sz w:val="32"/>
        </w:rPr>
        <w:t xml:space="preserve">    3.加大工作人员培训力度，提高政务公开工作水平，推进政务公开落到实处。</w:t>
      </w:r>
    </w:p>
    <w:p>
      <w:pPr>
        <w:spacing w:line="520" w:lineRule="exact"/>
        <w:ind w:firstLine="640" w:firstLineChars="200"/>
        <w:rPr>
          <w:rFonts w:hint="default" w:ascii="Times New Roman" w:hAnsi="Times New Roman" w:eastAsia="黑体" w:cs="Times New Roman"/>
          <w:bCs/>
          <w:color w:val="000000"/>
          <w:sz w:val="32"/>
        </w:rPr>
      </w:pPr>
      <w:r>
        <w:rPr>
          <w:rFonts w:hint="default" w:ascii="Times New Roman" w:hAnsi="Times New Roman" w:eastAsia="黑体" w:cs="Times New Roman"/>
          <w:bCs/>
          <w:color w:val="000000"/>
          <w:sz w:val="32"/>
        </w:rPr>
        <w:t>六、其他需要报告的事项</w:t>
      </w:r>
    </w:p>
    <w:p>
      <w:pPr>
        <w:ind w:firstLine="640" w:firstLineChars="200"/>
        <w:rPr>
          <w:rFonts w:hint="default" w:ascii="Times New Roman" w:hAnsi="Times New Roman" w:eastAsia="仿宋_GB2312" w:cs="Times New Roman"/>
          <w:bCs/>
          <w:color w:val="000000"/>
          <w:sz w:val="32"/>
        </w:rPr>
      </w:pPr>
      <w:r>
        <w:rPr>
          <w:rFonts w:hint="default" w:ascii="Times New Roman" w:hAnsi="Times New Roman" w:eastAsia="楷体" w:cs="Times New Roman"/>
          <w:bCs/>
          <w:color w:val="000000"/>
          <w:sz w:val="32"/>
        </w:rPr>
        <w:t>1、收取信息处理费情况</w:t>
      </w:r>
      <w:r>
        <w:rPr>
          <w:rFonts w:hint="default" w:ascii="Times New Roman" w:hAnsi="Times New Roman" w:eastAsia="仿宋_GB2312" w:cs="Times New Roman"/>
          <w:bCs/>
          <w:color w:val="000000"/>
          <w:sz w:val="32"/>
        </w:rPr>
        <w:t>。按照《国务院办公厅关于印发&lt;政府信息公开信息处理费管理办法&gt;的通知》（国办函〔2020〕109号）和《山东省人民政府办公厅关于做好政府信息公开信息处理费管理工作有关事项的通知》（鲁政办字〔2020〕179号）收取信息处理费。2022年本机关依申请公开政府信息未收取任何费用。</w:t>
      </w:r>
    </w:p>
    <w:p>
      <w:pPr>
        <w:ind w:firstLine="640" w:firstLineChars="200"/>
        <w:rPr>
          <w:rFonts w:hint="default" w:ascii="Times New Roman" w:hAnsi="Times New Roman" w:eastAsia="仿宋_GB2312" w:cs="Times New Roman"/>
          <w:bCs/>
          <w:color w:val="000000"/>
          <w:sz w:val="32"/>
        </w:rPr>
      </w:pPr>
      <w:r>
        <w:rPr>
          <w:rFonts w:hint="default" w:ascii="Times New Roman" w:hAnsi="Times New Roman" w:eastAsia="楷体" w:cs="Times New Roman"/>
          <w:bCs/>
          <w:color w:val="000000"/>
          <w:sz w:val="32"/>
        </w:rPr>
        <w:t>2、落实上级年度政务公开工作要点情况。</w:t>
      </w:r>
      <w:r>
        <w:rPr>
          <w:rFonts w:hint="default" w:ascii="Times New Roman" w:hAnsi="Times New Roman" w:eastAsia="仿宋_GB2312" w:cs="Times New Roman"/>
          <w:bCs/>
          <w:color w:val="000000"/>
          <w:sz w:val="32"/>
        </w:rPr>
        <w:t>严格落实省、市、区各级政府对政务公开工作的部署要求，按照《淄川区人民政府办公室关于印发2022年淄川区政务公开工作实施方案的通知》任务分工，迅速对我局2022年政务公开重点工作进行分工，着力提升政务公开质量，加强信息发布、解读和回应工作，形成责任分工表，将责任具体到科室。</w:t>
      </w:r>
    </w:p>
    <w:p>
      <w:pPr>
        <w:ind w:firstLine="640" w:firstLineChars="200"/>
        <w:rPr>
          <w:rFonts w:hint="default" w:ascii="Times New Roman" w:hAnsi="Times New Roman" w:eastAsia="仿宋_GB2312" w:cs="Times New Roman"/>
          <w:bCs/>
          <w:color w:val="000000"/>
          <w:sz w:val="32"/>
        </w:rPr>
      </w:pPr>
      <w:r>
        <w:rPr>
          <w:rFonts w:hint="default" w:ascii="Times New Roman" w:hAnsi="Times New Roman" w:eastAsia="楷体" w:cs="Times New Roman"/>
          <w:kern w:val="0"/>
          <w:sz w:val="32"/>
          <w:szCs w:val="32"/>
        </w:rPr>
        <w:t>3、人大代表建议和政协提案办理结果公开情况。</w:t>
      </w:r>
      <w:r>
        <w:rPr>
          <w:rFonts w:hint="default" w:ascii="Times New Roman" w:hAnsi="Times New Roman" w:eastAsia="仿宋_GB2312" w:cs="Times New Roman"/>
          <w:bCs/>
          <w:color w:val="000000"/>
          <w:sz w:val="32"/>
        </w:rPr>
        <w:t>2022年区科技局收到人大建议2件，政协提案0件，人大建议答复文件按法定程序面复代表，面复率100%，办复率100%，代表满意率达100%。2022年未有上级建议提案办理任务。</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rightChars="0" w:firstLine="640" w:firstLineChars="200"/>
        <w:jc w:val="both"/>
        <w:rPr>
          <w:rFonts w:hint="default" w:ascii="Times New Roman" w:hAnsi="Times New Roman" w:eastAsia="仿宋_GB2312" w:cs="Times New Roman"/>
          <w:i w:val="0"/>
          <w:iCs w:val="0"/>
          <w:caps w:val="0"/>
          <w:color w:val="000000"/>
          <w:spacing w:val="0"/>
          <w:sz w:val="32"/>
          <w:szCs w:val="32"/>
          <w:highlight w:val="red"/>
        </w:rPr>
      </w:pPr>
      <w:r>
        <w:rPr>
          <w:rFonts w:hint="default"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楷体" w:cs="Times New Roman"/>
          <w:i w:val="0"/>
          <w:iCs w:val="0"/>
          <w:caps w:val="0"/>
          <w:color w:val="000000"/>
          <w:spacing w:val="0"/>
          <w:sz w:val="32"/>
          <w:szCs w:val="32"/>
        </w:rPr>
        <w:t>政务公开工作创新情况</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一是创新政务公开工作方式，举办线</w:t>
      </w:r>
      <w:r>
        <w:rPr>
          <w:rFonts w:hint="default" w:ascii="Times New Roman" w:hAnsi="Times New Roman" w:eastAsia="仿宋_GB2312" w:cs="Times New Roman"/>
          <w:i w:val="0"/>
          <w:iCs w:val="0"/>
          <w:caps w:val="0"/>
          <w:color w:val="000000"/>
          <w:spacing w:val="0"/>
          <w:sz w:val="32"/>
          <w:szCs w:val="32"/>
          <w:lang w:eastAsia="zh-CN"/>
        </w:rPr>
        <w:t>下</w:t>
      </w:r>
      <w:r>
        <w:rPr>
          <w:rFonts w:hint="default" w:ascii="Times New Roman" w:hAnsi="Times New Roman" w:eastAsia="仿宋_GB2312" w:cs="Times New Roman"/>
          <w:i w:val="0"/>
          <w:iCs w:val="0"/>
          <w:caps w:val="0"/>
          <w:color w:val="000000"/>
          <w:spacing w:val="0"/>
          <w:sz w:val="32"/>
          <w:szCs w:val="32"/>
        </w:rPr>
        <w:t>政策解读培训会推进科技型企业培育工作。</w:t>
      </w:r>
      <w:r>
        <w:rPr>
          <w:rFonts w:hint="default" w:ascii="Times New Roman" w:hAnsi="Times New Roman" w:eastAsia="仿宋_GB2312" w:cs="Times New Roman"/>
          <w:i w:val="0"/>
          <w:iCs w:val="0"/>
          <w:caps w:val="0"/>
          <w:color w:val="000000"/>
          <w:spacing w:val="0"/>
          <w:sz w:val="32"/>
          <w:szCs w:val="32"/>
          <w:lang w:eastAsia="zh-CN"/>
        </w:rPr>
        <w:t>淄川区</w:t>
      </w:r>
      <w:r>
        <w:rPr>
          <w:rFonts w:hint="default" w:ascii="Times New Roman" w:hAnsi="Times New Roman" w:eastAsia="仿宋_GB2312" w:cs="Times New Roman"/>
          <w:i w:val="0"/>
          <w:iCs w:val="0"/>
          <w:caps w:val="0"/>
          <w:color w:val="000000"/>
          <w:spacing w:val="0"/>
          <w:sz w:val="32"/>
          <w:szCs w:val="32"/>
        </w:rPr>
        <w:t>科技局联合</w:t>
      </w:r>
      <w:r>
        <w:rPr>
          <w:rFonts w:hint="default" w:ascii="Times New Roman" w:hAnsi="Times New Roman" w:eastAsia="仿宋_GB2312" w:cs="Times New Roman"/>
          <w:i w:val="0"/>
          <w:iCs w:val="0"/>
          <w:caps w:val="0"/>
          <w:color w:val="000000"/>
          <w:spacing w:val="0"/>
          <w:sz w:val="32"/>
          <w:szCs w:val="32"/>
          <w:lang w:eastAsia="zh-CN"/>
        </w:rPr>
        <w:t>各镇办街道</w:t>
      </w:r>
      <w:r>
        <w:rPr>
          <w:rFonts w:hint="default" w:ascii="Times New Roman" w:hAnsi="Times New Roman" w:eastAsia="仿宋_GB2312" w:cs="Times New Roman"/>
          <w:i w:val="0"/>
          <w:iCs w:val="0"/>
          <w:caps w:val="0"/>
          <w:color w:val="000000"/>
          <w:spacing w:val="0"/>
          <w:sz w:val="32"/>
          <w:szCs w:val="32"/>
        </w:rPr>
        <w:t>共同举办4场高新技术企业暨技术合同认定登记专题培训会</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广泛宣传、积极发动，</w:t>
      </w:r>
      <w:r>
        <w:rPr>
          <w:rFonts w:hint="default" w:ascii="Times New Roman" w:hAnsi="Times New Roman" w:eastAsia="仿宋_GB2312" w:cs="Times New Roman"/>
          <w:i w:val="0"/>
          <w:iCs w:val="0"/>
          <w:caps w:val="0"/>
          <w:color w:val="000000"/>
          <w:spacing w:val="0"/>
          <w:sz w:val="32"/>
          <w:szCs w:val="32"/>
          <w:lang w:eastAsia="zh-CN"/>
        </w:rPr>
        <w:t>全区</w:t>
      </w:r>
      <w:r>
        <w:rPr>
          <w:rFonts w:hint="default" w:ascii="Times New Roman" w:hAnsi="Times New Roman" w:eastAsia="仿宋_GB2312" w:cs="Times New Roman"/>
          <w:i w:val="0"/>
          <w:iCs w:val="0"/>
          <w:caps w:val="0"/>
          <w:color w:val="000000"/>
          <w:spacing w:val="0"/>
          <w:sz w:val="32"/>
          <w:szCs w:val="32"/>
        </w:rPr>
        <w:t>220余家企业参加培训，参会人员达到</w:t>
      </w:r>
      <w:r>
        <w:rPr>
          <w:rFonts w:hint="default" w:ascii="Times New Roman" w:hAnsi="Times New Roman" w:eastAsia="微软雅黑" w:cs="Times New Roman"/>
          <w:i w:val="0"/>
          <w:iCs w:val="0"/>
          <w:caps w:val="0"/>
          <w:color w:val="000000"/>
          <w:spacing w:val="0"/>
          <w:sz w:val="32"/>
          <w:szCs w:val="32"/>
        </w:rPr>
        <w:t>1400</w:t>
      </w:r>
      <w:r>
        <w:rPr>
          <w:rFonts w:hint="default" w:ascii="Times New Roman" w:hAnsi="Times New Roman" w:eastAsia="仿宋_GB2312" w:cs="Times New Roman"/>
          <w:i w:val="0"/>
          <w:iCs w:val="0"/>
          <w:caps w:val="0"/>
          <w:color w:val="000000"/>
          <w:spacing w:val="0"/>
          <w:sz w:val="32"/>
          <w:szCs w:val="32"/>
        </w:rPr>
        <w:t>余人。采用</w:t>
      </w:r>
      <w:r>
        <w:rPr>
          <w:rFonts w:hint="default" w:ascii="Times New Roman" w:hAnsi="Times New Roman" w:eastAsia="仿宋_GB2312" w:cs="Times New Roman"/>
          <w:i w:val="0"/>
          <w:iCs w:val="0"/>
          <w:caps w:val="0"/>
          <w:color w:val="000000"/>
          <w:spacing w:val="0"/>
          <w:sz w:val="32"/>
          <w:szCs w:val="32"/>
          <w:lang w:eastAsia="zh-CN"/>
        </w:rPr>
        <w:t>发放惠企政策指导、现场</w:t>
      </w:r>
      <w:r>
        <w:rPr>
          <w:rFonts w:hint="default" w:ascii="Times New Roman" w:hAnsi="Times New Roman" w:eastAsia="仿宋_GB2312" w:cs="Times New Roman"/>
          <w:i w:val="0"/>
          <w:iCs w:val="0"/>
          <w:caps w:val="0"/>
          <w:color w:val="000000"/>
          <w:spacing w:val="0"/>
          <w:sz w:val="32"/>
          <w:szCs w:val="32"/>
        </w:rPr>
        <w:t>答疑、回放结合方式，</w:t>
      </w:r>
      <w:r>
        <w:rPr>
          <w:rFonts w:hint="default" w:ascii="Times New Roman" w:hAnsi="Times New Roman" w:eastAsia="仿宋_GB2312" w:cs="Times New Roman"/>
          <w:i w:val="0"/>
          <w:iCs w:val="0"/>
          <w:caps w:val="0"/>
          <w:color w:val="000000"/>
          <w:spacing w:val="0"/>
          <w:sz w:val="32"/>
          <w:szCs w:val="32"/>
          <w:lang w:eastAsia="zh-CN"/>
        </w:rPr>
        <w:t>对高新技术企业申报、科技型中小企业入库评价、技术合同认定登记的业务流程进行了专业解读，帮助企业吃透政策要义、把握标准要求、学会实务操作。</w:t>
      </w:r>
      <w:r>
        <w:rPr>
          <w:rFonts w:hint="default" w:ascii="Times New Roman" w:hAnsi="Times New Roman" w:eastAsia="仿宋_GB2312" w:cs="Times New Roman"/>
          <w:i w:val="0"/>
          <w:iCs w:val="0"/>
          <w:caps w:val="0"/>
          <w:color w:val="000000"/>
          <w:spacing w:val="0"/>
          <w:sz w:val="32"/>
          <w:szCs w:val="32"/>
        </w:rPr>
        <w:t>确保在疫情防控期间，惠企政策宣传不间断，科技型企业培育质量不降低，为全区企业科技创新发展奠定了扎实基础。二是创新政务公开方式，采取“走出去”召开对接洽谈会的形式宣传我</w:t>
      </w:r>
      <w:r>
        <w:rPr>
          <w:rFonts w:hint="default" w:ascii="Times New Roman" w:hAnsi="Times New Roman" w:eastAsia="仿宋_GB2312" w:cs="Times New Roman"/>
          <w:i w:val="0"/>
          <w:iCs w:val="0"/>
          <w:caps w:val="0"/>
          <w:color w:val="000000"/>
          <w:spacing w:val="0"/>
          <w:sz w:val="32"/>
          <w:szCs w:val="32"/>
          <w:lang w:eastAsia="zh-CN"/>
        </w:rPr>
        <w:t>区</w:t>
      </w:r>
      <w:r>
        <w:rPr>
          <w:rFonts w:hint="default" w:ascii="Times New Roman" w:hAnsi="Times New Roman" w:eastAsia="仿宋_GB2312" w:cs="Times New Roman"/>
          <w:i w:val="0"/>
          <w:iCs w:val="0"/>
          <w:caps w:val="0"/>
          <w:color w:val="000000"/>
          <w:spacing w:val="0"/>
          <w:sz w:val="32"/>
          <w:szCs w:val="32"/>
        </w:rPr>
        <w:t>科技创新政策，加强市外校城融合产业项目对接洽谈。5月10</w:t>
      </w:r>
      <w:r>
        <w:rPr>
          <w:rFonts w:hint="default" w:ascii="Times New Roman" w:hAnsi="Times New Roman" w:eastAsia="仿宋_GB2312"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rPr>
        <w:t>11日，我区组织到青岛，与山东科技大学、青岛理工大学等高校院所进行对接交流。通过参观和对接洽谈，使科技部门工作人员与企业家们进一步开阔了眼界、增长了知识、拓宽了思路、增强了创新意识，同时加深了淄川区与青岛方向高校院所之间的沟通联系，为深化科教创新赋能、推动校城融合发展助力加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jc w:val="both"/>
        <w:rPr>
          <w:rFonts w:ascii="微软雅黑" w:hAnsi="微软雅黑" w:eastAsia="微软雅黑" w:cs="微软雅黑"/>
          <w:i w:val="0"/>
          <w:iCs w:val="0"/>
          <w:caps w:val="0"/>
          <w:color w:val="000000"/>
          <w:spacing w:val="0"/>
          <w:sz w:val="24"/>
          <w:szCs w:val="24"/>
        </w:rPr>
      </w:pPr>
      <w:r>
        <w:rPr>
          <w:rFonts w:hint="eastAsia" w:ascii="Times New Roman" w:hAnsi="Times New Roman" w:eastAsia="仿宋_GB2312" w:cs="Times New Roman"/>
          <w:i w:val="0"/>
          <w:iCs w:val="0"/>
          <w:caps w:val="0"/>
          <w:color w:val="000000"/>
          <w:spacing w:val="0"/>
          <w:sz w:val="32"/>
          <w:szCs w:val="32"/>
          <w:lang w:val="en-US" w:eastAsia="zh-CN"/>
        </w:rPr>
        <w:t>5、</w:t>
      </w:r>
      <w:r>
        <w:rPr>
          <w:rFonts w:hint="eastAsia" w:ascii="楷体" w:hAnsi="楷体" w:eastAsia="楷体" w:cs="楷体"/>
          <w:i w:val="0"/>
          <w:iCs w:val="0"/>
          <w:caps w:val="0"/>
          <w:color w:val="000000"/>
          <w:spacing w:val="0"/>
          <w:sz w:val="32"/>
          <w:szCs w:val="32"/>
        </w:rPr>
        <w:t>年报数据统计需要说明的事项</w:t>
      </w:r>
      <w:r>
        <w:rPr>
          <w:rFonts w:hint="default" w:ascii="Times New Roman" w:hAnsi="Times New Roman" w:eastAsia="仿宋_GB2312" w:cs="Times New Roman"/>
          <w:i w:val="0"/>
          <w:iCs w:val="0"/>
          <w:caps w:val="0"/>
          <w:color w:val="000000"/>
          <w:spacing w:val="0"/>
          <w:sz w:val="32"/>
          <w:szCs w:val="32"/>
        </w:rPr>
        <w:t>。无</w:t>
      </w:r>
    </w:p>
    <w:p>
      <w:pPr>
        <w:ind w:firstLine="640" w:firstLineChars="200"/>
        <w:rPr>
          <w:rFonts w:hint="default" w:ascii="Times New Roman" w:hAnsi="Times New Roman" w:eastAsia="仿宋_GB2312" w:cs="Times New Roman"/>
          <w:bCs/>
          <w:color w:val="000000"/>
          <w:sz w:val="32"/>
        </w:rPr>
      </w:pPr>
      <w:bookmarkStart w:id="0" w:name="_GoBack"/>
      <w:bookmarkEnd w:id="0"/>
    </w:p>
    <w:p>
      <w:pPr>
        <w:ind w:firstLine="640" w:firstLineChars="200"/>
        <w:rPr>
          <w:rFonts w:hint="default" w:ascii="Times New Roman" w:hAnsi="Times New Roman" w:eastAsia="仿宋_GB2312" w:cs="Times New Roman"/>
          <w:bCs/>
          <w:color w:val="000000"/>
          <w:sz w:val="32"/>
        </w:rPr>
      </w:pPr>
    </w:p>
    <w:p>
      <w:pPr>
        <w:widowControl/>
        <w:spacing w:line="600" w:lineRule="atLeast"/>
        <w:ind w:firstLine="640"/>
        <w:jc w:val="right"/>
        <w:rPr>
          <w:rFonts w:hint="default" w:ascii="Times New Roman" w:hAnsi="Times New Roman" w:eastAsia="微软雅黑" w:cs="Times New Roman"/>
          <w:color w:val="000000"/>
          <w:kern w:val="0"/>
          <w:sz w:val="24"/>
        </w:rPr>
      </w:pPr>
      <w:r>
        <w:rPr>
          <w:rFonts w:hint="default" w:ascii="Times New Roman" w:hAnsi="Times New Roman" w:eastAsia="仿宋_GB2312" w:cs="Times New Roman"/>
          <w:color w:val="000000"/>
          <w:kern w:val="0"/>
          <w:sz w:val="32"/>
          <w:szCs w:val="32"/>
        </w:rPr>
        <w:t>淄博市淄川区科学技术局</w:t>
      </w:r>
    </w:p>
    <w:p>
      <w:pPr>
        <w:widowControl/>
        <w:spacing w:line="600" w:lineRule="atLeast"/>
        <w:ind w:firstLine="640"/>
        <w:jc w:val="right"/>
        <w:rPr>
          <w:rFonts w:hint="default" w:ascii="Times New Roman" w:hAnsi="Times New Roman" w:eastAsia="微软雅黑" w:cs="Times New Roman"/>
          <w:color w:val="000000"/>
          <w:kern w:val="0"/>
          <w:sz w:val="24"/>
        </w:rPr>
      </w:pPr>
      <w:r>
        <w:rPr>
          <w:rFonts w:hint="default" w:ascii="Times New Roman" w:hAnsi="Times New Roman" w:eastAsia="微软雅黑" w:cs="Times New Roman"/>
          <w:color w:val="000000"/>
          <w:kern w:val="0"/>
          <w:sz w:val="32"/>
          <w:szCs w:val="32"/>
        </w:rPr>
        <w:t>2023</w:t>
      </w:r>
      <w:r>
        <w:rPr>
          <w:rFonts w:hint="default" w:ascii="Times New Roman" w:hAnsi="Times New Roman" w:eastAsia="仿宋_GB2312" w:cs="Times New Roman"/>
          <w:color w:val="000000"/>
          <w:kern w:val="0"/>
          <w:sz w:val="32"/>
          <w:szCs w:val="32"/>
        </w:rPr>
        <w:t>年</w:t>
      </w:r>
      <w:r>
        <w:rPr>
          <w:rFonts w:hint="default" w:ascii="Times New Roman" w:hAnsi="Times New Roman" w:eastAsia="微软雅黑" w:cs="Times New Roman"/>
          <w:color w:val="000000"/>
          <w:kern w:val="0"/>
          <w:sz w:val="32"/>
          <w:szCs w:val="32"/>
        </w:rPr>
        <w:t>1</w:t>
      </w:r>
      <w:r>
        <w:rPr>
          <w:rFonts w:hint="default" w:ascii="Times New Roman" w:hAnsi="Times New Roman" w:eastAsia="仿宋_GB2312" w:cs="Times New Roman"/>
          <w:color w:val="000000"/>
          <w:kern w:val="0"/>
          <w:sz w:val="32"/>
          <w:szCs w:val="32"/>
        </w:rPr>
        <w:t>月</w:t>
      </w:r>
      <w:r>
        <w:rPr>
          <w:rFonts w:hint="default" w:ascii="Times New Roman" w:hAnsi="Times New Roman" w:eastAsia="微软雅黑" w:cs="Times New Roman"/>
          <w:color w:val="000000"/>
          <w:kern w:val="0"/>
          <w:sz w:val="32"/>
          <w:szCs w:val="32"/>
        </w:rPr>
        <w:t>13</w:t>
      </w:r>
      <w:r>
        <w:rPr>
          <w:rFonts w:hint="default" w:ascii="Times New Roman" w:hAnsi="Times New Roman" w:eastAsia="仿宋_GB2312" w:cs="Times New Roman"/>
          <w:color w:val="000000"/>
          <w:kern w:val="0"/>
          <w:sz w:val="32"/>
          <w:szCs w:val="32"/>
        </w:rPr>
        <w:t>日</w:t>
      </w:r>
    </w:p>
    <w:p>
      <w:pPr>
        <w:ind w:firstLine="420" w:firstLineChars="200"/>
        <w:rPr>
          <w:rFonts w:hint="default" w:ascii="Times New Roman" w:hAnsi="Times New Roman" w:cs="Times New Roman"/>
        </w:rPr>
      </w:pPr>
    </w:p>
    <w:sectPr>
      <w:headerReference r:id="rId3" w:type="default"/>
      <w:footerReference r:id="rId4" w:type="default"/>
      <w:pgSz w:w="11906" w:h="16838"/>
      <w:pgMar w:top="2098" w:right="1474" w:bottom="1701" w:left="1587" w:header="851" w:footer="1020"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Mincho Light">
    <w:altName w:val="MS PMincho"/>
    <w:panose1 w:val="02020300000000000000"/>
    <w:charset w:val="80"/>
    <w:family w:val="roman"/>
    <w:pitch w:val="default"/>
    <w:sig w:usb0="00000000" w:usb1="00000000" w:usb2="00000012" w:usb3="00000000" w:csb0="0002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NTIwYWNhYWVhNDJlNjc1OTJmOGUwOTUxYTJmYTkifQ=="/>
  </w:docVars>
  <w:rsids>
    <w:rsidRoot w:val="00C523CE"/>
    <w:rsid w:val="0000776B"/>
    <w:rsid w:val="0006394F"/>
    <w:rsid w:val="0007029B"/>
    <w:rsid w:val="00074E3C"/>
    <w:rsid w:val="000907AE"/>
    <w:rsid w:val="000B66F1"/>
    <w:rsid w:val="001866C1"/>
    <w:rsid w:val="001A0340"/>
    <w:rsid w:val="001D1D05"/>
    <w:rsid w:val="001F75FD"/>
    <w:rsid w:val="00210B15"/>
    <w:rsid w:val="00275443"/>
    <w:rsid w:val="002A044E"/>
    <w:rsid w:val="002F746B"/>
    <w:rsid w:val="0030572C"/>
    <w:rsid w:val="003215E1"/>
    <w:rsid w:val="003241E5"/>
    <w:rsid w:val="00326AB6"/>
    <w:rsid w:val="0033503F"/>
    <w:rsid w:val="0034765D"/>
    <w:rsid w:val="00357DDC"/>
    <w:rsid w:val="0036485E"/>
    <w:rsid w:val="003705D7"/>
    <w:rsid w:val="00390574"/>
    <w:rsid w:val="003D25BA"/>
    <w:rsid w:val="003D64A8"/>
    <w:rsid w:val="003E277F"/>
    <w:rsid w:val="004528AF"/>
    <w:rsid w:val="004D0017"/>
    <w:rsid w:val="004E01E0"/>
    <w:rsid w:val="005460DE"/>
    <w:rsid w:val="00566EA9"/>
    <w:rsid w:val="005834CB"/>
    <w:rsid w:val="00583AFC"/>
    <w:rsid w:val="00590101"/>
    <w:rsid w:val="00611F13"/>
    <w:rsid w:val="0061378D"/>
    <w:rsid w:val="006252B9"/>
    <w:rsid w:val="0064558C"/>
    <w:rsid w:val="0065023A"/>
    <w:rsid w:val="006614ED"/>
    <w:rsid w:val="00666D39"/>
    <w:rsid w:val="00677A74"/>
    <w:rsid w:val="006912AB"/>
    <w:rsid w:val="006B1E70"/>
    <w:rsid w:val="006C574A"/>
    <w:rsid w:val="006E7AD1"/>
    <w:rsid w:val="00700BA4"/>
    <w:rsid w:val="0071418F"/>
    <w:rsid w:val="007B6661"/>
    <w:rsid w:val="00831BF7"/>
    <w:rsid w:val="008549B8"/>
    <w:rsid w:val="00866F27"/>
    <w:rsid w:val="008A6A0F"/>
    <w:rsid w:val="008D6AB8"/>
    <w:rsid w:val="008E3A9B"/>
    <w:rsid w:val="008E7CFB"/>
    <w:rsid w:val="009150A8"/>
    <w:rsid w:val="009275F8"/>
    <w:rsid w:val="00927A45"/>
    <w:rsid w:val="009538DE"/>
    <w:rsid w:val="00981DA1"/>
    <w:rsid w:val="009B040D"/>
    <w:rsid w:val="009B066C"/>
    <w:rsid w:val="009B1B9E"/>
    <w:rsid w:val="009C7DC4"/>
    <w:rsid w:val="009D0BCD"/>
    <w:rsid w:val="009E39FA"/>
    <w:rsid w:val="00A3312B"/>
    <w:rsid w:val="00A55395"/>
    <w:rsid w:val="00A57170"/>
    <w:rsid w:val="00A665C4"/>
    <w:rsid w:val="00A77C6C"/>
    <w:rsid w:val="00A83AE7"/>
    <w:rsid w:val="00A8780C"/>
    <w:rsid w:val="00A9025E"/>
    <w:rsid w:val="00A9039E"/>
    <w:rsid w:val="00AA47D3"/>
    <w:rsid w:val="00AF304C"/>
    <w:rsid w:val="00B070E2"/>
    <w:rsid w:val="00B46AA7"/>
    <w:rsid w:val="00B67B53"/>
    <w:rsid w:val="00B719F8"/>
    <w:rsid w:val="00BA1FEC"/>
    <w:rsid w:val="00BF1288"/>
    <w:rsid w:val="00C50860"/>
    <w:rsid w:val="00C523CE"/>
    <w:rsid w:val="00C71723"/>
    <w:rsid w:val="00C720B8"/>
    <w:rsid w:val="00CA4BEC"/>
    <w:rsid w:val="00D0047F"/>
    <w:rsid w:val="00D21038"/>
    <w:rsid w:val="00D808FF"/>
    <w:rsid w:val="00D80E9B"/>
    <w:rsid w:val="00DD407A"/>
    <w:rsid w:val="00DD6A7F"/>
    <w:rsid w:val="00E0746B"/>
    <w:rsid w:val="00E243B6"/>
    <w:rsid w:val="00E55275"/>
    <w:rsid w:val="00E624B8"/>
    <w:rsid w:val="00E70CEE"/>
    <w:rsid w:val="00EA731F"/>
    <w:rsid w:val="00ED28EE"/>
    <w:rsid w:val="00ED6DD4"/>
    <w:rsid w:val="00ED779C"/>
    <w:rsid w:val="00EE31B7"/>
    <w:rsid w:val="00EF694F"/>
    <w:rsid w:val="00F41BAA"/>
    <w:rsid w:val="00F604C9"/>
    <w:rsid w:val="00F72DBB"/>
    <w:rsid w:val="00F91D70"/>
    <w:rsid w:val="00FA1DFF"/>
    <w:rsid w:val="01820EDB"/>
    <w:rsid w:val="03F95362"/>
    <w:rsid w:val="048E4B0E"/>
    <w:rsid w:val="06B16564"/>
    <w:rsid w:val="077666D8"/>
    <w:rsid w:val="07DB6173"/>
    <w:rsid w:val="08A74C9F"/>
    <w:rsid w:val="0B314F9A"/>
    <w:rsid w:val="0DE15CE1"/>
    <w:rsid w:val="1293229E"/>
    <w:rsid w:val="163F2CEF"/>
    <w:rsid w:val="18F20F9C"/>
    <w:rsid w:val="1AE43394"/>
    <w:rsid w:val="1AEC6857"/>
    <w:rsid w:val="1D8C07BC"/>
    <w:rsid w:val="227A18BC"/>
    <w:rsid w:val="24636849"/>
    <w:rsid w:val="28CA2BCE"/>
    <w:rsid w:val="29646021"/>
    <w:rsid w:val="2AC57569"/>
    <w:rsid w:val="2CEA6DF5"/>
    <w:rsid w:val="30B938FD"/>
    <w:rsid w:val="38822A1C"/>
    <w:rsid w:val="3B5F0002"/>
    <w:rsid w:val="41A70DD3"/>
    <w:rsid w:val="457B1A88"/>
    <w:rsid w:val="4B2F1D2F"/>
    <w:rsid w:val="4C2F657D"/>
    <w:rsid w:val="525864B1"/>
    <w:rsid w:val="54012AAA"/>
    <w:rsid w:val="56E81C6B"/>
    <w:rsid w:val="57356AD7"/>
    <w:rsid w:val="5EBE281D"/>
    <w:rsid w:val="616E3DEF"/>
    <w:rsid w:val="688B2451"/>
    <w:rsid w:val="6E0921B9"/>
    <w:rsid w:val="728066AF"/>
    <w:rsid w:val="73727964"/>
    <w:rsid w:val="7E9922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等线" w:cs="仿宋"/>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Math" w:hAnsi="Cambria Math" w:cs="Cambria Math"/>
      <w:b/>
      <w:bCs/>
      <w:sz w:val="32"/>
      <w:szCs w:val="32"/>
    </w:rPr>
  </w:style>
  <w:style w:type="paragraph" w:styleId="4">
    <w:name w:val="heading 3"/>
    <w:basedOn w:val="1"/>
    <w:next w:val="1"/>
    <w:link w:val="20"/>
    <w:qFormat/>
    <w:uiPriority w:val="99"/>
    <w:pPr>
      <w:keepNext/>
      <w:keepLines/>
      <w:spacing w:before="260" w:after="260" w:line="416" w:lineRule="auto"/>
      <w:outlineLvl w:val="2"/>
    </w:pPr>
    <w:rPr>
      <w:rFonts w:ascii="Yu Mincho Light" w:hAnsi="Yu Mincho Light" w:cs="Yu Mincho Light"/>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1"/>
    <w:semiHidden/>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等线" w:hAnsi="等线" w:cs="等线"/>
      <w:kern w:val="0"/>
      <w:sz w:val="24"/>
    </w:rPr>
  </w:style>
  <w:style w:type="table" w:styleId="10">
    <w:name w:val="Table Grid"/>
    <w:basedOn w:val="9"/>
    <w:qFormat/>
    <w:uiPriority w:val="0"/>
    <w:pPr>
      <w:widowControl w:val="0"/>
      <w:jc w:val="both"/>
    </w:pPr>
    <w:rPr>
      <w:rFonts w:ascii="仿宋" w:hAnsi="仿宋" w:eastAsia="等线" w:cs="仿宋"/>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qFormat/>
    <w:uiPriority w:val="0"/>
  </w:style>
  <w:style w:type="character" w:styleId="14">
    <w:name w:val="FollowedHyperlink"/>
    <w:unhideWhenUsed/>
    <w:qFormat/>
    <w:uiPriority w:val="99"/>
    <w:rPr>
      <w:color w:val="954F72"/>
      <w:u w:val="single"/>
    </w:rPr>
  </w:style>
  <w:style w:type="character" w:styleId="15">
    <w:name w:val="Hyperlink"/>
    <w:unhideWhenUsed/>
    <w:qFormat/>
    <w:uiPriority w:val="99"/>
    <w:rPr>
      <w:color w:val="0563C1"/>
      <w:u w:val="single"/>
    </w:rPr>
  </w:style>
  <w:style w:type="character" w:customStyle="1" w:styleId="16">
    <w:name w:val="页眉 字符"/>
    <w:basedOn w:val="11"/>
    <w:link w:val="7"/>
    <w:qFormat/>
    <w:uiPriority w:val="99"/>
    <w:rPr>
      <w:sz w:val="18"/>
      <w:szCs w:val="18"/>
    </w:rPr>
  </w:style>
  <w:style w:type="character" w:customStyle="1" w:styleId="17">
    <w:name w:val="页脚 字符"/>
    <w:basedOn w:val="11"/>
    <w:link w:val="6"/>
    <w:qFormat/>
    <w:uiPriority w:val="99"/>
    <w:rPr>
      <w:sz w:val="18"/>
      <w:szCs w:val="18"/>
    </w:rPr>
  </w:style>
  <w:style w:type="character" w:customStyle="1" w:styleId="18">
    <w:name w:val="标题 1 字符"/>
    <w:basedOn w:val="11"/>
    <w:link w:val="2"/>
    <w:qFormat/>
    <w:uiPriority w:val="99"/>
    <w:rPr>
      <w:rFonts w:ascii="仿宋" w:hAnsi="仿宋" w:eastAsia="等线" w:cs="仿宋"/>
      <w:b/>
      <w:bCs/>
      <w:kern w:val="44"/>
      <w:sz w:val="44"/>
      <w:szCs w:val="44"/>
    </w:rPr>
  </w:style>
  <w:style w:type="character" w:customStyle="1" w:styleId="19">
    <w:name w:val="标题 2 字符"/>
    <w:basedOn w:val="11"/>
    <w:link w:val="3"/>
    <w:qFormat/>
    <w:uiPriority w:val="99"/>
    <w:rPr>
      <w:rFonts w:ascii="Cambria Math" w:hAnsi="Cambria Math" w:eastAsia="等线" w:cs="Cambria Math"/>
      <w:b/>
      <w:bCs/>
      <w:sz w:val="32"/>
      <w:szCs w:val="32"/>
    </w:rPr>
  </w:style>
  <w:style w:type="character" w:customStyle="1" w:styleId="20">
    <w:name w:val="标题 3 字符"/>
    <w:basedOn w:val="11"/>
    <w:link w:val="4"/>
    <w:qFormat/>
    <w:uiPriority w:val="99"/>
    <w:rPr>
      <w:rFonts w:ascii="Yu Mincho Light" w:hAnsi="Yu Mincho Light" w:eastAsia="等线" w:cs="Yu Mincho Light"/>
      <w:b/>
      <w:bCs/>
      <w:sz w:val="32"/>
      <w:szCs w:val="32"/>
    </w:rPr>
  </w:style>
  <w:style w:type="character" w:customStyle="1" w:styleId="21">
    <w:name w:val="批注框文本 字符"/>
    <w:basedOn w:val="11"/>
    <w:link w:val="5"/>
    <w:semiHidden/>
    <w:qFormat/>
    <w:uiPriority w:val="99"/>
    <w:rPr>
      <w:rFonts w:ascii="仿宋" w:hAnsi="仿宋" w:eastAsia="等线" w:cs="仿宋"/>
      <w:sz w:val="18"/>
      <w:szCs w:val="18"/>
    </w:rPr>
  </w:style>
  <w:style w:type="paragraph" w:customStyle="1" w:styleId="22">
    <w:name w:val="msonormal"/>
    <w:basedOn w:val="1"/>
    <w:qFormat/>
    <w:uiPriority w:val="0"/>
    <w:pPr>
      <w:widowControl/>
      <w:spacing w:before="100" w:beforeAutospacing="1" w:after="100" w:afterAutospacing="1"/>
      <w:jc w:val="left"/>
    </w:pPr>
    <w:rPr>
      <w:rFonts w:ascii="等线" w:hAnsi="等线" w:cs="等线"/>
      <w:kern w:val="0"/>
      <w:sz w:val="24"/>
    </w:rPr>
  </w:style>
  <w:style w:type="paragraph" w:customStyle="1" w:styleId="23">
    <w:name w:val="font5"/>
    <w:basedOn w:val="1"/>
    <w:qFormat/>
    <w:uiPriority w:val="0"/>
    <w:pPr>
      <w:widowControl/>
      <w:spacing w:before="100" w:beforeAutospacing="1" w:after="100" w:afterAutospacing="1"/>
      <w:jc w:val="left"/>
    </w:pPr>
    <w:rPr>
      <w:rFonts w:ascii="Cambria Math" w:hAnsi="Cambria Math" w:eastAsia="Cambria Math" w:cs="等线"/>
      <w:kern w:val="0"/>
      <w:sz w:val="18"/>
      <w:szCs w:val="18"/>
    </w:rPr>
  </w:style>
  <w:style w:type="paragraph" w:customStyle="1" w:styleId="2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cs="等线"/>
      <w:kern w:val="0"/>
      <w:sz w:val="24"/>
    </w:rPr>
  </w:style>
  <w:style w:type="paragraph" w:customStyle="1" w:styleId="2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26">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27">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28">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29">
    <w:name w:val="xl70"/>
    <w:basedOn w:val="1"/>
    <w:qFormat/>
    <w:uiPriority w:val="0"/>
    <w:pPr>
      <w:widowControl/>
      <w:spacing w:before="100" w:beforeAutospacing="1" w:after="100" w:afterAutospacing="1"/>
      <w:jc w:val="center"/>
      <w:textAlignment w:val="center"/>
    </w:pPr>
    <w:rPr>
      <w:rFonts w:ascii="等线" w:hAnsi="等线" w:cs="等线"/>
      <w:kern w:val="0"/>
      <w:sz w:val="24"/>
    </w:rPr>
  </w:style>
  <w:style w:type="paragraph" w:customStyle="1" w:styleId="30">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3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32">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Yu Mincho Light" w:hAnsi="等线" w:eastAsia="Yu Mincho Light" w:cs="等线"/>
      <w:kern w:val="0"/>
      <w:sz w:val="24"/>
    </w:rPr>
  </w:style>
  <w:style w:type="paragraph" w:customStyle="1" w:styleId="33">
    <w:name w:val="xl74"/>
    <w:basedOn w:val="1"/>
    <w:qFormat/>
    <w:uiPriority w:val="0"/>
    <w:pPr>
      <w:widowControl/>
      <w:spacing w:before="100" w:beforeAutospacing="1" w:after="100" w:afterAutospacing="1"/>
      <w:jc w:val="center"/>
    </w:pPr>
    <w:rPr>
      <w:rFonts w:ascii="等线" w:hAnsi="等线" w:cs="等线"/>
      <w:kern w:val="0"/>
      <w:sz w:val="24"/>
    </w:rPr>
  </w:style>
  <w:style w:type="paragraph" w:customStyle="1" w:styleId="3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35">
    <w:name w:val="xl7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Yu Mincho Light" w:hAnsi="等线" w:eastAsia="Yu Mincho Light" w:cs="等线"/>
      <w:kern w:val="0"/>
      <w:sz w:val="24"/>
    </w:rPr>
  </w:style>
  <w:style w:type="paragraph" w:customStyle="1" w:styleId="3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3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3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3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40">
    <w:name w:val="xl8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2">
    <w:name w:val="xl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3">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4">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5">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6">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7">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9">
    <w:name w:val="xl9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0">
    <w:name w:val="xl91"/>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1">
    <w:name w:val="xl9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2">
    <w:name w:val="xl9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3">
    <w:name w:val="List Paragraph1"/>
    <w:basedOn w:val="1"/>
    <w:qFormat/>
    <w:uiPriority w:val="99"/>
    <w:pPr>
      <w:ind w:firstLine="420" w:firstLineChars="200"/>
    </w:pPr>
    <w:rPr>
      <w:rFonts w:ascii="Yu Mincho Light" w:hAnsi="Yu Mincho Light" w:cs="Yu Mincho Light"/>
      <w:szCs w:val="21"/>
    </w:rPr>
  </w:style>
  <w:style w:type="paragraph" w:customStyle="1" w:styleId="54">
    <w:name w:val="xl63"/>
    <w:basedOn w:val="1"/>
    <w:qFormat/>
    <w:uiPriority w:val="0"/>
    <w:pPr>
      <w:widowControl/>
      <w:spacing w:before="100" w:beforeAutospacing="1" w:after="100" w:afterAutospacing="1"/>
      <w:jc w:val="left"/>
    </w:pPr>
    <w:rPr>
      <w:rFonts w:ascii="等线" w:hAnsi="等线" w:cs="等线"/>
      <w:kern w:val="0"/>
      <w:sz w:val="24"/>
    </w:rPr>
  </w:style>
  <w:style w:type="paragraph" w:customStyle="1" w:styleId="5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Yu Mincho Light" w:hAnsi="等线" w:eastAsia="Yu Mincho Light" w:cs="等线"/>
      <w:color w:val="000000"/>
      <w:kern w:val="0"/>
      <w:sz w:val="24"/>
    </w:rPr>
  </w:style>
  <w:style w:type="paragraph" w:styleId="56">
    <w:name w:val="List Paragraph"/>
    <w:basedOn w:val="1"/>
    <w:qFormat/>
    <w:uiPriority w:val="34"/>
    <w:pPr>
      <w:ind w:firstLine="420" w:firstLineChars="200"/>
    </w:pPr>
    <w:rPr>
      <w:rFonts w:ascii="Cambria Math" w:hAnsi="Cambria Math" w:eastAsia="Cambria Math"/>
      <w:szCs w:val="22"/>
    </w:rPr>
  </w:style>
  <w:style w:type="paragraph" w:customStyle="1" w:styleId="57">
    <w:name w:val="font6"/>
    <w:basedOn w:val="1"/>
    <w:qFormat/>
    <w:uiPriority w:val="0"/>
    <w:pPr>
      <w:widowControl/>
      <w:spacing w:before="100" w:beforeAutospacing="1" w:after="100" w:afterAutospacing="1"/>
      <w:jc w:val="left"/>
    </w:pPr>
    <w:rPr>
      <w:rFonts w:ascii="Cambria Math" w:hAnsi="Cambria Math" w:eastAsia="Cambria Math" w:cs="等线"/>
      <w:kern w:val="0"/>
      <w:sz w:val="18"/>
      <w:szCs w:val="18"/>
    </w:rPr>
  </w:style>
  <w:style w:type="paragraph" w:customStyle="1" w:styleId="58">
    <w:name w:val="CM11"/>
    <w:basedOn w:val="59"/>
    <w:next w:val="59"/>
    <w:unhideWhenUsed/>
    <w:qFormat/>
    <w:uiPriority w:val="99"/>
    <w:pPr>
      <w:spacing w:after="260"/>
    </w:pPr>
  </w:style>
  <w:style w:type="paragraph" w:customStyle="1" w:styleId="59">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60">
    <w:name w:val="CM12"/>
    <w:basedOn w:val="59"/>
    <w:next w:val="59"/>
    <w:unhideWhenUsed/>
    <w:qFormat/>
    <w:uiPriority w:val="99"/>
    <w:pPr>
      <w:spacing w:after="1015"/>
    </w:pPr>
  </w:style>
  <w:style w:type="paragraph" w:customStyle="1" w:styleId="61">
    <w:name w:val="CM3"/>
    <w:basedOn w:val="59"/>
    <w:next w:val="59"/>
    <w:unhideWhenUsed/>
    <w:qFormat/>
    <w:uiPriority w:val="99"/>
    <w:pPr>
      <w:spacing w:line="626" w:lineRule="atLeast"/>
    </w:pPr>
  </w:style>
  <w:style w:type="paragraph" w:customStyle="1" w:styleId="62">
    <w:name w:val="CM4"/>
    <w:basedOn w:val="59"/>
    <w:next w:val="59"/>
    <w:unhideWhenUsed/>
    <w:qFormat/>
    <w:uiPriority w:val="99"/>
    <w:pPr>
      <w:spacing w:line="626" w:lineRule="atLeast"/>
    </w:pPr>
  </w:style>
  <w:style w:type="paragraph" w:customStyle="1" w:styleId="63">
    <w:name w:val="CM5"/>
    <w:basedOn w:val="59"/>
    <w:next w:val="59"/>
    <w:unhideWhenUsed/>
    <w:qFormat/>
    <w:uiPriority w:val="99"/>
    <w:pPr>
      <w:spacing w:line="626" w:lineRule="atLeast"/>
    </w:pPr>
  </w:style>
  <w:style w:type="paragraph" w:customStyle="1" w:styleId="64">
    <w:name w:val="CM6"/>
    <w:basedOn w:val="59"/>
    <w:next w:val="59"/>
    <w:unhideWhenUsed/>
    <w:qFormat/>
    <w:uiPriority w:val="99"/>
    <w:pPr>
      <w:spacing w:line="626" w:lineRule="atLeas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2129</Words>
  <Characters>2260</Characters>
  <Lines>17</Lines>
  <Paragraphs>5</Paragraphs>
  <TotalTime>0</TotalTime>
  <ScaleCrop>false</ScaleCrop>
  <LinksUpToDate>false</LinksUpToDate>
  <CharactersWithSpaces>2302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2020-10-26T00:53:00Z</dcterms:created>
  <dc:creator>qiyuanhua0168@163.com</dc:creator>
  <cp:lastModifiedBy>银杏果</cp:lastModifiedBy>
  <cp:lastPrinted>2020-10-29T02:38:00Z</cp:lastPrinted>
  <dcterms:modified xsi:type="dcterms:W3CDTF">2023-02-14T00:54:38Z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AD66C9C12B8E40E6837E43B800999617</vt:lpwstr>
  </property>
</Properties>
</file>