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3E7CB">
      <w:pPr>
        <w:pStyle w:val="6"/>
        <w:spacing w:line="360" w:lineRule="auto"/>
        <w:jc w:val="center"/>
        <w:rPr>
          <w:rFonts w:hint="eastAsia" w:ascii="仿宋_GB2312" w:hAnsi="仿宋_GB2312" w:eastAsia="仿宋_GB2312" w:cs="仿宋_GB2312"/>
          <w:color w:val="auto"/>
          <w:kern w:val="2"/>
          <w:sz w:val="44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44"/>
          <w:szCs w:val="32"/>
          <w:lang w:val="en-US" w:eastAsia="zh-CN" w:bidi="ar-SA"/>
        </w:rPr>
        <w:t>《淄博市淄川区岭子镇黄家峪村村庄规划（2025—2035年）》主要内容简介</w:t>
      </w:r>
    </w:p>
    <w:p w14:paraId="1030A651">
      <w:pPr>
        <w:pStyle w:val="6"/>
        <w:spacing w:line="360" w:lineRule="auto"/>
        <w:jc w:val="left"/>
        <w:rPr>
          <w:rFonts w:hint="eastAsia" w:ascii="仿宋_GB2312" w:hAnsi="仿宋_GB2312" w:eastAsia="仿宋_GB2312" w:cs="仿宋_GB2312"/>
          <w:color w:val="auto"/>
          <w:kern w:val="2"/>
          <w:sz w:val="44"/>
          <w:szCs w:val="32"/>
          <w:lang w:val="en-US" w:eastAsia="zh-CN" w:bidi="ar-SA"/>
        </w:rPr>
      </w:pPr>
    </w:p>
    <w:p w14:paraId="32912B63">
      <w:pPr>
        <w:pStyle w:val="7"/>
        <w:spacing w:line="360" w:lineRule="auto"/>
        <w:ind w:firstLine="562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一、总则</w:t>
      </w:r>
    </w:p>
    <w:p w14:paraId="466321D1">
      <w:pPr>
        <w:pStyle w:val="7"/>
        <w:widowControl/>
        <w:spacing w:line="360" w:lineRule="auto"/>
        <w:ind w:firstLine="56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1.规划期限</w:t>
      </w:r>
    </w:p>
    <w:p w14:paraId="49439AD3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近期：20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</w:rPr>
        <w:t>年—202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年；</w:t>
      </w:r>
    </w:p>
    <w:p w14:paraId="13F98E84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远期：202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年—2035年。</w:t>
      </w:r>
    </w:p>
    <w:p w14:paraId="699E1864">
      <w:pPr>
        <w:pStyle w:val="7"/>
        <w:widowControl/>
        <w:spacing w:line="360" w:lineRule="auto"/>
        <w:ind w:firstLine="56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2.规划范围</w:t>
      </w:r>
    </w:p>
    <w:p w14:paraId="7D88A61B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黄家峪村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u w:val="none"/>
          <w:lang w:val="en-US" w:eastAsia="zh-CN" w:bidi="ar-SA"/>
        </w:rPr>
        <w:t>村域范围内城镇开发边界以外的全部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国土空间，面积为1058.25公顷。</w:t>
      </w:r>
    </w:p>
    <w:p w14:paraId="772324E3">
      <w:pPr>
        <w:pStyle w:val="7"/>
        <w:widowControl/>
        <w:spacing w:line="360" w:lineRule="auto"/>
        <w:ind w:firstLine="56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3.村庄发展定位</w:t>
      </w:r>
    </w:p>
    <w:p w14:paraId="2FE3D4BF">
      <w:pPr>
        <w:pStyle w:val="7"/>
        <w:spacing w:line="360" w:lineRule="auto"/>
        <w:ind w:firstLine="562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总体定位：以特色农业为主导的岭子镇南部乡村生活圈核心村、新时代宜居宜业新农村。</w:t>
      </w:r>
    </w:p>
    <w:p w14:paraId="2950E481">
      <w:pPr>
        <w:pStyle w:val="7"/>
        <w:spacing w:line="360" w:lineRule="auto"/>
        <w:ind w:firstLine="562"/>
        <w:rPr>
          <w:rFonts w:hint="eastAsia" w:ascii="仿宋_GB2312" w:hAnsi="仿宋_GB2312" w:eastAsia="仿宋_GB2312" w:cs="仿宋_GB2312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发展目标：黄家峪村规划形成以发展一二三产融合的产业结构。第一产业发挥玉米小麦传统种植和菌菇特色种植优势，打造乡村农业发展区；第二产业巩固现状农产品加工产业，大力发展农业产业；第三产业拓展特色农业种植链条，推动发展农业电商销售。同时发挥中心村职能作用，推动黄家峪村农旅融合单元发展，统筹配置公共服务设施和基础设施，构建优势互补、特色彰显、分工协作的村级片区体系。推动黄家峪打造集农业种植、服务配套于一体的综合功能发展区。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br w:type="page"/>
      </w:r>
      <w:r>
        <w:rPr>
          <w:rFonts w:hint="eastAsia" w:ascii="仿宋_GB2312" w:hAnsi="仿宋_GB2312" w:eastAsia="仿宋_GB2312" w:cs="仿宋_GB2312"/>
          <w:b/>
          <w:bCs w:val="0"/>
          <w:kern w:val="2"/>
          <w:sz w:val="28"/>
          <w:szCs w:val="28"/>
          <w:lang w:val="en-US" w:eastAsia="zh-CN" w:bidi="ar-SA"/>
        </w:rPr>
        <w:t>二、村庄规划内容</w:t>
      </w:r>
    </w:p>
    <w:p w14:paraId="3E56CFD2"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1</w:t>
      </w:r>
      <w:r>
        <w:rPr>
          <w:rFonts w:ascii="仿宋_GB2312" w:hAnsi="仿宋_GB2312" w:eastAsia="仿宋_GB2312" w:cs="仿宋_GB2312"/>
          <w:bCs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人口规模预测</w:t>
      </w:r>
    </w:p>
    <w:p w14:paraId="3F5533C2">
      <w:pPr>
        <w:snapToGri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随着新型城镇化的快速推进，综合考虑国家计划生育政策调整，户籍政策的调整等政策影响，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根据黄家峪村近五年人口以及人口增长率，规划确定远期（2035年）黄家峪村村域人口为1500人。</w:t>
      </w:r>
    </w:p>
    <w:p w14:paraId="1DEF42C6">
      <w:pPr>
        <w:pStyle w:val="8"/>
        <w:spacing w:line="360" w:lineRule="auto"/>
        <w:ind w:firstLineChars="200"/>
        <w:rPr>
          <w:rFonts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none"/>
          <w:lang w:val="en-US" w:eastAsia="zh-CN"/>
        </w:rPr>
        <w:t>2</w:t>
      </w:r>
      <w:r>
        <w:rPr>
          <w:rFonts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none"/>
        </w:rPr>
        <w:t>.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none"/>
        </w:rPr>
        <w:t>村域土地利用规划</w:t>
      </w:r>
    </w:p>
    <w:p w14:paraId="277FBFE2">
      <w:pPr>
        <w:pStyle w:val="2"/>
        <w:ind w:firstLine="560" w:firstLineChars="200"/>
        <w:rPr>
          <w:rFonts w:hint="eastAsia" w:ascii="仿宋_GB2312" w:hAnsi="仿宋_GB2312" w:eastAsia="仿宋_GB2312" w:cs="仿宋_GB2312"/>
          <w:color w:val="0000FF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2035年，规划耕地面积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179.64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公顷，园地面积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32.22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公顷，林地面积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303.81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公顷，草地面积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277.27公顷，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农业设施建设用地面积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15.27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公顷，陆地水域面积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8.72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公顷，其他土地面积15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6.39公顷，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村庄建设边界面积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39.97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公顷，区域基础设施用地面积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14.87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公顷，其他建设面积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30.09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公顷。</w:t>
      </w:r>
    </w:p>
    <w:p w14:paraId="6BC138FC">
      <w:pPr>
        <w:pStyle w:val="8"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none"/>
          <w:lang w:eastAsia="zh-CN"/>
        </w:rPr>
        <w:t>国土空间控制线规划</w:t>
      </w:r>
    </w:p>
    <w:p w14:paraId="75A1A1D8">
      <w:pPr>
        <w:pStyle w:val="8"/>
        <w:spacing w:line="360" w:lineRule="auto"/>
        <w:ind w:firstLineChars="200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（1</w:t>
      </w:r>
      <w:r>
        <w:rPr>
          <w:rFonts w:ascii="仿宋_GB2312" w:hAnsi="仿宋_GB2312" w:eastAsia="仿宋_GB2312" w:cs="仿宋_GB2312"/>
          <w:sz w:val="28"/>
          <w:szCs w:val="28"/>
          <w:u w:val="none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生态保护红线</w:t>
      </w:r>
    </w:p>
    <w:p w14:paraId="475AE132">
      <w:pPr>
        <w:pStyle w:val="8"/>
        <w:spacing w:line="360" w:lineRule="auto"/>
        <w:ind w:firstLineChars="200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eastAsia="zh-CN"/>
        </w:rPr>
        <w:t>规划落实生态保护红线面积不低于181.66公顷。</w:t>
      </w:r>
    </w:p>
    <w:p w14:paraId="2E325D97">
      <w:pPr>
        <w:pStyle w:val="8"/>
        <w:spacing w:line="360" w:lineRule="auto"/>
        <w:ind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2</w:t>
      </w:r>
      <w:r>
        <w:rPr>
          <w:rFonts w:ascii="仿宋_GB2312" w:hAnsi="仿宋_GB2312" w:eastAsia="仿宋_GB2312" w:cs="仿宋_GB2312"/>
          <w:color w:val="auto"/>
          <w:sz w:val="28"/>
          <w:szCs w:val="28"/>
          <w:u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t>永久基本农田保护红线</w:t>
      </w:r>
    </w:p>
    <w:p w14:paraId="70BF9D9F">
      <w:pPr>
        <w:pStyle w:val="8"/>
        <w:spacing w:line="360" w:lineRule="auto"/>
        <w:ind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t>落实永久基本农田保护红线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152.64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t>公顷。规划落实耕地保有量面积不低于177.10公顷。</w:t>
      </w:r>
    </w:p>
    <w:p w14:paraId="188021C5">
      <w:pPr>
        <w:pStyle w:val="8"/>
        <w:spacing w:line="360" w:lineRule="auto"/>
        <w:ind w:firstLineChars="200"/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洪涝风险控制线</w:t>
      </w:r>
    </w:p>
    <w:p w14:paraId="6546C7CB">
      <w:pPr>
        <w:pStyle w:val="8"/>
        <w:numPr>
          <w:ilvl w:val="0"/>
          <w:numId w:val="0"/>
        </w:numPr>
        <w:spacing w:line="360" w:lineRule="auto"/>
        <w:ind w:leftChars="200"/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eastAsia="zh-CN"/>
        </w:rPr>
        <w:t>落实洪涝风险控制线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5.09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eastAsia="zh-CN"/>
        </w:rPr>
        <w:t>公顷。</w:t>
      </w:r>
    </w:p>
    <w:p w14:paraId="36ADE8A3">
      <w:pPr>
        <w:pStyle w:val="8"/>
        <w:spacing w:line="360" w:lineRule="auto"/>
        <w:ind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4</w:t>
      </w:r>
      <w:r>
        <w:rPr>
          <w:rFonts w:ascii="仿宋_GB2312" w:hAnsi="仿宋_GB2312" w:eastAsia="仿宋_GB2312" w:cs="仿宋_GB2312"/>
          <w:color w:val="auto"/>
          <w:sz w:val="28"/>
          <w:szCs w:val="28"/>
          <w:u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t>村庄建设边界线</w:t>
      </w:r>
    </w:p>
    <w:p w14:paraId="6C5E0F1B">
      <w:pPr>
        <w:pStyle w:val="8"/>
        <w:spacing w:line="360" w:lineRule="auto"/>
        <w:ind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t>村庄建设边界线为村庄建设用地边界线。结合村庄规模预测、有条件建设区分布和村落保护范围，划定村庄建设边界线，其规模为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39.97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t>公顷。</w:t>
      </w:r>
    </w:p>
    <w:p w14:paraId="614385C0">
      <w:pPr>
        <w:pStyle w:val="8"/>
        <w:spacing w:line="360" w:lineRule="auto"/>
        <w:ind w:firstLineChars="200"/>
        <w:rPr>
          <w:rFonts w:ascii="仿宋_GB2312" w:hAnsi="仿宋_GB2312" w:eastAsia="仿宋_GB2312" w:cs="仿宋_GB2312"/>
          <w:kern w:val="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eastAsia="zh-CN"/>
        </w:rPr>
        <w:t>产业布局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规划</w:t>
      </w:r>
    </w:p>
    <w:p w14:paraId="397A47E6">
      <w:pPr>
        <w:pStyle w:val="8"/>
        <w:spacing w:line="360" w:lineRule="auto"/>
        <w:ind w:firstLineChars="200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none"/>
          <w:lang w:val="en-US" w:eastAsia="zh-CN" w:bidi="ar-SA"/>
        </w:rPr>
        <w:t>以促进经济发展和增加村民收入为目标，综合考虑黄家峪村区位条件、资源禀赋、产业发展现状、村民居住和经济发展等需求，明确黄家峪村村庄产业布局，科学确定村庄产业特色与发展定位，提出产业发展策略；依托特色产业和优势产业，延伸产业链；明确产业发展业态、用地类型和空间布局。规划形成传统种植区、特色种植区、生态发展区、品质居住区、工业发展区、矿产发展区六大分区。</w:t>
      </w:r>
    </w:p>
    <w:p w14:paraId="2E81A3FD">
      <w:pPr>
        <w:pStyle w:val="8"/>
        <w:spacing w:line="360" w:lineRule="auto"/>
        <w:ind w:firstLineChars="200"/>
        <w:rPr>
          <w:rFonts w:ascii="仿宋_GB2312" w:hAnsi="仿宋_GB2312" w:eastAsia="仿宋_GB2312" w:cs="仿宋_GB2312"/>
          <w:kern w:val="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.道路交通规划</w:t>
      </w:r>
    </w:p>
    <w:p w14:paraId="225FD306">
      <w:pPr>
        <w:pStyle w:val="2"/>
        <w:ind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-SA"/>
        </w:rPr>
        <w:t>落实《淄博市淄川区岭子镇国土空间规划（2021—2035年）》2条区域道路，分别为济南至潍坊高速公路；Y079青野-石门（淄川段），红线宽度25米，规划进行虚线控制。其中济潍高速道路用地外缘起不少于30米的范围为建筑控制区；Y079道路用地外缘起不少于5米的范围为建筑控制区。</w:t>
      </w:r>
    </w:p>
    <w:p w14:paraId="614F88E3">
      <w:pPr>
        <w:pStyle w:val="2"/>
        <w:ind w:firstLine="56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-SA"/>
        </w:rPr>
        <w:t>博岭路、黄东路为村庄的主要道路，道路宽度为6-7米。村道自道路用地外缘起一般不少于5米的范围为建筑控制区。村庄次要道路联系村庄内部各功能分区，走向需尊重现状，形态较自由。村内道路最小纵坡不应小于0.3%，最大纵坡不宜超过8%，顺应黄家峪村地势，村庄次要道路3-5米，新建、重建时，建筑退距要求主要朝向不小于1米，次要朝向不小于0.5米。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-SA"/>
        </w:rPr>
        <w:br w:type="page"/>
      </w:r>
    </w:p>
    <w:p w14:paraId="4CC90C52">
      <w:pPr>
        <w:spacing w:line="360" w:lineRule="auto"/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主要图纸</w:t>
      </w:r>
    </w:p>
    <w:p w14:paraId="0FE58D0F">
      <w:pPr>
        <w:pStyle w:val="2"/>
        <w:rPr>
          <w:rFonts w:hint="eastAsia" w:ascii="仿宋_GB2312" w:hAnsi="仿宋_GB2312" w:eastAsia="仿宋_GB2312" w:cs="仿宋_GB2312"/>
        </w:rPr>
      </w:pPr>
    </w:p>
    <w:p w14:paraId="7D9FF379">
      <w:pPr>
        <w:widowControl/>
        <w:numPr>
          <w:ilvl w:val="0"/>
          <w:numId w:val="1"/>
        </w:numPr>
        <w:spacing w:line="360" w:lineRule="auto"/>
        <w:ind w:left="0" w:firstLine="23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村域控制线分布图</w:t>
      </w:r>
    </w:p>
    <w:p w14:paraId="1BD82F0A">
      <w:pPr>
        <w:widowControl/>
        <w:numPr>
          <w:ilvl w:val="0"/>
          <w:numId w:val="1"/>
        </w:numPr>
        <w:spacing w:line="360" w:lineRule="auto"/>
        <w:ind w:left="0" w:firstLine="232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生态修复与国土综合整治规划图</w:t>
      </w:r>
    </w:p>
    <w:p w14:paraId="25EFF42A">
      <w:pPr>
        <w:widowControl/>
        <w:numPr>
          <w:ilvl w:val="0"/>
          <w:numId w:val="1"/>
        </w:numPr>
        <w:spacing w:line="360" w:lineRule="auto"/>
        <w:ind w:left="0" w:firstLine="232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村域国土空间</w:t>
      </w:r>
      <w:r>
        <w:rPr>
          <w:rFonts w:hint="eastAsia" w:ascii="仿宋_GB2312" w:hAnsi="仿宋_GB2312" w:eastAsia="仿宋_GB2312" w:cs="仿宋_GB2312"/>
          <w:sz w:val="32"/>
          <w:szCs w:val="32"/>
        </w:rPr>
        <w:t>规划图</w:t>
      </w:r>
    </w:p>
    <w:p w14:paraId="001C8BD4">
      <w:pPr>
        <w:widowControl/>
        <w:numPr>
          <w:ilvl w:val="0"/>
          <w:numId w:val="1"/>
        </w:numPr>
        <w:spacing w:line="360" w:lineRule="auto"/>
        <w:ind w:left="0" w:firstLine="232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产业发展布局规划图</w:t>
      </w:r>
    </w:p>
    <w:p w14:paraId="772EAB4A">
      <w:pPr>
        <w:widowControl/>
        <w:numPr>
          <w:ilvl w:val="0"/>
          <w:numId w:val="1"/>
        </w:numPr>
        <w:spacing w:line="360" w:lineRule="auto"/>
        <w:ind w:left="0" w:firstLine="232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道路交通规划图</w:t>
      </w:r>
    </w:p>
    <w:p w14:paraId="6994F522">
      <w:pPr>
        <w:pStyle w:val="2"/>
        <w:numPr>
          <w:ilvl w:val="0"/>
          <w:numId w:val="2"/>
        </w:numPr>
        <w:ind w:left="315" w:leftChars="0" w:firstLine="0" w:firstLineChars="0"/>
        <w:rPr>
          <w:rFonts w:hint="eastAsia" w:ascii="仿宋_GB2312" w:hAnsi="仿宋_GB2312" w:eastAsia="仿宋_GB2312" w:cs="仿宋_GB2312"/>
          <w:kern w:val="0"/>
          <w:sz w:val="28"/>
          <w:szCs w:val="28"/>
          <w:u w:val="none"/>
          <w:lang w:val="en-US" w:eastAsia="zh-CN" w:bidi="ar-SA"/>
        </w:rPr>
      </w:pPr>
      <w:r>
        <w:br w:type="page"/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none"/>
          <w:lang w:val="en-US" w:eastAsia="zh-CN" w:bidi="ar-SA"/>
        </w:rPr>
        <w:t>村域控制线分布图</w:t>
      </w:r>
    </w:p>
    <w:p w14:paraId="785D8DEE">
      <w:pPr>
        <w:pStyle w:val="2"/>
        <w:numPr>
          <w:ilvl w:val="0"/>
          <w:numId w:val="0"/>
        </w:numPr>
        <w:bidi w:val="0"/>
        <w:ind w:left="315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34940" cy="3697605"/>
            <wp:effectExtent l="0" t="0" r="3810" b="17145"/>
            <wp:docPr id="6" name="图片 1" descr="10.村域控制线分布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10.村域控制线分布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828E4">
      <w:pPr>
        <w:pStyle w:val="8"/>
        <w:numPr>
          <w:ilvl w:val="0"/>
          <w:numId w:val="2"/>
        </w:numPr>
        <w:spacing w:line="360" w:lineRule="auto"/>
        <w:ind w:left="315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生态修复与国土综合整治规划图</w:t>
      </w:r>
    </w:p>
    <w:p w14:paraId="433B1FF4">
      <w:pPr>
        <w:pStyle w:val="2"/>
        <w:numPr>
          <w:ilvl w:val="0"/>
          <w:numId w:val="0"/>
        </w:numPr>
        <w:ind w:left="315" w:leftChars="0"/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drawing>
          <wp:inline distT="0" distB="0" distL="114300" distR="114300">
            <wp:extent cx="5234940" cy="3697605"/>
            <wp:effectExtent l="0" t="0" r="3810" b="17145"/>
            <wp:docPr id="5" name="图片 2" descr="11.生态修复与国土综合整治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11.生态修复与国土综合整治规划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C1A86">
      <w:pPr>
        <w:pStyle w:val="2"/>
        <w:numPr>
          <w:ilvl w:val="0"/>
          <w:numId w:val="0"/>
        </w:numPr>
        <w:ind w:left="315" w:leftChars="0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</w:p>
    <w:p w14:paraId="22C771D1">
      <w:pPr>
        <w:pStyle w:val="8"/>
        <w:numPr>
          <w:ilvl w:val="0"/>
          <w:numId w:val="2"/>
        </w:numPr>
        <w:spacing w:line="360" w:lineRule="auto"/>
        <w:ind w:left="315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村域国土空间规划图</w:t>
      </w:r>
    </w:p>
    <w:p w14:paraId="755B43E2">
      <w:pPr>
        <w:pStyle w:val="8"/>
        <w:numPr>
          <w:ilvl w:val="0"/>
          <w:numId w:val="0"/>
        </w:num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drawing>
          <wp:inline distT="0" distB="0" distL="114300" distR="114300">
            <wp:extent cx="5267960" cy="3720465"/>
            <wp:effectExtent l="0" t="0" r="8890" b="13335"/>
            <wp:docPr id="2" name="图片 3" descr="9.村域国土空间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9.村域国土空间规划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0DF7D">
      <w:pPr>
        <w:pStyle w:val="8"/>
        <w:numPr>
          <w:ilvl w:val="0"/>
          <w:numId w:val="2"/>
        </w:numPr>
        <w:spacing w:line="360" w:lineRule="auto"/>
        <w:ind w:left="315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u w:val="none"/>
          <w:lang w:val="en-US" w:eastAsia="zh-CN" w:bidi="ar-SA"/>
        </w:rPr>
        <w:t>产业发展布局规划图</w:t>
      </w:r>
    </w:p>
    <w:p w14:paraId="05AD22E3">
      <w:pPr>
        <w:pStyle w:val="8"/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drawing>
          <wp:inline distT="0" distB="0" distL="114300" distR="114300">
            <wp:extent cx="5234940" cy="3697605"/>
            <wp:effectExtent l="0" t="0" r="3810" b="17145"/>
            <wp:docPr id="1" name="图片 4" descr="13.产业发展布局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13.产业发展布局规划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F54C3">
      <w:pPr>
        <w:pStyle w:val="8"/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</w:p>
    <w:p w14:paraId="443FD8A9">
      <w:pPr>
        <w:pStyle w:val="8"/>
        <w:numPr>
          <w:ilvl w:val="0"/>
          <w:numId w:val="2"/>
        </w:numPr>
        <w:spacing w:line="360" w:lineRule="auto"/>
        <w:ind w:left="315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道路交通规划图</w:t>
      </w:r>
    </w:p>
    <w:p w14:paraId="69EE49A0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34940" cy="3697605"/>
            <wp:effectExtent l="0" t="0" r="3810" b="17145"/>
            <wp:docPr id="3" name="图片 5" descr="12道路交通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12道路交通规划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80352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4A99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09919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sZxdAvwEAAIwDAAAOAAAAAAAAAAEAIAAAAB8BAABkcnMvZTJvRG9jLnhtbFBLBQYA&#10;AAAABgAGAFkBAABQBQAAAAA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75109919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</w:t>
                    </w:r>
                    <w:r>
                      <w:rPr>
                        <w:sz w:val="18"/>
                      </w:rPr>
                      <w:t xml:space="preserve">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44836"/>
    <w:multiLevelType w:val="singleLevel"/>
    <w:tmpl w:val="FBF44836"/>
    <w:lvl w:ilvl="0" w:tentative="0">
      <w:start w:val="1"/>
      <w:numFmt w:val="decimal"/>
      <w:suff w:val="space"/>
      <w:lvlText w:val="%1."/>
      <w:lvlJc w:val="left"/>
      <w:pPr>
        <w:ind w:left="315" w:firstLine="0"/>
      </w:pPr>
    </w:lvl>
  </w:abstractNum>
  <w:abstractNum w:abstractNumId="1">
    <w:nsid w:val="632A0F7A"/>
    <w:multiLevelType w:val="singleLevel"/>
    <w:tmpl w:val="632A0F7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2389A"/>
    <w:rsid w:val="39B2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cs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[No paragraph style]"/>
    <w:qFormat/>
    <w:uiPriority w:val="0"/>
    <w:pPr>
      <w:widowControl w:val="0"/>
      <w:autoSpaceDE w:val="0"/>
      <w:autoSpaceDN w:val="0"/>
      <w:adjustRightInd w:val="0"/>
      <w:spacing w:line="420" w:lineRule="auto"/>
      <w:jc w:val="both"/>
      <w:textAlignment w:val="center"/>
    </w:pPr>
    <w:rPr>
      <w:rFonts w:ascii="宋体" w:hAnsi="Times New Roman" w:eastAsia="宋体" w:cs="宋体"/>
      <w:color w:val="000000"/>
      <w:sz w:val="18"/>
      <w:szCs w:val="18"/>
      <w:lang w:val="en-US" w:eastAsia="zh-CN" w:bidi="ar-SA"/>
    </w:rPr>
  </w:style>
  <w:style w:type="paragraph" w:customStyle="1" w:styleId="7">
    <w:name w:val="List Paragraph"/>
    <w:basedOn w:val="1"/>
    <w:qFormat/>
    <w:uiPriority w:val="0"/>
    <w:pPr>
      <w:ind w:firstLine="420" w:firstLineChars="200"/>
    </w:pPr>
  </w:style>
  <w:style w:type="paragraph" w:customStyle="1" w:styleId="8">
    <w:name w:val="TD强制性内容"/>
    <w:basedOn w:val="1"/>
    <w:qFormat/>
    <w:uiPriority w:val="0"/>
    <w:pPr>
      <w:ind w:firstLine="560"/>
    </w:pPr>
    <w:rPr>
      <w:rFonts w:eastAsia="黑体"/>
      <w:kern w:val="0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2026-07-17T09:14:00Z</dcterms:created>
  <dc:creator>WPS_1761896919</dc:creator>
  <cp:lastModifiedBy>WPS_1761896919</cp:lastModifiedBy>
  <dcterms:modified xsi:type="dcterms:W3CDTF">2026-07-17T09:15:21Z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A678F682545C4166810269D047274B60_11</vt:lpwstr>
  </property>
  <property fmtid="{D5CDD505-2E9C-101B-9397-08002B2CF9AE}" pid="4" name="KSOTemplateDocerSaveRecord">
    <vt:lpwstr>eyJoZGlkIjoiMzc3MTM5ZWQwOTE2ZjljODZkMDk0MjQ1ZjA3YjY2NmMiLCJ1c2VySWQiOiIxNzYyNjM1Njc1In0=</vt:lpwstr>
  </property>
</Properties>
</file>