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行业协会商会乱收费专项清理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整治检查记录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被检查社会组织名称（全称）：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检查地点：                            检查时间：</w:t>
      </w:r>
    </w:p>
    <w:tbl>
      <w:tblPr>
        <w:tblStyle w:val="3"/>
        <w:tblW w:w="9119"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703"/>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内容</w:t>
            </w:r>
          </w:p>
        </w:tc>
        <w:tc>
          <w:tcPr>
            <w:tcW w:w="57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现场检查事项</w:t>
            </w:r>
          </w:p>
        </w:tc>
        <w:tc>
          <w:tcPr>
            <w:tcW w:w="23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执法人员检查记录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15"/>
                <w:szCs w:val="15"/>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楷体" w:hAnsi="楷体" w:eastAsia="楷体" w:cs="楷体"/>
                <w:b w:val="0"/>
                <w:bCs w:val="0"/>
                <w:kern w:val="2"/>
                <w:sz w:val="21"/>
                <w:szCs w:val="21"/>
                <w:lang w:val="en-US" w:eastAsia="zh-CN" w:bidi="ar-SA"/>
              </w:rPr>
            </w:pPr>
            <w:r>
              <w:rPr>
                <w:rFonts w:hint="eastAsia" w:ascii="仿宋_GB2312" w:hAnsi="微软雅黑" w:eastAsia="仿宋_GB2312" w:cs="微软雅黑"/>
                <w:color w:val="000000"/>
                <w:kern w:val="0"/>
                <w:lang w:val="en-US" w:eastAsia="zh-CN"/>
              </w:rPr>
              <w:t>五个严禁</w:t>
            </w:r>
          </w:p>
        </w:tc>
        <w:tc>
          <w:tcPr>
            <w:tcW w:w="57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微软雅黑" w:eastAsia="仿宋_GB2312" w:cs="微软雅黑"/>
                <w:color w:val="000000"/>
                <w:kern w:val="0"/>
                <w:lang w:val="en-US" w:eastAsia="zh-CN"/>
              </w:rPr>
              <w:t>1.是否依托政府部门或利用行业影响力强制企业入会和收费；2.是否利用法定职责和政府委托授权事项违规收费；3.是否通过评比达标表彰活动收费；4.是否通过职业资格认定违规收费；5.是否只收费不服务或多头重复收费。</w:t>
            </w:r>
          </w:p>
        </w:tc>
        <w:tc>
          <w:tcPr>
            <w:tcW w:w="232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4.是（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5.是（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trPr>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b w:val="0"/>
                <w:bCs w:val="0"/>
                <w:sz w:val="21"/>
                <w:szCs w:val="21"/>
                <w:lang w:val="en-US" w:eastAsia="zh-CN"/>
              </w:rPr>
            </w:pPr>
            <w:r>
              <w:rPr>
                <w:rFonts w:hint="eastAsia" w:ascii="仿宋_GB2312" w:hAnsi="微软雅黑" w:eastAsia="仿宋_GB2312" w:cs="微软雅黑"/>
                <w:color w:val="000000"/>
                <w:kern w:val="0"/>
                <w:lang w:val="en-US" w:eastAsia="zh-CN"/>
              </w:rPr>
              <w:t>十五项乱收费问题</w:t>
            </w:r>
          </w:p>
        </w:tc>
        <w:tc>
          <w:tcPr>
            <w:tcW w:w="570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是否强制或变相强制入会并收取会费；2.是否只收取会费不提供服务，或者对会费所包含的基本服务项目重复收取费用；3.是否利用分支（代表）机构多头收取会费；4.是否采取“收费返成”等方式吸收会员、收取会费；5.是否利用法定职责或者行政机关委托、授权事项违规收费；6.是否通过评比达标表彰活动收费，特别是借庆祝建党100周年之机违规评选评奖收费；7.是否通过职业资格认定违规收费；8.是否强制会员单位参加各类会议、培训、考试、展览、评比评选、出国考察等各类收费活动；9.是否强制市场主体提供赞助、捐赠、订购有关产品或刊物；10.是否以设立分支机构、代表机构的名义收取或变相收取管理费、赞助费；11.是否以担任理事、常务理事、负责人为名向会员收取除会费以外的其他费用；12.是否会费标准未按规定程序制定或修改；13.是否未按照规定程序制定或修改强制性经营服务性收费项目的收费标准；14.是否实行市场调节价格的经营服务性收费项目收费标准不合理；15.是否其他企业和群众反映强烈的乱收费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sz w:val="21"/>
                <w:szCs w:val="21"/>
                <w:vertAlign w:val="baseline"/>
                <w:lang w:val="en-US" w:eastAsia="zh-CN"/>
              </w:rPr>
            </w:pPr>
          </w:p>
        </w:tc>
        <w:tc>
          <w:tcPr>
            <w:tcW w:w="232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4.是（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5.是（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6.是（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7.是（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8.是（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9.是（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10.是（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11.是（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14.是（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15.是（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16.是（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17.是（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18.是（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19.是（ ）否（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执法检查人员签字：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被检查社会组织法人（负责人）或现场授权委托人签字：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电子邮箱（必填）：                 联系电话（必填）：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B1C63"/>
    <w:rsid w:val="64BB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2021-08-03T08:04:00Z</dcterms:created>
  <dc:creator>语文课戴表</dc:creator>
  <cp:lastModifiedBy>语文课戴表</cp:lastModifiedBy>
  <dcterms:modified xsi:type="dcterms:W3CDTF">2021-08-03T08:05:04Z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ies>
</file>