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lang w:val="en-US" w:eastAsia="zh-CN"/>
        </w:rPr>
      </w:pPr>
      <w:bookmarkStart w:id="0" w:name="_GoBack"/>
      <w:r>
        <w:rPr>
          <w:rFonts w:hint="eastAsia" w:ascii="方正小标宋_GBK" w:hAnsi="方正小标宋_GBK" w:eastAsia="方正小标宋_GBK" w:cs="方正小标宋_GBK"/>
          <w:sz w:val="44"/>
          <w:szCs w:val="44"/>
          <w:highlight w:val="none"/>
          <w:lang w:val="en-US" w:eastAsia="zh-CN"/>
        </w:rPr>
        <w:t>行业协会商会脱钩工作检查记录</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被检查社会组织名称（全称）：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44"/>
          <w:highlight w:val="none"/>
          <w:lang w:val="en-US" w:eastAsia="zh-CN"/>
        </w:rPr>
      </w:pPr>
      <w:r>
        <w:rPr>
          <w:rFonts w:hint="eastAsia" w:ascii="仿宋" w:hAnsi="仿宋" w:eastAsia="仿宋" w:cs="仿宋"/>
          <w:sz w:val="28"/>
          <w:szCs w:val="28"/>
          <w:lang w:val="en-US" w:eastAsia="zh-CN"/>
        </w:rPr>
        <w:t>检查地点：                            检查时间：</w:t>
      </w:r>
    </w:p>
    <w:tbl>
      <w:tblPr>
        <w:tblStyle w:val="4"/>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5731"/>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9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检查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内容</w:t>
            </w:r>
          </w:p>
        </w:tc>
        <w:tc>
          <w:tcPr>
            <w:tcW w:w="57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现场检查事项</w:t>
            </w:r>
          </w:p>
        </w:tc>
        <w:tc>
          <w:tcPr>
            <w:tcW w:w="24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执法人员检查记录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黑体" w:hAnsi="黑体" w:eastAsia="黑体" w:cs="黑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99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0"/>
                <w:sz w:val="21"/>
                <w:szCs w:val="21"/>
                <w:lang w:val="en-US" w:eastAsia="zh-CN"/>
              </w:rPr>
            </w:pPr>
            <w:r>
              <w:rPr>
                <w:rFonts w:hint="eastAsia" w:ascii="楷体" w:hAnsi="楷体" w:eastAsia="楷体" w:cs="楷体"/>
                <w:color w:val="000000"/>
                <w:kern w:val="0"/>
                <w:sz w:val="21"/>
                <w:szCs w:val="21"/>
                <w:lang w:val="en-US" w:eastAsia="zh-CN"/>
              </w:rPr>
              <w:t>机构分离情况</w:t>
            </w:r>
          </w:p>
        </w:tc>
        <w:tc>
          <w:tcPr>
            <w:tcW w:w="573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1.行政机关（包括下属单位）与已脱钩的行业协会商会的主办、主管、联系和挂靠关系是否全面取消;2.是否依然存在利益链条。</w:t>
            </w:r>
          </w:p>
        </w:tc>
        <w:tc>
          <w:tcPr>
            <w:tcW w:w="244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1.有（ ）无（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2.是（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240" w:firstLineChars="100"/>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9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0"/>
                <w:sz w:val="21"/>
                <w:szCs w:val="21"/>
                <w:lang w:val="en-US" w:eastAsia="zh-CN"/>
              </w:rPr>
            </w:pPr>
            <w:r>
              <w:rPr>
                <w:rFonts w:hint="eastAsia" w:ascii="楷体" w:hAnsi="楷体" w:eastAsia="楷体" w:cs="楷体"/>
                <w:color w:val="000000"/>
                <w:kern w:val="0"/>
                <w:sz w:val="21"/>
                <w:szCs w:val="21"/>
                <w:lang w:val="en-US" w:eastAsia="zh-CN"/>
              </w:rPr>
              <w:t>职能分离情况</w:t>
            </w:r>
          </w:p>
        </w:tc>
        <w:tc>
          <w:tcPr>
            <w:tcW w:w="573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行业协会商会现有的行政职能是否完全剥离(法律法规另有规定的除外);2.是否存在“只脱责任不脱利益、不脱业务”等问题;3.行政机关（包括下属单位）是否违规将自身应承担的职责交由行业协会等社团组织承担。</w:t>
            </w:r>
          </w:p>
        </w:tc>
        <w:tc>
          <w:tcPr>
            <w:tcW w:w="244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1.有（ ）无（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2.是（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3.是（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99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0"/>
                <w:sz w:val="21"/>
                <w:szCs w:val="21"/>
                <w:lang w:val="en-US" w:eastAsia="zh-CN"/>
              </w:rPr>
            </w:pPr>
            <w:r>
              <w:rPr>
                <w:rFonts w:hint="eastAsia" w:ascii="楷体" w:hAnsi="楷体" w:eastAsia="楷体" w:cs="楷体"/>
                <w:color w:val="000000"/>
                <w:kern w:val="0"/>
                <w:sz w:val="21"/>
                <w:szCs w:val="21"/>
                <w:lang w:val="en-US" w:eastAsia="zh-CN"/>
              </w:rPr>
              <w:t>人员管理分离情况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0"/>
                <w:sz w:val="21"/>
                <w:szCs w:val="21"/>
                <w:lang w:val="en-US" w:eastAsia="zh-CN"/>
              </w:rPr>
            </w:pPr>
          </w:p>
        </w:tc>
        <w:tc>
          <w:tcPr>
            <w:tcW w:w="573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人员管理上是否与原主办、主管、联系和挂靠单位脱钩；2.行业协会商会全面实行劳动合同制度，是否与工作人员签订劳动合同，依法保障工作人员合法权益;3.行业协会商会与行政机关脱钩后，使用的事业编制是否核销；4.行政机关是否推荐、安排在职和退(离)休公务员到行业协会商会任职兼职;5.是否存在违规领取薪酬、资金、津贴等报酬，获得其他额外利益和领取各种名目补贴等情形;6.行业协会商会有无建立完善法人治理结构，是否有效发挥作用。</w:t>
            </w:r>
          </w:p>
        </w:tc>
        <w:tc>
          <w:tcPr>
            <w:tcW w:w="244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1.有（ ）无（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2.是（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3.是（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4.是（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5.是（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微软雅黑" w:eastAsia="仿宋_GB2312" w:cs="微软雅黑"/>
                <w:color w:val="000000"/>
                <w:kern w:val="0"/>
                <w:lang w:val="en-US" w:eastAsia="zh-CN"/>
              </w:rPr>
              <w:t>6.是（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99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0"/>
                <w:sz w:val="21"/>
                <w:szCs w:val="21"/>
                <w:lang w:val="en-US" w:eastAsia="zh-CN"/>
              </w:rPr>
            </w:pPr>
            <w:r>
              <w:rPr>
                <w:rFonts w:hint="eastAsia" w:ascii="楷体" w:hAnsi="楷体" w:eastAsia="楷体" w:cs="楷体"/>
                <w:color w:val="000000"/>
                <w:kern w:val="0"/>
                <w:sz w:val="21"/>
                <w:szCs w:val="21"/>
                <w:lang w:val="en-US" w:eastAsia="zh-CN"/>
              </w:rPr>
              <w:t>资产财务分离情况</w:t>
            </w:r>
          </w:p>
        </w:tc>
        <w:tc>
          <w:tcPr>
            <w:tcW w:w="573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行业协会商会是否执行民间非营利组织会计制度，单独建账、独立核算；2.行政机关（包括下属单位）是否将自身应承担的经费转由行业协会等社团组织负担，继而转嫁市场主体承担，进行违规收费;3.行业协会商会财务管理是否规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有无在行业协会商会报销财务支出款项，或向有关行业协会商会借款。</w:t>
            </w:r>
          </w:p>
        </w:tc>
        <w:tc>
          <w:tcPr>
            <w:tcW w:w="244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1.有（ ）无（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2.是（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3.有（ ）无（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99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楷体" w:hAnsi="楷体" w:eastAsia="楷体" w:cs="楷体"/>
                <w:color w:val="000000"/>
                <w:kern w:val="0"/>
                <w:sz w:val="21"/>
                <w:szCs w:val="21"/>
                <w:lang w:val="en-US" w:eastAsia="zh-CN"/>
              </w:rPr>
            </w:pPr>
            <w:r>
              <w:rPr>
                <w:rFonts w:hint="eastAsia" w:ascii="楷体" w:hAnsi="楷体" w:eastAsia="楷体" w:cs="楷体"/>
                <w:color w:val="000000"/>
                <w:kern w:val="0"/>
                <w:sz w:val="21"/>
                <w:szCs w:val="21"/>
                <w:lang w:val="en-US" w:eastAsia="zh-CN"/>
              </w:rPr>
              <w:t>党建、外事等事项分离情况</w:t>
            </w:r>
          </w:p>
        </w:tc>
        <w:tc>
          <w:tcPr>
            <w:tcW w:w="573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微软雅黑" w:eastAsia="仿宋_GB2312" w:cs="微软雅黑"/>
                <w:color w:val="000000"/>
                <w:kern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default"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行业协会商会的党建、外事、人力资源服务等事项是否与原主办、主管、联系和挂靠单位脱钩;2.脱钩后的党建工作，是否由依托组织部门和民政部门建立的社会组织党建工作机构统一领导；3.已经建立非公制企业党建工作机构的，是否依托组织部门将其与社会组织党建工作机构整合为一个机构。4.行业协会商会选出的党组织书记、副书记，是否由各级社会组织党建工作机构负责审批;5.对行业协会商会负有行业监管责任的部门，是否对行业协会商会党建工作进行指导。6.行业协会商会脱钩后，外事工作按中央和我省有关外事管理规定执行，是否不再经原主办、主管、联系和挂靠单位审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微软雅黑" w:eastAsia="仿宋_GB2312" w:cs="微软雅黑"/>
                <w:color w:val="000000"/>
                <w:kern w:val="0"/>
                <w:lang w:val="en-US" w:eastAsia="zh-CN"/>
              </w:rPr>
            </w:pPr>
          </w:p>
        </w:tc>
        <w:tc>
          <w:tcPr>
            <w:tcW w:w="244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1.有（ ）无（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2.是（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3.是（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4.是（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_GB2312" w:hAnsi="微软雅黑" w:eastAsia="仿宋_GB2312" w:cs="微软雅黑"/>
                <w:color w:val="000000"/>
                <w:kern w:val="0"/>
                <w:lang w:val="en-US" w:eastAsia="zh-CN"/>
              </w:rPr>
            </w:pPr>
            <w:r>
              <w:rPr>
                <w:rFonts w:hint="eastAsia" w:ascii="仿宋_GB2312" w:hAnsi="微软雅黑" w:eastAsia="仿宋_GB2312" w:cs="微软雅黑"/>
                <w:color w:val="000000"/>
                <w:kern w:val="0"/>
                <w:lang w:val="en-US" w:eastAsia="zh-CN"/>
              </w:rPr>
              <w:t>5.是（ ）否（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微软雅黑" w:eastAsia="仿宋_GB2312" w:cs="微软雅黑"/>
                <w:color w:val="000000"/>
                <w:kern w:val="0"/>
                <w:lang w:val="en-US" w:eastAsia="zh-CN"/>
              </w:rPr>
              <w:t>6.是（ ）否（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执法检查人员签字：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被检查社会组织法人（负责人）或现场授权委托人签字：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宋体" w:eastAsia="仿宋_GB2312" w:cs="仿宋_GB2312"/>
          <w:b w:val="0"/>
          <w:i w:val="0"/>
          <w:caps w:val="0"/>
          <w:color w:val="000000"/>
          <w:spacing w:val="0"/>
          <w:sz w:val="32"/>
          <w:szCs w:val="32"/>
          <w:lang w:val="en-US" w:eastAsia="zh-CN"/>
        </w:rPr>
      </w:pPr>
      <w:r>
        <w:rPr>
          <w:rFonts w:hint="eastAsia" w:ascii="仿宋" w:hAnsi="仿宋" w:eastAsia="仿宋" w:cs="仿宋"/>
          <w:sz w:val="28"/>
          <w:szCs w:val="28"/>
          <w:lang w:val="en-US" w:eastAsia="zh-CN"/>
        </w:rPr>
        <w:t>电子邮箱（必填）：                 联系电话（必填）：</w:t>
      </w:r>
    </w:p>
    <w:p/>
    <w:sectPr>
      <w:footerReference r:id="rId3" w:type="default"/>
      <w:pgSz w:w="11906" w:h="16838"/>
      <w:pgMar w:top="1440"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40E14"/>
    <w:rsid w:val="19E40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2021-08-03T08:01:00Z</dcterms:created>
  <dc:creator>语文课戴表</dc:creator>
  <cp:lastModifiedBy>语文课戴表</cp:lastModifiedBy>
  <dcterms:modified xsi:type="dcterms:W3CDTF">2021-08-03T08:01:25Z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2052-11.1.0.9997</vt:lpwstr>
  </property>
</Properties>
</file>