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1015971</wp:posOffset>
            </wp:positionH>
            <wp:positionV relativeFrom="page">
              <wp:posOffset>3460787</wp:posOffset>
            </wp:positionV>
            <wp:extent cx="1238283" cy="476215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8283" cy="47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2438407</wp:posOffset>
            </wp:positionH>
            <wp:positionV relativeFrom="page">
              <wp:posOffset>3460787</wp:posOffset>
            </wp:positionV>
            <wp:extent cx="3086074" cy="47621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6074" cy="47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1009623</wp:posOffset>
            </wp:positionH>
            <wp:positionV relativeFrom="page">
              <wp:posOffset>4292560</wp:posOffset>
            </wp:positionV>
            <wp:extent cx="1238283" cy="476321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8283" cy="476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4692661</wp:posOffset>
            </wp:positionH>
            <wp:positionV relativeFrom="page">
              <wp:posOffset>4292560</wp:posOffset>
            </wp:positionV>
            <wp:extent cx="831819" cy="47632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1819" cy="476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09"/>
        <w:spacing w:before="92" w:line="198" w:lineRule="auto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spacing w:val="-20"/>
          <w:w w:val="98"/>
        </w:rPr>
        <w:t>ZBCR—2022—0090004</w:t>
      </w:r>
    </w:p>
    <w:p>
      <w:pPr>
        <w:ind w:left="201"/>
        <w:spacing w:before="498" w:line="219" w:lineRule="auto"/>
        <w:rPr>
          <w:rFonts w:ascii="SimSun" w:hAnsi="SimSun" w:eastAsia="SimSun" w:cs="SimSun"/>
          <w:sz w:val="81"/>
          <w:szCs w:val="8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3740165</wp:posOffset>
            </wp:positionH>
            <wp:positionV relativeFrom="paragraph">
              <wp:posOffset>-484230</wp:posOffset>
            </wp:positionV>
            <wp:extent cx="1562079" cy="1555820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79" cy="15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81"/>
          <w:szCs w:val="81"/>
          <w:b/>
          <w:bCs/>
          <w:color w:val="D01B21"/>
          <w:spacing w:val="-54"/>
        </w:rPr>
        <w:t>淄</w:t>
      </w:r>
      <w:r>
        <w:rPr>
          <w:rFonts w:ascii="SimSun" w:hAnsi="SimSun" w:eastAsia="SimSun" w:cs="SimSun"/>
          <w:sz w:val="81"/>
          <w:szCs w:val="81"/>
          <w:color w:val="D01B21"/>
          <w:spacing w:val="80"/>
        </w:rPr>
        <w:t xml:space="preserve"> </w:t>
      </w:r>
      <w:r>
        <w:rPr>
          <w:rFonts w:ascii="SimSun" w:hAnsi="SimSun" w:eastAsia="SimSun" w:cs="SimSun"/>
          <w:sz w:val="81"/>
          <w:szCs w:val="81"/>
          <w:b/>
          <w:bCs/>
          <w:color w:val="D01B21"/>
          <w:spacing w:val="-54"/>
        </w:rPr>
        <w:t>博</w:t>
      </w:r>
      <w:r>
        <w:rPr>
          <w:rFonts w:ascii="SimSun" w:hAnsi="SimSun" w:eastAsia="SimSun" w:cs="SimSun"/>
          <w:sz w:val="81"/>
          <w:szCs w:val="81"/>
          <w:color w:val="D01B21"/>
          <w:spacing w:val="99"/>
        </w:rPr>
        <w:t xml:space="preserve"> </w:t>
      </w:r>
      <w:r>
        <w:rPr>
          <w:rFonts w:ascii="SimSun" w:hAnsi="SimSun" w:eastAsia="SimSun" w:cs="SimSun"/>
          <w:sz w:val="81"/>
          <w:szCs w:val="81"/>
          <w:b/>
          <w:bCs/>
          <w:color w:val="D01B21"/>
          <w:spacing w:val="-54"/>
        </w:rPr>
        <w:t>市</w:t>
      </w:r>
      <w:r>
        <w:rPr>
          <w:rFonts w:ascii="SimSun" w:hAnsi="SimSun" w:eastAsia="SimSun" w:cs="SimSun"/>
          <w:sz w:val="81"/>
          <w:szCs w:val="81"/>
          <w:color w:val="D01B21"/>
          <w:spacing w:val="157"/>
        </w:rPr>
        <w:t xml:space="preserve"> </w:t>
      </w:r>
      <w:r>
        <w:rPr>
          <w:rFonts w:ascii="SimSun" w:hAnsi="SimSun" w:eastAsia="SimSun" w:cs="SimSun"/>
          <w:sz w:val="81"/>
          <w:szCs w:val="81"/>
          <w:b/>
          <w:bCs/>
          <w:color w:val="D01B21"/>
          <w:spacing w:val="-54"/>
        </w:rPr>
        <w:t>民</w:t>
      </w:r>
      <w:r>
        <w:rPr>
          <w:rFonts w:ascii="SimSun" w:hAnsi="SimSun" w:eastAsia="SimSun" w:cs="SimSun"/>
          <w:sz w:val="81"/>
          <w:szCs w:val="81"/>
          <w:color w:val="D01B21"/>
          <w:spacing w:val="74"/>
        </w:rPr>
        <w:t xml:space="preserve"> </w:t>
      </w:r>
      <w:r>
        <w:rPr>
          <w:rFonts w:ascii="SimSun" w:hAnsi="SimSun" w:eastAsia="SimSun" w:cs="SimSun"/>
          <w:sz w:val="81"/>
          <w:szCs w:val="81"/>
          <w:b/>
          <w:bCs/>
          <w:color w:val="D01B21"/>
          <w:spacing w:val="-54"/>
        </w:rPr>
        <w:t>政</w:t>
      </w:r>
      <w:r>
        <w:rPr>
          <w:rFonts w:ascii="SimSun" w:hAnsi="SimSun" w:eastAsia="SimSun" w:cs="SimSun"/>
          <w:sz w:val="81"/>
          <w:szCs w:val="81"/>
          <w:color w:val="D01B21"/>
          <w:spacing w:val="88"/>
        </w:rPr>
        <w:t xml:space="preserve"> </w:t>
      </w:r>
      <w:r>
        <w:rPr>
          <w:rFonts w:ascii="SimSun" w:hAnsi="SimSun" w:eastAsia="SimSun" w:cs="SimSun"/>
          <w:sz w:val="81"/>
          <w:szCs w:val="81"/>
          <w:b/>
          <w:bCs/>
          <w:color w:val="D01B21"/>
          <w:spacing w:val="-54"/>
        </w:rPr>
        <w:t>局</w:t>
      </w:r>
    </w:p>
    <w:p>
      <w:pPr>
        <w:ind w:left="201"/>
        <w:spacing w:before="115" w:line="186" w:lineRule="auto"/>
        <w:rPr>
          <w:rFonts w:ascii="SimSun" w:hAnsi="SimSun" w:eastAsia="SimSun" w:cs="SimSun"/>
          <w:sz w:val="72"/>
          <w:szCs w:val="72"/>
        </w:rPr>
      </w:pPr>
      <w:r>
        <w:rPr>
          <w:rFonts w:ascii="SimSun" w:hAnsi="SimSun" w:eastAsia="SimSun" w:cs="SimSun"/>
          <w:sz w:val="72"/>
          <w:szCs w:val="72"/>
          <w:b/>
          <w:bCs/>
          <w:color w:val="D01B21"/>
          <w:spacing w:val="42"/>
        </w:rPr>
        <w:t>淄</w:t>
      </w:r>
      <w:r>
        <w:rPr>
          <w:rFonts w:ascii="SimSun" w:hAnsi="SimSun" w:eastAsia="SimSun" w:cs="SimSun"/>
          <w:sz w:val="72"/>
          <w:szCs w:val="72"/>
          <w:color w:val="D01B21"/>
          <w:spacing w:val="129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D01B21"/>
          <w:spacing w:val="42"/>
        </w:rPr>
        <w:t>博</w:t>
      </w:r>
      <w:r>
        <w:rPr>
          <w:rFonts w:ascii="SimSun" w:hAnsi="SimSun" w:eastAsia="SimSun" w:cs="SimSun"/>
          <w:sz w:val="72"/>
          <w:szCs w:val="72"/>
          <w:color w:val="D01B21"/>
          <w:spacing w:val="145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D01B21"/>
          <w:spacing w:val="42"/>
        </w:rPr>
        <w:t>市</w:t>
      </w:r>
      <w:r>
        <w:rPr>
          <w:rFonts w:ascii="SimSun" w:hAnsi="SimSun" w:eastAsia="SimSun" w:cs="SimSun"/>
          <w:sz w:val="72"/>
          <w:szCs w:val="72"/>
          <w:color w:val="D01B21"/>
          <w:spacing w:val="126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D01B21"/>
          <w:spacing w:val="42"/>
        </w:rPr>
        <w:t>财</w:t>
      </w:r>
      <w:r>
        <w:rPr>
          <w:rFonts w:ascii="SimSun" w:hAnsi="SimSun" w:eastAsia="SimSun" w:cs="SimSun"/>
          <w:sz w:val="72"/>
          <w:szCs w:val="72"/>
          <w:color w:val="D01B21"/>
          <w:spacing w:val="119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D01B21"/>
          <w:spacing w:val="42"/>
        </w:rPr>
        <w:t>政</w:t>
      </w:r>
      <w:r>
        <w:rPr>
          <w:rFonts w:ascii="SimSun" w:hAnsi="SimSun" w:eastAsia="SimSun" w:cs="SimSun"/>
          <w:sz w:val="72"/>
          <w:szCs w:val="72"/>
          <w:color w:val="D01B21"/>
          <w:spacing w:val="132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D01B21"/>
          <w:spacing w:val="42"/>
        </w:rPr>
        <w:t>局</w:t>
      </w:r>
    </w:p>
    <w:p>
      <w:pPr>
        <w:ind w:right="126"/>
        <w:spacing w:line="220" w:lineRule="auto"/>
        <w:jc w:val="right"/>
        <w:rPr>
          <w:rFonts w:ascii="SimSun" w:hAnsi="SimSun" w:eastAsia="SimSun" w:cs="SimSun"/>
          <w:sz w:val="102"/>
          <w:szCs w:val="102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3263878</wp:posOffset>
            </wp:positionH>
            <wp:positionV relativeFrom="paragraph">
              <wp:posOffset>143688</wp:posOffset>
            </wp:positionV>
            <wp:extent cx="1600239" cy="156201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239" cy="156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02"/>
          <w:szCs w:val="102"/>
          <w:b/>
          <w:bCs/>
          <w:color w:val="D64C50"/>
          <w:spacing w:val="-82"/>
          <w:w w:val="98"/>
        </w:rPr>
        <w:t>文件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left="2700"/>
        <w:spacing w:before="264" w:line="220" w:lineRule="auto"/>
        <w:rPr>
          <w:rFonts w:ascii="SimSun" w:hAnsi="SimSun" w:eastAsia="SimSun" w:cs="SimSun"/>
          <w:sz w:val="81"/>
          <w:szCs w:val="8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330218</wp:posOffset>
            </wp:positionH>
            <wp:positionV relativeFrom="paragraph">
              <wp:posOffset>-844535</wp:posOffset>
            </wp:positionV>
            <wp:extent cx="1581122" cy="1568431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1122" cy="156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81"/>
          <w:szCs w:val="81"/>
          <w:b/>
          <w:bCs/>
          <w:color w:val="D01B21"/>
          <w:spacing w:val="-56"/>
        </w:rPr>
        <w:t>残疾人联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3240"/>
        <w:spacing w:before="104" w:line="22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6"/>
        </w:rPr>
        <w:t>淄民〔2022〕55号</w:t>
      </w:r>
    </w:p>
    <w:p>
      <w:pPr>
        <w:spacing w:before="122" w:line="60" w:lineRule="exact"/>
        <w:textAlignment w:val="center"/>
        <w:rPr/>
      </w:pPr>
      <w:r>
        <w:drawing>
          <wp:inline distT="0" distB="0" distL="0" distR="0">
            <wp:extent cx="6083284" cy="3804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3284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2775" w:right="1015" w:hanging="2199"/>
        <w:spacing w:before="147" w:line="233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关于印发《淄博市最低生活保障边缘家庭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0"/>
        </w:rPr>
        <w:t>认定办法》的通知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109" w:right="480"/>
        <w:spacing w:before="104" w:line="346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0"/>
        </w:rPr>
        <w:t>各区县民政局、财政局、人力资源和社会保障局、残疾人联合会</w:t>
      </w:r>
      <w:r>
        <w:rPr>
          <w:rFonts w:ascii="SimSun" w:hAnsi="SimSun" w:eastAsia="SimSun" w:cs="SimSun"/>
          <w:sz w:val="32"/>
          <w:szCs w:val="32"/>
          <w:spacing w:val="-11"/>
        </w:rPr>
        <w:t>，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高新区民政和文旅事业中心、财政金融局、人社中心，淄博南</w:t>
      </w:r>
      <w:r>
        <w:rPr>
          <w:rFonts w:ascii="SimSun" w:hAnsi="SimSun" w:eastAsia="SimSun" w:cs="SimSun"/>
          <w:sz w:val="32"/>
          <w:szCs w:val="32"/>
          <w:spacing w:val="-5"/>
        </w:rPr>
        <w:t>部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4"/>
        </w:rPr>
        <w:t>生态产业新城发展中心，经开区财政局、人社局，文昌湖区</w:t>
      </w:r>
      <w:r>
        <w:rPr>
          <w:rFonts w:ascii="SimSun" w:hAnsi="SimSun" w:eastAsia="SimSun" w:cs="SimSun"/>
          <w:sz w:val="32"/>
          <w:szCs w:val="32"/>
          <w:spacing w:val="-5"/>
        </w:rPr>
        <w:t>地方</w:t>
      </w:r>
    </w:p>
    <w:p>
      <w:pPr>
        <w:ind w:left="109"/>
        <w:spacing w:before="1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事业局、财政局、组织人事部：</w:t>
      </w:r>
    </w:p>
    <w:p>
      <w:pPr>
        <w:ind w:left="759"/>
        <w:spacing w:before="199" w:line="590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1"/>
          <w:position w:val="20"/>
        </w:rPr>
        <w:t>现将《淄博市最低生活保障边缘家庭认定办法》印发给你们，</w:t>
      </w:r>
    </w:p>
    <w:p>
      <w:pPr>
        <w:ind w:left="109"/>
        <w:spacing w:before="1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请认真遵照执行。</w:t>
      </w:r>
    </w:p>
    <w:p>
      <w:pPr>
        <w:sectPr>
          <w:footerReference w:type="default" r:id="rId1"/>
          <w:pgSz w:w="11900" w:h="16830"/>
          <w:pgMar w:top="1430" w:right="890" w:bottom="1800" w:left="1430" w:header="0" w:footer="1531" w:gutter="0"/>
        </w:sectPr>
        <w:rPr/>
      </w:pPr>
    </w:p>
    <w:p>
      <w:pPr>
        <w:spacing w:line="426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1752578</wp:posOffset>
            </wp:positionH>
            <wp:positionV relativeFrom="page">
              <wp:posOffset>3276649</wp:posOffset>
            </wp:positionV>
            <wp:extent cx="1555807" cy="1562018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807" cy="156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4629187</wp:posOffset>
            </wp:positionH>
            <wp:positionV relativeFrom="page">
              <wp:posOffset>1200155</wp:posOffset>
            </wp:positionV>
            <wp:extent cx="1454097" cy="147321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097" cy="147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450"/>
        <w:spacing w:line="2460" w:lineRule="exact"/>
        <w:textAlignment w:val="center"/>
        <w:rPr/>
      </w:pPr>
      <w:r>
        <w:drawing>
          <wp:inline distT="0" distB="0" distL="0" distR="0">
            <wp:extent cx="1549384" cy="1562019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6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right="92"/>
        <w:spacing w:before="98" w:line="219" w:lineRule="auto"/>
        <w:jc w:val="right"/>
        <w:rPr>
          <w:rFonts w:ascii="SimSun" w:hAnsi="SimSun" w:eastAsia="SimSun" w:cs="SimSun"/>
          <w:sz w:val="30"/>
          <w:szCs w:val="30"/>
        </w:rPr>
      </w:pPr>
      <w:r>
        <w:pict>
          <v:shape id="_x0000_s2" style="position:absolute;margin-left:296.5pt;margin-top:-161.543pt;mso-position-vertical-relative:text;mso-position-horizontal-relative:text;width:95.35pt;height:19.85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30"/>
                      <w:szCs w:val="30"/>
                    </w:rPr>
                  </w:pPr>
                  <w:r>
                    <w:rPr>
                      <w:rFonts w:ascii="SimSun" w:hAnsi="SimSun" w:eastAsia="SimSun" w:cs="SimSun"/>
                      <w:sz w:val="30"/>
                      <w:szCs w:val="30"/>
                      <w:spacing w:val="11"/>
                    </w:rPr>
                    <w:t>淄博市财政局</w:t>
                  </w:r>
                </w:p>
              </w:txbxContent>
            </v:textbox>
          </v:shape>
        </w:pict>
      </w:r>
      <w:r>
        <w:pict>
          <v:shape id="_x0000_s3" style="position:absolute;margin-left:28.9999pt;margin-top:4.40619pt;mso-position-vertical-relative:text;mso-position-horizontal-relative:text;width:187.3pt;height:19.8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30"/>
                      <w:szCs w:val="30"/>
                    </w:rPr>
                  </w:pPr>
                  <w:r>
                    <w:rPr>
                      <w:rFonts w:ascii="SimSun" w:hAnsi="SimSun" w:eastAsia="SimSun" w:cs="SimSun"/>
                      <w:sz w:val="30"/>
                      <w:szCs w:val="30"/>
                      <w:spacing w:val="-14"/>
                    </w:rPr>
                    <w:t>淄博市人力资源和社会保障局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3695733</wp:posOffset>
            </wp:positionH>
            <wp:positionV relativeFrom="paragraph">
              <wp:posOffset>-668578</wp:posOffset>
            </wp:positionV>
            <wp:extent cx="1562079" cy="1568431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79" cy="156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spacing w:val="14"/>
        </w:rPr>
        <w:t>淄博市残疾人联合会</w:t>
      </w:r>
    </w:p>
    <w:p>
      <w:pPr>
        <w:ind w:right="295"/>
        <w:spacing w:before="246" w:line="219" w:lineRule="auto"/>
        <w:jc w:val="righ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6"/>
        </w:rPr>
        <w:t>2022年11月1</w:t>
      </w:r>
      <w:r>
        <w:rPr>
          <w:rFonts w:ascii="SimSun" w:hAnsi="SimSun" w:eastAsia="SimSun" w:cs="SimSun"/>
          <w:sz w:val="30"/>
          <w:szCs w:val="30"/>
          <w:spacing w:val="-7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46"/>
        </w:rPr>
        <w:t>日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700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(此件主动公开)</w:t>
      </w:r>
    </w:p>
    <w:p>
      <w:pPr>
        <w:sectPr>
          <w:footerReference w:type="default" r:id="rId10"/>
          <w:pgSz w:w="11900" w:h="16830"/>
          <w:pgMar w:top="1430" w:right="1785" w:bottom="1792" w:left="1579" w:header="0" w:footer="1534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776"/>
        <w:spacing w:before="143" w:line="1236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  <w:position w:val="61"/>
        </w:rPr>
        <w:t>淄博市最低生活保障边缘家庭认定办法</w:t>
      </w:r>
    </w:p>
    <w:p>
      <w:pPr>
        <w:ind w:left="3514"/>
        <w:spacing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3"/>
        </w:rPr>
        <w:t>第一章总则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right="173" w:firstLine="654"/>
        <w:spacing w:before="104" w:line="32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8"/>
        </w:rPr>
        <w:t>第一条</w:t>
      </w:r>
      <w:r>
        <w:rPr>
          <w:rFonts w:ascii="SimSun" w:hAnsi="SimSun" w:eastAsia="SimSun" w:cs="SimSun"/>
          <w:sz w:val="32"/>
          <w:szCs w:val="32"/>
          <w:spacing w:val="33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8"/>
        </w:rPr>
        <w:t>为健全完善分层分类社会救助体系，规范最低生</w:t>
      </w:r>
      <w:r>
        <w:rPr>
          <w:rFonts w:ascii="SimSun" w:hAnsi="SimSun" w:eastAsia="SimSun" w:cs="SimSun"/>
          <w:sz w:val="32"/>
          <w:szCs w:val="32"/>
          <w:spacing w:val="-9"/>
        </w:rPr>
        <w:t>活</w:t>
      </w:r>
      <w:r>
        <w:rPr>
          <w:rFonts w:ascii="SimSun" w:hAnsi="SimSun" w:eastAsia="SimSun" w:cs="SimSun"/>
          <w:sz w:val="32"/>
          <w:szCs w:val="32"/>
          <w:spacing w:val="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8"/>
        </w:rPr>
        <w:t>保障边缘家庭(以下简称低保边缘家庭)认定工作，根据国家和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省有关规定，制定本办法。</w:t>
      </w:r>
    </w:p>
    <w:p>
      <w:pPr>
        <w:ind w:left="654"/>
        <w:spacing w:before="188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6"/>
        </w:rPr>
        <w:t>第二条</w:t>
      </w:r>
      <w:r>
        <w:rPr>
          <w:rFonts w:ascii="SimSun" w:hAnsi="SimSun" w:eastAsia="SimSun" w:cs="SimSun"/>
          <w:sz w:val="32"/>
          <w:szCs w:val="32"/>
          <w:spacing w:val="33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6"/>
        </w:rPr>
        <w:t>低保边缘家庭认定工作应遵循以下原则</w:t>
      </w:r>
      <w:r>
        <w:rPr>
          <w:rFonts w:ascii="SimSun" w:hAnsi="SimSun" w:eastAsia="SimSun" w:cs="SimSun"/>
          <w:sz w:val="32"/>
          <w:szCs w:val="32"/>
          <w:spacing w:val="-7"/>
        </w:rPr>
        <w:t>：</w:t>
      </w:r>
    </w:p>
    <w:p>
      <w:pPr>
        <w:ind w:left="810"/>
        <w:spacing w:before="18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8"/>
        </w:rPr>
        <w:t>(一)属地管理，分级负责；</w:t>
      </w:r>
    </w:p>
    <w:p>
      <w:pPr>
        <w:ind w:left="810"/>
        <w:spacing w:before="178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8"/>
        </w:rPr>
        <w:t>(二)动态管理，精准认定；</w:t>
      </w:r>
    </w:p>
    <w:p>
      <w:pPr>
        <w:ind w:left="810"/>
        <w:spacing w:before="183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8"/>
        </w:rPr>
        <w:t>(三)优化服务，高效便民；</w:t>
      </w:r>
    </w:p>
    <w:p>
      <w:pPr>
        <w:ind w:left="810"/>
        <w:spacing w:before="181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9"/>
        </w:rPr>
        <w:t>(四)公开、公平、公正、公信。</w:t>
      </w:r>
    </w:p>
    <w:p>
      <w:pPr>
        <w:ind w:firstLine="654"/>
        <w:spacing w:before="173" w:line="32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7"/>
        </w:rPr>
        <w:t>第三条</w:t>
      </w:r>
      <w:r>
        <w:rPr>
          <w:rFonts w:ascii="SimSun" w:hAnsi="SimSun" w:eastAsia="SimSun" w:cs="SimSun"/>
          <w:sz w:val="32"/>
          <w:szCs w:val="32"/>
          <w:spacing w:val="24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7"/>
        </w:rPr>
        <w:t>共同生活家庭成员户籍状况、家庭收入、家庭财产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3"/>
        </w:rPr>
        <w:t>符合当地低保边缘家庭认定条件的，经申请审核确认可认定为低</w:t>
      </w:r>
      <w:r>
        <w:rPr>
          <w:rFonts w:ascii="SimSun" w:hAnsi="SimSun" w:eastAsia="SimSun" w:cs="SimSun"/>
          <w:sz w:val="32"/>
          <w:szCs w:val="32"/>
          <w:spacing w:val="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2"/>
        </w:rPr>
        <w:t>保边缘家庭。共同生活家庭成员、家庭收入、刚性支出及核算认</w:t>
      </w:r>
      <w:r>
        <w:rPr>
          <w:rFonts w:ascii="SimSun" w:hAnsi="SimSun" w:eastAsia="SimSun" w:cs="SimSun"/>
          <w:sz w:val="32"/>
          <w:szCs w:val="32"/>
          <w:spacing w:val="1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3"/>
        </w:rPr>
        <w:t>定、家庭财产具体内容等参照《淄博市最低生活保障管</w:t>
      </w:r>
      <w:r>
        <w:rPr>
          <w:rFonts w:ascii="SimSun" w:hAnsi="SimSun" w:eastAsia="SimSun" w:cs="SimSun"/>
          <w:sz w:val="32"/>
          <w:szCs w:val="32"/>
          <w:spacing w:val="2"/>
        </w:rPr>
        <w:t>理办法》</w:t>
      </w:r>
    </w:p>
    <w:p>
      <w:pPr>
        <w:ind w:left="150"/>
        <w:spacing w:before="1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2"/>
        </w:rPr>
        <w:t>(淄民〔2022〕15号)有关规定执行。</w:t>
      </w:r>
    </w:p>
    <w:p>
      <w:pPr>
        <w:ind w:right="142" w:firstLine="654"/>
        <w:spacing w:before="172" w:line="32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7"/>
        </w:rPr>
        <w:t>第四条</w:t>
      </w:r>
      <w:r>
        <w:rPr>
          <w:rFonts w:ascii="SimSun" w:hAnsi="SimSun" w:eastAsia="SimSun" w:cs="SimSun"/>
          <w:sz w:val="32"/>
          <w:szCs w:val="32"/>
          <w:spacing w:val="13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7"/>
        </w:rPr>
        <w:t>县级以上人民政府民政部门负责本行政区域内低</w:t>
      </w:r>
      <w:r>
        <w:rPr>
          <w:rFonts w:ascii="SimSun" w:hAnsi="SimSun" w:eastAsia="SimSun" w:cs="SimSun"/>
          <w:sz w:val="32"/>
          <w:szCs w:val="32"/>
          <w:spacing w:val="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2"/>
        </w:rPr>
        <w:t>保边缘家庭认定工作，统筹做好低保边缘家庭相</w:t>
      </w:r>
      <w:r>
        <w:rPr>
          <w:rFonts w:ascii="SimSun" w:hAnsi="SimSun" w:eastAsia="SimSun" w:cs="SimSun"/>
          <w:sz w:val="32"/>
          <w:szCs w:val="32"/>
          <w:spacing w:val="-3"/>
        </w:rPr>
        <w:t>关工作。镇人民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7"/>
        </w:rPr>
        <w:t>政府(街道办事处)〔以下简称镇(街道)〕承接区县按程序委托</w:t>
      </w:r>
      <w:r>
        <w:rPr>
          <w:rFonts w:ascii="SimSun" w:hAnsi="SimSun" w:eastAsia="SimSun" w:cs="SimSun"/>
          <w:sz w:val="32"/>
          <w:szCs w:val="32"/>
          <w:spacing w:val="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的审核确认权限，承担本行政区域内低保边缘家庭认定申请的受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理、审核、确认、管理等工作，县级民政部门加强监督指导。村</w:t>
      </w:r>
    </w:p>
    <w:p>
      <w:pPr>
        <w:sectPr>
          <w:footerReference w:type="default" r:id="rId15"/>
          <w:pgSz w:w="11900" w:h="16830"/>
          <w:pgMar w:top="1430" w:right="1339" w:bottom="1789" w:left="1519" w:header="0" w:footer="1521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60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</w:rPr>
        <w:t>(居)民委员会〔以下简称村(居)委会〕协助做好相关工作。</w:t>
      </w:r>
    </w:p>
    <w:p>
      <w:pPr>
        <w:ind w:right="138" w:firstLine="674"/>
        <w:spacing w:before="178" w:line="335" w:lineRule="auto"/>
        <w:jc w:val="righ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5"/>
        </w:rPr>
        <w:t>第五条</w:t>
      </w:r>
      <w:r>
        <w:rPr>
          <w:rFonts w:ascii="SimSun" w:hAnsi="SimSun" w:eastAsia="SimSun" w:cs="SimSun"/>
          <w:sz w:val="31"/>
          <w:szCs w:val="31"/>
          <w:spacing w:val="14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各级民政部门应当会同有关部门健全完善社会救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助家庭经济状况核对机制，为审核确认低保边缘家庭</w:t>
      </w:r>
      <w:r>
        <w:rPr>
          <w:rFonts w:ascii="SimSun" w:hAnsi="SimSun" w:eastAsia="SimSun" w:cs="SimSun"/>
          <w:sz w:val="31"/>
          <w:szCs w:val="31"/>
          <w:spacing w:val="3"/>
        </w:rPr>
        <w:t>提供信息支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持，根据信息共享要求与相关单位共享低保边缘家庭有关信息。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325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8"/>
        </w:rPr>
        <w:t>第二章认定条件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74"/>
        <w:spacing w:before="101" w:line="57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"/>
          <w:position w:val="19"/>
        </w:rPr>
        <w:t>第六条</w:t>
      </w:r>
      <w:r>
        <w:rPr>
          <w:rFonts w:ascii="SimSun" w:hAnsi="SimSun" w:eastAsia="SimSun" w:cs="SimSun"/>
          <w:sz w:val="31"/>
          <w:szCs w:val="31"/>
          <w:spacing w:val="21"/>
          <w:position w:val="1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  <w:position w:val="19"/>
        </w:rPr>
        <w:t>低保边缘家庭通过申请人申请、家庭经济状况信息</w:t>
      </w:r>
    </w:p>
    <w:p>
      <w:pPr>
        <w:spacing w:before="1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核对、家庭生活状况综合评估的方式确定。</w:t>
      </w:r>
    </w:p>
    <w:p>
      <w:pPr>
        <w:ind w:left="669"/>
        <w:spacing w:before="197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第七条</w:t>
      </w:r>
      <w:r>
        <w:rPr>
          <w:rFonts w:ascii="SimSun" w:hAnsi="SimSun" w:eastAsia="SimSun" w:cs="SimSun"/>
          <w:sz w:val="31"/>
          <w:szCs w:val="31"/>
          <w:spacing w:val="14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低保边缘家庭应同时符合下列规定：</w:t>
      </w:r>
    </w:p>
    <w:p>
      <w:pPr>
        <w:ind w:left="780"/>
        <w:spacing w:before="182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  <w:position w:val="18"/>
        </w:rPr>
        <w:t>(一)共同生活家庭成员月人均收入高于申请受理地最低生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活保障标准、低于1.5倍。</w:t>
      </w:r>
    </w:p>
    <w:p>
      <w:pPr>
        <w:ind w:left="780"/>
        <w:spacing w:before="19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(二)家庭财产状况符合相关规定。</w:t>
      </w:r>
    </w:p>
    <w:p>
      <w:pPr>
        <w:ind w:left="674"/>
        <w:spacing w:before="187" w:line="56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5"/>
          <w:position w:val="18"/>
        </w:rPr>
        <w:t>第八条</w:t>
      </w:r>
      <w:r>
        <w:rPr>
          <w:rFonts w:ascii="SimSun" w:hAnsi="SimSun" w:eastAsia="SimSun" w:cs="SimSun"/>
          <w:sz w:val="31"/>
          <w:szCs w:val="31"/>
          <w:spacing w:val="141"/>
          <w:position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  <w:position w:val="18"/>
        </w:rPr>
        <w:t>刚性支出按照申请人提出申请前12个月的支出总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额计算，主要包括：</w:t>
      </w:r>
    </w:p>
    <w:p>
      <w:pPr>
        <w:ind w:firstLine="780"/>
        <w:spacing w:before="203" w:line="33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(一)医疗费用支出。指家庭成员患病在医疗机构发生的，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扣除基本医疗保险、大病保险、其他补充医疗保险</w:t>
      </w:r>
      <w:r>
        <w:rPr>
          <w:rFonts w:ascii="SimSun" w:hAnsi="SimSun" w:eastAsia="SimSun" w:cs="SimSun"/>
          <w:sz w:val="31"/>
          <w:szCs w:val="31"/>
          <w:spacing w:val="6"/>
        </w:rPr>
        <w:t>、商业健康保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险、医疗救助、慈善救助后，政策范围内个人实际支付的医疗费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用，原则上依据票据认定。</w:t>
      </w:r>
    </w:p>
    <w:p>
      <w:pPr>
        <w:ind w:firstLine="780"/>
        <w:spacing w:before="195" w:line="33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(二)教育费用支出。指家庭成员就读于国内幼儿园</w:t>
      </w:r>
      <w:r>
        <w:rPr>
          <w:rFonts w:ascii="SimSun" w:hAnsi="SimSun" w:eastAsia="SimSun" w:cs="SimSun"/>
          <w:sz w:val="31"/>
          <w:szCs w:val="31"/>
          <w:spacing w:val="12"/>
        </w:rPr>
        <w:t>和全日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制本科及以下学历教育阶段个人负担的保教费或</w:t>
      </w:r>
      <w:r>
        <w:rPr>
          <w:rFonts w:ascii="SimSun" w:hAnsi="SimSun" w:eastAsia="SimSun" w:cs="SimSun"/>
          <w:sz w:val="31"/>
          <w:szCs w:val="31"/>
          <w:spacing w:val="8"/>
        </w:rPr>
        <w:t>学费、住宿费，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原则上按就读学校教育主管部门提供的基准定额认定。就读民办</w:t>
      </w:r>
    </w:p>
    <w:p>
      <w:pPr>
        <w:sectPr>
          <w:footerReference w:type="default" r:id="rId16"/>
          <w:pgSz w:w="11900" w:h="16830"/>
          <w:pgMar w:top="1430" w:right="1414" w:bottom="1807" w:left="1559" w:header="0" w:footer="1499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01" w:line="54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  <w:position w:val="17"/>
        </w:rPr>
        <w:t>学校(幼儿园)的，按当地同类公办学校(幼儿园)费用标准认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7"/>
        </w:rPr>
        <w:t>定。</w:t>
      </w:r>
    </w:p>
    <w:p>
      <w:pPr>
        <w:ind w:right="80" w:firstLine="790"/>
        <w:spacing w:before="210" w:line="33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(三)残疾康复费用支出。指残疾人基本康复服务产生的训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练、护理、辅助器具等必要开支，在扣除政府补助、医疗保险、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医疗救助、慈善救助和商业保险补偿后，个人实际支付的费用，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原则上依据票据认定。</w:t>
      </w:r>
    </w:p>
    <w:p>
      <w:pPr>
        <w:ind w:firstLine="790"/>
        <w:spacing w:before="190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(四)因灾、因意外费用支出。指因交通事故、火灾、爆炸、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溺水、人身伤害等意外事件，造成家庭财产重大损失</w:t>
      </w:r>
      <w:r>
        <w:rPr>
          <w:rFonts w:ascii="SimSun" w:hAnsi="SimSun" w:eastAsia="SimSun" w:cs="SimSun"/>
          <w:sz w:val="31"/>
          <w:szCs w:val="31"/>
          <w:spacing w:val="-2"/>
        </w:rPr>
        <w:t>或人员伤亡，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扣除各种赔偿、保险、政府救助和社会帮扶资金后，实</w:t>
      </w:r>
      <w:r>
        <w:rPr>
          <w:rFonts w:ascii="SimSun" w:hAnsi="SimSun" w:eastAsia="SimSun" w:cs="SimSun"/>
          <w:sz w:val="31"/>
          <w:szCs w:val="31"/>
          <w:spacing w:val="5"/>
        </w:rPr>
        <w:t>际负担的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费用或用于家庭恢复基本生活所必需的费用。</w:t>
      </w:r>
    </w:p>
    <w:p>
      <w:pPr>
        <w:ind w:left="694"/>
        <w:spacing w:before="189" w:line="566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  <w:position w:val="19"/>
        </w:rPr>
        <w:t>第九条</w:t>
      </w:r>
      <w:r>
        <w:rPr>
          <w:rFonts w:ascii="SimSun" w:hAnsi="SimSun" w:eastAsia="SimSun" w:cs="SimSun"/>
          <w:sz w:val="31"/>
          <w:szCs w:val="31"/>
          <w:spacing w:val="30"/>
          <w:position w:val="1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  <w:position w:val="19"/>
        </w:rPr>
        <w:t>家庭财产状况有下列情形之一的，原则上不纳入低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保边缘家庭范围：</w:t>
      </w:r>
    </w:p>
    <w:p>
      <w:pPr>
        <w:ind w:left="790"/>
        <w:spacing w:before="219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(一)人均金融资产超过当地年低保标准3倍的；</w:t>
      </w:r>
    </w:p>
    <w:p>
      <w:pPr>
        <w:ind w:left="790"/>
        <w:spacing w:before="191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  <w:position w:val="18"/>
        </w:rPr>
        <w:t>(二)拥有机动车辆(普通二轮和三轮摩托车、残疾人用于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功能型补偿代步的机动车辆除外)、船舶、大型农机具的；</w:t>
      </w:r>
    </w:p>
    <w:p>
      <w:pPr>
        <w:ind w:right="96" w:firstLine="790"/>
        <w:spacing w:before="191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(三)拥有两套及以上住房且住房总面积超过当地住房保障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标准面积2倍，或者申请低保边缘家庭之前1年内以及认定有效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期内购买超过当地住房保障标准面积商品房的；申</w:t>
      </w:r>
      <w:r>
        <w:rPr>
          <w:rFonts w:ascii="SimSun" w:hAnsi="SimSun" w:eastAsia="SimSun" w:cs="SimSun"/>
          <w:sz w:val="31"/>
          <w:szCs w:val="31"/>
          <w:spacing w:val="7"/>
        </w:rPr>
        <w:t>请低保边缘家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庭之前1年内或者认定有效期内，兴建、购买非居住用房或者高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标准装修住房的；</w:t>
      </w:r>
    </w:p>
    <w:p>
      <w:pPr>
        <w:ind w:left="790"/>
        <w:spacing w:before="192" w:line="56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  <w:position w:val="18"/>
        </w:rPr>
        <w:t>(四)具有投资行为且人均投资数额超过当地年低保标准2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1"/>
        </w:rPr>
        <w:t>倍的；</w:t>
      </w:r>
    </w:p>
    <w:p>
      <w:pPr>
        <w:sectPr>
          <w:footerReference w:type="default" r:id="rId17"/>
          <w:pgSz w:w="11900" w:h="16830"/>
          <w:pgMar w:top="1430" w:right="1415" w:bottom="1810" w:left="1489" w:header="0" w:footer="1554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790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(五)雇佣他人从事经营性活动的；</w:t>
      </w:r>
    </w:p>
    <w:p>
      <w:pPr>
        <w:ind w:left="790"/>
        <w:spacing w:before="17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(六)实际生活水平明显高于当地低保边缘家庭标准的。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324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8"/>
        </w:rPr>
        <w:t>第三章申请受理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right="116" w:firstLine="654"/>
        <w:spacing w:before="100" w:line="338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"/>
        </w:rPr>
        <w:t>第十条</w:t>
      </w:r>
      <w:r>
        <w:rPr>
          <w:rFonts w:ascii="SimSun" w:hAnsi="SimSun" w:eastAsia="SimSun" w:cs="SimSun"/>
          <w:sz w:val="31"/>
          <w:szCs w:val="31"/>
          <w:spacing w:val="4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</w:rPr>
        <w:t>申请低保边缘家庭一般应以家庭为单位，由申请家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庭确定一名共同生活的家庭成员作为申请人，向户籍所在地镇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(街道)提出书面申请，也可以通过互联网提出申请。低</w:t>
      </w:r>
      <w:r>
        <w:rPr>
          <w:rFonts w:ascii="SimSun" w:hAnsi="SimSun" w:eastAsia="SimSun" w:cs="SimSun"/>
          <w:sz w:val="31"/>
          <w:szCs w:val="31"/>
          <w:spacing w:val="16"/>
        </w:rPr>
        <w:t>保边缘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家庭申请材料参照低保申请材料要求。</w:t>
      </w:r>
    </w:p>
    <w:p>
      <w:pPr>
        <w:ind w:right="101" w:firstLine="654"/>
        <w:spacing w:before="190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5"/>
        </w:rPr>
        <w:t>第十一条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5"/>
        </w:rPr>
        <w:t>镇(街道)应当对提交的材料进行审查，材料齐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备的予以受理；材料不齐备的，应当一次性告</w:t>
      </w:r>
      <w:r>
        <w:rPr>
          <w:rFonts w:ascii="SimSun" w:hAnsi="SimSun" w:eastAsia="SimSun" w:cs="SimSun"/>
          <w:sz w:val="31"/>
          <w:szCs w:val="31"/>
          <w:spacing w:val="5"/>
        </w:rPr>
        <w:t>知补齐所有规定材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料。可以通过国家或省政务服务平台、省社会救助家庭经济状况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核对系统查询获取的材料不再要求当事人提交。</w:t>
      </w:r>
    </w:p>
    <w:p>
      <w:pPr>
        <w:ind w:right="102" w:firstLine="654"/>
        <w:spacing w:before="189" w:line="335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5"/>
        </w:rPr>
        <w:t>第十二条</w:t>
      </w:r>
      <w:r>
        <w:rPr>
          <w:rFonts w:ascii="SimSun" w:hAnsi="SimSun" w:eastAsia="SimSun" w:cs="SimSun"/>
          <w:sz w:val="31"/>
          <w:szCs w:val="31"/>
          <w:spacing w:val="4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5"/>
        </w:rPr>
        <w:t>共同生活的家庭成员户籍与经常居住地不一致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的、持有居住证人员以家庭为单位在居住地申请低保边缘家庭资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格的，申请方法参照《淄博市最低生活保障管理办法》有关规定。</w:t>
      </w:r>
    </w:p>
    <w:p>
      <w:pPr>
        <w:ind w:right="101" w:firstLine="654"/>
        <w:spacing w:before="186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第十三条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共同生活的家庭成员申请有困难的，可以委托村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(居)委会或者其他人代为提出申请。委托申请的，应当办理相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应委托手续。镇(街道)、村(居)委会发现困难家庭可能符合</w:t>
      </w:r>
    </w:p>
    <w:p>
      <w:pPr>
        <w:spacing w:before="2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低保边缘家庭条件的，应当主动告知其有关政策</w:t>
      </w:r>
      <w:r>
        <w:rPr>
          <w:rFonts w:ascii="SimSun" w:hAnsi="SimSun" w:eastAsia="SimSun" w:cs="SimSun"/>
          <w:sz w:val="31"/>
          <w:szCs w:val="31"/>
          <w:spacing w:val="7"/>
        </w:rPr>
        <w:t>。</w:t>
      </w:r>
    </w:p>
    <w:p>
      <w:pPr>
        <w:ind w:left="654"/>
        <w:spacing w:before="192" w:line="57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  <w:position w:val="19"/>
        </w:rPr>
        <w:t>第十四条</w:t>
      </w:r>
      <w:r>
        <w:rPr>
          <w:rFonts w:ascii="SimSun" w:hAnsi="SimSun" w:eastAsia="SimSun" w:cs="SimSun"/>
          <w:sz w:val="31"/>
          <w:szCs w:val="31"/>
          <w:spacing w:val="22"/>
          <w:position w:val="1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  <w:position w:val="19"/>
        </w:rPr>
        <w:t>家庭成员有下列行为之一的，应当暂缓或者不予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受理其低保边缘家庭申请：</w:t>
      </w:r>
    </w:p>
    <w:p>
      <w:pPr>
        <w:sectPr>
          <w:footerReference w:type="default" r:id="rId18"/>
          <w:pgSz w:w="11900" w:h="16830"/>
          <w:pgMar w:top="1430" w:right="1365" w:bottom="1819" w:left="1569" w:header="0" w:footer="155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800"/>
        <w:spacing w:before="101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  <w:position w:val="18"/>
        </w:rPr>
        <w:t>(一)在法定劳动就业年龄段内，有劳动能力但无正当理由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拒绝就业或者拒绝从事生产劳动的；</w:t>
      </w:r>
    </w:p>
    <w:p>
      <w:pPr>
        <w:ind w:left="800"/>
        <w:spacing w:before="190" w:line="56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  <w:position w:val="18"/>
        </w:rPr>
        <w:t>(二)拒绝配合社会救助经办机构或者经办人员对其家庭状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况进行调查，致使无法核实家庭收入和财产的；</w:t>
      </w:r>
    </w:p>
    <w:p>
      <w:pPr>
        <w:ind w:left="800"/>
        <w:spacing w:before="191" w:line="55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  <w:position w:val="18"/>
        </w:rPr>
        <w:t>(三)故意隐瞒家庭及其法定赡养、抚养、扶</w:t>
      </w:r>
      <w:r>
        <w:rPr>
          <w:rFonts w:ascii="SimSun" w:hAnsi="SimSun" w:eastAsia="SimSun" w:cs="SimSun"/>
          <w:sz w:val="31"/>
          <w:szCs w:val="31"/>
          <w:spacing w:val="5"/>
          <w:position w:val="18"/>
        </w:rPr>
        <w:t>养人家庭人口、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收入和财产状况，或者提供虚假申请材料的；</w:t>
      </w:r>
    </w:p>
    <w:p>
      <w:pPr>
        <w:ind w:left="800"/>
        <w:spacing w:before="195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</w:rPr>
        <w:t>(四)自费在高收费学校就读(含入托、出国留学)的；</w:t>
      </w:r>
    </w:p>
    <w:p>
      <w:pPr>
        <w:ind w:left="800"/>
        <w:spacing w:before="192" w:line="55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  <w:position w:val="18"/>
        </w:rPr>
        <w:t>(五)通过离婚、赠与、转让等方式放弃自己应得财产，或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者放弃法定应得赡养(抚养、扶养)费和其他合法资产</w:t>
      </w:r>
      <w:r>
        <w:rPr>
          <w:rFonts w:ascii="SimSun" w:hAnsi="SimSun" w:eastAsia="SimSun" w:cs="SimSun"/>
          <w:sz w:val="31"/>
          <w:szCs w:val="31"/>
          <w:spacing w:val="9"/>
        </w:rPr>
        <w:t>及收入的；</w:t>
      </w:r>
    </w:p>
    <w:p>
      <w:pPr>
        <w:ind w:right="109" w:firstLine="800"/>
        <w:spacing w:before="191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7"/>
        </w:rPr>
        <w:t>(六)法定赡养(抚养、扶养)人有赡养(抚养、扶养)能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力，但未依法履行义务，致使申请人家庭人均收入低于低保标准</w:t>
      </w:r>
    </w:p>
    <w:p>
      <w:pPr>
        <w:spacing w:before="1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8"/>
        </w:rPr>
        <w:t>1.5倍的；</w:t>
      </w:r>
    </w:p>
    <w:p>
      <w:pPr>
        <w:ind w:left="800"/>
        <w:spacing w:before="189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(七)具备生产劳动能力和条件，人为闲置承</w:t>
      </w:r>
      <w:r>
        <w:rPr>
          <w:rFonts w:ascii="SimSun" w:hAnsi="SimSun" w:eastAsia="SimSun" w:cs="SimSun"/>
          <w:sz w:val="31"/>
          <w:szCs w:val="31"/>
          <w:spacing w:val="15"/>
        </w:rPr>
        <w:t>包土地的；</w:t>
      </w:r>
    </w:p>
    <w:p>
      <w:pPr>
        <w:ind w:right="140" w:firstLine="800"/>
        <w:spacing w:before="190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(八)对明确不符合低保边缘家庭条件且已出具《不予批准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告知书》后再次提交申请的、或确定为违诺行为的，暂缓3个月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受理低保边缘申请。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326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0"/>
        </w:rPr>
        <w:t>第四章审核确认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right="99" w:firstLine="644"/>
        <w:spacing w:before="102" w:line="335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1"/>
        </w:rPr>
        <w:t>第十五条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1"/>
        </w:rPr>
        <w:t>镇(街道)应当自受理申请之日起10个工作日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内，对申请家庭的经济状况和实际生活情况等予以调查核</w:t>
      </w:r>
      <w:r>
        <w:rPr>
          <w:rFonts w:ascii="SimSun" w:hAnsi="SimSun" w:eastAsia="SimSun" w:cs="SimSun"/>
          <w:sz w:val="31"/>
          <w:szCs w:val="31"/>
          <w:spacing w:val="6"/>
        </w:rPr>
        <w:t>实，并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提出审核意见。村(居)委会应当协助镇(街道)开展调查核实。</w:t>
      </w:r>
    </w:p>
    <w:p>
      <w:pPr>
        <w:sectPr>
          <w:footerReference w:type="default" r:id="rId19"/>
          <w:pgSz w:w="11900" w:h="16830"/>
          <w:pgMar w:top="1430" w:right="1394" w:bottom="1837" w:left="1489" w:header="0" w:footer="1571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right="142" w:firstLine="689"/>
        <w:spacing w:before="100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申请人共同生活的家庭成员户籍所在地与经常居住</w:t>
      </w:r>
      <w:r>
        <w:rPr>
          <w:rFonts w:ascii="SimSun" w:hAnsi="SimSun" w:eastAsia="SimSun" w:cs="SimSun"/>
          <w:sz w:val="31"/>
          <w:szCs w:val="31"/>
          <w:spacing w:val="15"/>
        </w:rPr>
        <w:t>地不一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致的，受理申请的镇(街道)可以委托申请人家庭成员居住地镇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(街道)入户调查核实和动态管理。受委托的镇(街道)应当自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收到委托之日起10个工作日内完成调查核实，将评估材料送交</w:t>
      </w:r>
    </w:p>
    <w:p>
      <w:pPr>
        <w:ind w:left="3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受理申请的镇(街道)。</w:t>
      </w:r>
    </w:p>
    <w:p>
      <w:pPr>
        <w:ind w:left="19" w:right="49" w:firstLine="674"/>
        <w:spacing w:before="187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0"/>
        </w:rPr>
        <w:t>第十六条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调查申请家庭经济状况和实际生活情况</w:t>
      </w:r>
      <w:r>
        <w:rPr>
          <w:rFonts w:ascii="SimSun" w:hAnsi="SimSun" w:eastAsia="SimSun" w:cs="SimSun"/>
          <w:sz w:val="31"/>
          <w:szCs w:val="31"/>
          <w:spacing w:val="9"/>
        </w:rPr>
        <w:t>，可采取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信息核对、入户调查、邻里访问、信函索证、行业评估、支出推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算等方式进行，具体要求参照《淄博市最低生活保障管理办法》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有关规定。发生重大疫情等突发事件时，入户调查、邻里访问程</w:t>
      </w:r>
    </w:p>
    <w:p>
      <w:pPr>
        <w:ind w:left="3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序可以采取电话、视频等非直接接触方式进行。</w:t>
      </w:r>
    </w:p>
    <w:p>
      <w:pPr>
        <w:ind w:left="39" w:right="119" w:firstLine="654"/>
        <w:spacing w:before="190" w:line="334" w:lineRule="auto"/>
        <w:tabs>
          <w:tab w:val="left" w:pos="210"/>
        </w:tabs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第十七条</w:t>
      </w:r>
      <w:r>
        <w:rPr>
          <w:rFonts w:ascii="SimSun" w:hAnsi="SimSun" w:eastAsia="SimSun" w:cs="SimSun"/>
          <w:sz w:val="31"/>
          <w:szCs w:val="31"/>
          <w:spacing w:val="3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经家庭经济状况调查，对不符合申请条件的</w:t>
      </w:r>
      <w:r>
        <w:rPr>
          <w:rFonts w:ascii="SimSun" w:hAnsi="SimSun" w:eastAsia="SimSun" w:cs="SimSun"/>
          <w:sz w:val="31"/>
          <w:szCs w:val="31"/>
          <w:spacing w:val="2"/>
        </w:rPr>
        <w:t>，镇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ab/>
      </w:r>
      <w:r>
        <w:rPr>
          <w:rFonts w:ascii="SimSun" w:hAnsi="SimSun" w:eastAsia="SimSun" w:cs="SimSun"/>
          <w:sz w:val="31"/>
          <w:szCs w:val="31"/>
          <w:spacing w:val="12"/>
        </w:rPr>
        <w:t>(街道)应当及时告知申请人并说明理由。申请人对核对结果有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异议的，应当提供相关佐证材料；镇(街道)应当自收到佐证材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料起10个工作日内进行家庭经济状况复查。对</w:t>
      </w:r>
      <w:r>
        <w:rPr>
          <w:rFonts w:ascii="SimSun" w:hAnsi="SimSun" w:eastAsia="SimSun" w:cs="SimSun"/>
          <w:sz w:val="31"/>
          <w:szCs w:val="31"/>
          <w:spacing w:val="16"/>
        </w:rPr>
        <w:t>同一家庭，30日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内原则上不重复调查；对同一家庭多次调查，</w:t>
      </w:r>
      <w:r>
        <w:rPr>
          <w:rFonts w:ascii="SimSun" w:hAnsi="SimSun" w:eastAsia="SimSun" w:cs="SimSun"/>
          <w:sz w:val="31"/>
          <w:szCs w:val="31"/>
          <w:spacing w:val="6"/>
        </w:rPr>
        <w:t>以最近一次调查结</w:t>
      </w:r>
    </w:p>
    <w:p>
      <w:pPr>
        <w:ind w:left="39"/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"/>
        </w:rPr>
        <w:t>果为准。</w:t>
      </w:r>
    </w:p>
    <w:p>
      <w:pPr>
        <w:ind w:left="39" w:right="49" w:firstLine="654"/>
        <w:spacing w:before="184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6"/>
        </w:rPr>
        <w:t>第十八条</w:t>
      </w:r>
      <w:r>
        <w:rPr>
          <w:rFonts w:ascii="SimSun" w:hAnsi="SimSun" w:eastAsia="SimSun" w:cs="SimSun"/>
          <w:sz w:val="31"/>
          <w:szCs w:val="31"/>
          <w:spacing w:val="3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6"/>
        </w:rPr>
        <w:t>镇(街道)对拟确认为低保边缘家庭的，在申请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家庭所在村、社区进行公示，公示期为7天。公示期满无异议的，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应当在3个工作日内予以确认同意，发放确认通知书。对公示有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异议的，镇(街道)应当对申请家庭的经济状况重</w:t>
      </w:r>
      <w:r>
        <w:rPr>
          <w:rFonts w:ascii="SimSun" w:hAnsi="SimSun" w:eastAsia="SimSun" w:cs="SimSun"/>
          <w:sz w:val="31"/>
          <w:szCs w:val="31"/>
          <w:spacing w:val="17"/>
        </w:rPr>
        <w:t>新组织调查核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实，视情开展民主评议，在10个工作日内提出审核意见，并重</w:t>
      </w:r>
    </w:p>
    <w:p>
      <w:pPr>
        <w:ind w:left="3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新公示。对在审核确认阶段接到投诉、举报的低保边缘家庭申请，</w:t>
      </w:r>
    </w:p>
    <w:p>
      <w:pPr>
        <w:sectPr>
          <w:footerReference w:type="default" r:id="rId20"/>
          <w:pgSz w:w="11900" w:h="16830"/>
          <w:pgMar w:top="1430" w:right="1355" w:bottom="1837" w:left="1499" w:header="0" w:footer="153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0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县级民政部门应当入户调查。</w:t>
      </w:r>
    </w:p>
    <w:p>
      <w:pPr>
        <w:ind w:left="639"/>
        <w:spacing w:before="191" w:line="558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2"/>
          <w:position w:val="18"/>
        </w:rPr>
        <w:t>第十九条对不符合条件的申请不予确认同意，镇(街道)</w:t>
      </w:r>
    </w:p>
    <w:p>
      <w:pPr>
        <w:spacing w:before="1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应在作出决定后3个工作日内书面告知申请人并说明理由。</w:t>
      </w:r>
    </w:p>
    <w:p>
      <w:pPr>
        <w:ind w:left="639"/>
        <w:spacing w:before="196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  <w:position w:val="18"/>
        </w:rPr>
        <w:t>第二十条</w:t>
      </w:r>
      <w:r>
        <w:rPr>
          <w:rFonts w:ascii="SimSun" w:hAnsi="SimSun" w:eastAsia="SimSun" w:cs="SimSun"/>
          <w:sz w:val="31"/>
          <w:szCs w:val="31"/>
          <w:spacing w:val="18"/>
          <w:position w:val="1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9"/>
          <w:position w:val="18"/>
        </w:rPr>
        <w:t>低保边缘家庭审核确认工作应当自受理之日起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20</w:t>
      </w:r>
      <w:r>
        <w:rPr>
          <w:rFonts w:ascii="SimSun" w:hAnsi="SimSun" w:eastAsia="SimSun" w:cs="SimSun"/>
          <w:sz w:val="31"/>
          <w:szCs w:val="31"/>
          <w:spacing w:val="-5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个工作日之内完成；特殊情况下，可以延长至30个工作日。</w:t>
      </w:r>
    </w:p>
    <w:p>
      <w:pPr>
        <w:ind w:right="17" w:firstLine="639"/>
        <w:spacing w:before="189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第二十一条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合理认定城市与农村低保边缘家庭。对于拥有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承包土地或者参加农村集体经济收益分配的低保边缘家庭，</w:t>
      </w:r>
      <w:r>
        <w:rPr>
          <w:rFonts w:ascii="SimSun" w:hAnsi="SimSun" w:eastAsia="SimSun" w:cs="SimSun"/>
          <w:sz w:val="31"/>
          <w:szCs w:val="31"/>
          <w:spacing w:val="9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一般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按农村低保边缘家庭认定。</w:t>
      </w:r>
    </w:p>
    <w:p>
      <w:pPr>
        <w:ind w:left="639"/>
        <w:spacing w:before="194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  <w:position w:val="18"/>
        </w:rPr>
        <w:t>第二十二条</w:t>
      </w:r>
      <w:r>
        <w:rPr>
          <w:rFonts w:ascii="SimSun" w:hAnsi="SimSun" w:eastAsia="SimSun" w:cs="SimSun"/>
          <w:sz w:val="31"/>
          <w:szCs w:val="31"/>
          <w:spacing w:val="4"/>
          <w:position w:val="1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  <w:position w:val="18"/>
        </w:rPr>
        <w:t>未经申请受理、家庭经济状况调查、审核确认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等程序，不得将任何家庭直接认定为低保边缘家庭。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3274"/>
        <w:spacing w:before="102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0"/>
        </w:rPr>
        <w:t>第五章服务管理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firstLine="644"/>
        <w:spacing w:before="101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3"/>
        </w:rPr>
        <w:t>第二十三条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纳入或者退出低保边缘家庭，以做出审核确</w:t>
      </w:r>
      <w:r>
        <w:rPr>
          <w:rFonts w:ascii="SimSun" w:hAnsi="SimSun" w:eastAsia="SimSun" w:cs="SimSun"/>
          <w:sz w:val="31"/>
          <w:szCs w:val="31"/>
          <w:spacing w:val="2"/>
        </w:rPr>
        <w:t>认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决定之日为准；低保边缘家庭成员死亡的，自死亡之日起自动</w:t>
      </w:r>
      <w:r>
        <w:rPr>
          <w:rFonts w:ascii="SimSun" w:hAnsi="SimSun" w:eastAsia="SimSun" w:cs="SimSun"/>
          <w:sz w:val="31"/>
          <w:szCs w:val="31"/>
          <w:spacing w:val="7"/>
        </w:rPr>
        <w:t>终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止其低保边缘家庭成员资格，仍有其他家庭成员的，镇(街道)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应及时开展动态复核。对低保边缘家庭实施或终止有关专项救助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的起止时间由政策主管部门按程序研究确定。</w:t>
      </w:r>
    </w:p>
    <w:p>
      <w:pPr>
        <w:ind w:left="644"/>
        <w:spacing w:before="189" w:line="563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  <w:position w:val="18"/>
        </w:rPr>
        <w:t>第二十四条</w:t>
      </w:r>
      <w:r>
        <w:rPr>
          <w:rFonts w:ascii="SimSun" w:hAnsi="SimSun" w:eastAsia="SimSun" w:cs="SimSun"/>
          <w:sz w:val="31"/>
          <w:szCs w:val="31"/>
          <w:spacing w:val="20"/>
          <w:position w:val="1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5"/>
          <w:position w:val="18"/>
        </w:rPr>
        <w:t>低保边缘家庭人口状况、收入状况和</w:t>
      </w:r>
      <w:r>
        <w:rPr>
          <w:rFonts w:ascii="SimSun" w:hAnsi="SimSun" w:eastAsia="SimSun" w:cs="SimSun"/>
          <w:sz w:val="31"/>
          <w:szCs w:val="31"/>
          <w:spacing w:val="4"/>
          <w:position w:val="18"/>
        </w:rPr>
        <w:t>财产状况</w:t>
      </w:r>
    </w:p>
    <w:p>
      <w:pPr>
        <w:spacing w:before="1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发生变化的，低保边缘家庭成员应及时报告镇(街道)。</w:t>
      </w:r>
    </w:p>
    <w:p>
      <w:pPr>
        <w:ind w:left="644"/>
        <w:spacing w:before="192" w:line="56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7"/>
          <w:position w:val="18"/>
        </w:rPr>
        <w:t>第二十五条</w:t>
      </w:r>
      <w:r>
        <w:rPr>
          <w:rFonts w:ascii="SimSun" w:hAnsi="SimSun" w:eastAsia="SimSun" w:cs="SimSun"/>
          <w:sz w:val="31"/>
          <w:szCs w:val="31"/>
          <w:spacing w:val="23"/>
          <w:position w:val="1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7"/>
          <w:position w:val="18"/>
        </w:rPr>
        <w:t>镇(街道)应当对低保边缘家庭的人口、收入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和财产状况每年复核一次，并根据复核情况决定是否延续低保边</w:t>
      </w:r>
    </w:p>
    <w:p>
      <w:pPr>
        <w:sectPr>
          <w:footerReference w:type="default" r:id="rId21"/>
          <w:pgSz w:w="11900" w:h="16830"/>
          <w:pgMar w:top="1430" w:right="1506" w:bottom="1837" w:left="1489" w:header="0" w:footer="153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40" w:right="120" w:hanging="140"/>
        <w:spacing w:before="101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缘家庭资格。低保边缘家庭拒不配合家庭经济状况复核的或1年</w:t>
      </w:r>
      <w:r>
        <w:rPr>
          <w:rFonts w:ascii="SimSun" w:hAnsi="SimSun" w:eastAsia="SimSun" w:cs="SimSun"/>
          <w:sz w:val="31"/>
          <w:szCs w:val="31"/>
          <w:spacing w:val="1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(含)以上失联无法正常开展动态复核的，终止该低保边缘家庭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资格；发生重大疫情等突发事件时，核查期限可以适当延长。</w:t>
      </w:r>
    </w:p>
    <w:p>
      <w:pPr>
        <w:ind w:firstLine="644"/>
        <w:spacing w:before="187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第二十六条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"/>
        </w:rPr>
        <w:t>定期复核过程中，发现低保边缘家庭符合最低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生活保障或特困人员认定条件的，经本人同意，应及时按程序纳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入相应保障范围；申请或退出最低生活保障、特困人员救助供养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的对象，经审核其收入、财产状况超出低保或特困人员认定条件，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但符合低保边缘家庭认定条件的，经本人同意，可直接转入低保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边缘家庭认定程序，已提交且无变化的申请资</w:t>
      </w:r>
      <w:r>
        <w:rPr>
          <w:rFonts w:ascii="SimSun" w:hAnsi="SimSun" w:eastAsia="SimSun" w:cs="SimSun"/>
          <w:sz w:val="31"/>
          <w:szCs w:val="31"/>
          <w:spacing w:val="8"/>
        </w:rPr>
        <w:t>料不再重复提交。</w:t>
      </w:r>
    </w:p>
    <w:p>
      <w:pPr>
        <w:ind w:left="644"/>
        <w:spacing w:before="187" w:line="56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  <w:position w:val="18"/>
        </w:rPr>
        <w:t>第二十七条</w:t>
      </w:r>
      <w:r>
        <w:rPr>
          <w:rFonts w:ascii="SimSun" w:hAnsi="SimSun" w:eastAsia="SimSun" w:cs="SimSun"/>
          <w:sz w:val="31"/>
          <w:szCs w:val="31"/>
          <w:spacing w:val="10"/>
          <w:position w:val="1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  <w:position w:val="18"/>
        </w:rPr>
        <w:t>镇(街道)作出终止低保边缘家庭资格的决定，</w:t>
      </w:r>
    </w:p>
    <w:p>
      <w:pPr>
        <w:spacing w:before="2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应当书面告知低保边缘家庭成员并说明理由。</w:t>
      </w:r>
    </w:p>
    <w:p>
      <w:pPr>
        <w:ind w:right="71" w:firstLine="644"/>
        <w:spacing w:before="194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3"/>
        </w:rPr>
        <w:t>第二十八条</w:t>
      </w:r>
      <w:r>
        <w:rPr>
          <w:rFonts w:ascii="SimSun" w:hAnsi="SimSun" w:eastAsia="SimSun" w:cs="SimSun"/>
          <w:sz w:val="31"/>
          <w:szCs w:val="31"/>
          <w:spacing w:val="5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3"/>
        </w:rPr>
        <w:t>区县民政部门应当每年对低保边缘家庭的家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庭人口、经济和生活状况按不低于5%的比例进行随机抽查，</w:t>
      </w:r>
      <w:r>
        <w:rPr>
          <w:rFonts w:ascii="SimSun" w:hAnsi="SimSun" w:eastAsia="SimSun" w:cs="SimSun"/>
          <w:sz w:val="31"/>
          <w:szCs w:val="31"/>
          <w:spacing w:val="17"/>
        </w:rPr>
        <w:t>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新申请的按不低于30%的比例进行随机抽查，做好相应记录并存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9"/>
        </w:rPr>
        <w:t>档。</w:t>
      </w:r>
    </w:p>
    <w:p>
      <w:pPr>
        <w:ind w:right="19" w:firstLine="639"/>
        <w:spacing w:before="190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第二十九条</w:t>
      </w:r>
      <w:r>
        <w:rPr>
          <w:rFonts w:ascii="SimSun" w:hAnsi="SimSun" w:eastAsia="SimSun" w:cs="SimSun"/>
          <w:sz w:val="31"/>
          <w:szCs w:val="31"/>
          <w:spacing w:val="13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县级民政部门和镇(街道)应当健全低保边缘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家庭档案管理制度，分别对低保边缘家庭工作资</w:t>
      </w:r>
      <w:r>
        <w:rPr>
          <w:rFonts w:ascii="SimSun" w:hAnsi="SimSun" w:eastAsia="SimSun" w:cs="SimSun"/>
          <w:sz w:val="31"/>
          <w:szCs w:val="31"/>
          <w:spacing w:val="8"/>
        </w:rPr>
        <w:t>料归类、建档，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具体要求参照《淄博市最低生活保障管理办法》有关规定。</w:t>
      </w:r>
    </w:p>
    <w:p>
      <w:pPr>
        <w:ind w:right="70" w:firstLine="644"/>
        <w:spacing w:before="186" w:line="33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5"/>
        </w:rPr>
        <w:t>第三十条</w:t>
      </w:r>
      <w:r>
        <w:rPr>
          <w:rFonts w:ascii="SimSun" w:hAnsi="SimSun" w:eastAsia="SimSun" w:cs="SimSun"/>
          <w:sz w:val="31"/>
          <w:szCs w:val="31"/>
          <w:spacing w:val="5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5"/>
        </w:rPr>
        <w:t>社会救助经办机构应当使用社会救助业务系统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办理低保边缘家庭相关业务，确保在低保边缘家庭申请受理、审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核确认、变更退出等工作流程中自动产生数据。</w:t>
      </w:r>
    </w:p>
    <w:p>
      <w:pPr>
        <w:ind w:left="644"/>
        <w:spacing w:before="248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6"/>
        </w:rPr>
        <w:t>第三十一条</w:t>
      </w:r>
      <w:r>
        <w:rPr>
          <w:rFonts w:ascii="SimSun" w:hAnsi="SimSun" w:eastAsia="SimSun" w:cs="SimSun"/>
          <w:sz w:val="31"/>
          <w:szCs w:val="31"/>
          <w:spacing w:val="4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6"/>
        </w:rPr>
        <w:t>相关工作人员在履行低保边缘家庭认定职责</w:t>
      </w:r>
    </w:p>
    <w:p>
      <w:pPr>
        <w:sectPr>
          <w:footerReference w:type="default" r:id="rId22"/>
          <w:pgSz w:w="11900" w:h="16830"/>
          <w:pgMar w:top="1430" w:right="1385" w:bottom="1848" w:left="1569" w:header="0" w:footer="1539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9" w:right="132"/>
        <w:spacing w:before="104" w:line="323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过程中滥用职权、玩忽职守、徇私舞弊、失职渎职的，应当依</w:t>
      </w:r>
      <w:r>
        <w:rPr>
          <w:rFonts w:ascii="SimSun" w:hAnsi="SimSun" w:eastAsia="SimSun" w:cs="SimSun"/>
          <w:sz w:val="32"/>
          <w:szCs w:val="32"/>
          <w:spacing w:val="-7"/>
        </w:rPr>
        <w:t>法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6"/>
        </w:rPr>
        <w:t>依规追究相关责任。对秉持公心、履职尽责但因客观原因出现失</w:t>
      </w:r>
    </w:p>
    <w:p>
      <w:pPr>
        <w:ind w:left="29"/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误偏差且能够及时纠正的经办人员可依法依规免于问责。</w:t>
      </w:r>
    </w:p>
    <w:p>
      <w:pPr>
        <w:ind w:left="29" w:firstLine="644"/>
        <w:spacing w:before="185" w:line="324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4"/>
        </w:rPr>
        <w:t>第三十二条</w:t>
      </w:r>
      <w:r>
        <w:rPr>
          <w:rFonts w:ascii="SimSun" w:hAnsi="SimSun" w:eastAsia="SimSun" w:cs="SimSun"/>
          <w:sz w:val="32"/>
          <w:szCs w:val="32"/>
          <w:spacing w:val="23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4"/>
        </w:rPr>
        <w:t>鼓励具备就业能力的低保边缘家庭成员就业。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6"/>
        </w:rPr>
        <w:t>在法定劳动年龄段内有就业能力但尚未就业的低保边缘家庭成</w:t>
      </w:r>
      <w:r>
        <w:rPr>
          <w:rFonts w:ascii="SimSun" w:hAnsi="SimSun" w:eastAsia="SimSun" w:cs="SimSun"/>
          <w:sz w:val="32"/>
          <w:szCs w:val="32"/>
          <w:spacing w:val="1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6"/>
        </w:rPr>
        <w:t>员，应当接受人力资源社会保障等有关部门介绍的工作。无正当</w:t>
      </w:r>
      <w:r>
        <w:rPr>
          <w:rFonts w:ascii="SimSun" w:hAnsi="SimSun" w:eastAsia="SimSun" w:cs="SimSun"/>
          <w:sz w:val="32"/>
          <w:szCs w:val="32"/>
          <w:spacing w:val="16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1"/>
        </w:rPr>
        <w:t>理由，连续3次拒绝接受介绍的与其健康状况、就业能力等相适</w:t>
      </w:r>
    </w:p>
    <w:p>
      <w:pPr>
        <w:ind w:left="29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0"/>
        </w:rPr>
        <w:t>应的工作的，镇(街道)应当取消其低保边缘家庭资格</w:t>
      </w:r>
      <w:r>
        <w:rPr>
          <w:rFonts w:ascii="SimSun" w:hAnsi="SimSun" w:eastAsia="SimSun" w:cs="SimSun"/>
          <w:sz w:val="32"/>
          <w:szCs w:val="32"/>
          <w:spacing w:val="9"/>
        </w:rPr>
        <w:t>。</w:t>
      </w:r>
    </w:p>
    <w:p>
      <w:pPr>
        <w:ind w:left="29" w:right="35" w:firstLine="644"/>
        <w:spacing w:before="172" w:line="324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7"/>
        </w:rPr>
        <w:t>第三十三条</w:t>
      </w:r>
      <w:r>
        <w:rPr>
          <w:rFonts w:ascii="SimSun" w:hAnsi="SimSun" w:eastAsia="SimSun" w:cs="SimSun"/>
          <w:sz w:val="32"/>
          <w:szCs w:val="32"/>
          <w:spacing w:val="24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7"/>
        </w:rPr>
        <w:t>采取虚报、隐瞒、伪造等不正当手段，不如实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9"/>
        </w:rPr>
        <w:t>提供相关情况，骗取低保边缘家庭资格的，由镇(街道)取消其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低保边缘家庭资格，并给予说服教育；违反治安管理规定的，提</w:t>
      </w:r>
      <w:r>
        <w:rPr>
          <w:rFonts w:ascii="SimSun" w:hAnsi="SimSun" w:eastAsia="SimSun" w:cs="SimSun"/>
          <w:sz w:val="32"/>
          <w:szCs w:val="32"/>
          <w:spacing w:val="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请公安机关依法给予治安管理处罚；构成犯罪的，移交司法部门</w:t>
      </w:r>
    </w:p>
    <w:p>
      <w:pPr>
        <w:ind w:left="19"/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依法追究法律责任。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351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5"/>
        </w:rPr>
        <w:t>第六章附则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right="52" w:firstLine="674"/>
        <w:spacing w:before="105" w:line="330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12"/>
        </w:rPr>
        <w:t>第三十四条</w:t>
      </w:r>
      <w:r>
        <w:rPr>
          <w:rFonts w:ascii="SimSun" w:hAnsi="SimSun" w:eastAsia="SimSun" w:cs="SimSun"/>
          <w:sz w:val="32"/>
          <w:szCs w:val="32"/>
          <w:spacing w:val="25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12"/>
        </w:rPr>
        <w:t>本办法自2022年12月1日起施行，有效期至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19"/>
        </w:rPr>
        <w:t>2027年11月30日。本办法实施以前有关政策规定与本</w:t>
      </w:r>
      <w:r>
        <w:rPr>
          <w:rFonts w:ascii="SimSun" w:hAnsi="SimSun" w:eastAsia="SimSun" w:cs="SimSun"/>
          <w:sz w:val="32"/>
          <w:szCs w:val="32"/>
          <w:spacing w:val="18"/>
        </w:rPr>
        <w:t>办法不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一致的，以本办法为准，此前确定的低保边缘家庭，在年度复核</w:t>
      </w:r>
    </w:p>
    <w:p>
      <w:pPr>
        <w:ind w:left="29"/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中动态调整并完善档案文书。</w:t>
      </w:r>
    </w:p>
    <w:p>
      <w:pPr>
        <w:sectPr>
          <w:footerReference w:type="default" r:id="rId23"/>
          <w:pgSz w:w="11900" w:h="16830"/>
          <w:pgMar w:top="1430" w:right="1421" w:bottom="1840" w:left="1519" w:header="0" w:footer="1571" w:gutter="0"/>
        </w:sectPr>
        <w:rPr/>
      </w:pPr>
    </w:p>
    <w:p>
      <w:pPr>
        <w:rPr/>
      </w:pP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958866</wp:posOffset>
            </wp:positionH>
            <wp:positionV relativeFrom="page">
              <wp:posOffset>9023338</wp:posOffset>
            </wp:positionV>
            <wp:extent cx="5803866" cy="12667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03866" cy="12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946139</wp:posOffset>
            </wp:positionH>
            <wp:positionV relativeFrom="page">
              <wp:posOffset>9429774</wp:posOffset>
            </wp:positionV>
            <wp:extent cx="5816593" cy="12666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16593" cy="1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59" w:lineRule="exact"/>
        <w:rPr/>
      </w:pPr>
      <w:r/>
    </w:p>
    <w:p>
      <w:pPr>
        <w:sectPr>
          <w:footerReference w:type="default" r:id="rId24"/>
          <w:pgSz w:w="12220" w:h="17050"/>
          <w:pgMar w:top="1449" w:right="1570" w:bottom="400" w:left="1489" w:header="0" w:footer="0" w:gutter="0"/>
          <w:cols w:equalWidth="0" w:num="1">
            <w:col w:w="9160" w:space="0"/>
          </w:cols>
        </w:sectPr>
        <w:rPr/>
      </w:pPr>
    </w:p>
    <w:p>
      <w:pPr>
        <w:ind w:left="130"/>
        <w:spacing w:before="54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淄博市民政局办公室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3" w:line="18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7"/>
        </w:rPr>
        <w:t>2022年11月1</w:t>
      </w:r>
      <w:r>
        <w:rPr>
          <w:rFonts w:ascii="SimSun" w:hAnsi="SimSun" w:eastAsia="SimSun" w:cs="SimSun"/>
          <w:sz w:val="27"/>
          <w:szCs w:val="27"/>
          <w:spacing w:val="-3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27"/>
        </w:rPr>
        <w:t>日印发</w:t>
      </w:r>
    </w:p>
    <w:p>
      <w:pPr>
        <w:sectPr>
          <w:type w:val="continuous"/>
          <w:pgSz w:w="12220" w:h="17050"/>
          <w:pgMar w:top="1449" w:right="1570" w:bottom="400" w:left="1489" w:header="0" w:footer="0" w:gutter="0"/>
          <w:cols w:equalWidth="0" w:num="2">
            <w:col w:w="6071" w:space="100"/>
            <w:col w:w="2990" w:space="0"/>
          </w:cols>
        </w:sectPr>
        <w:rPr/>
      </w:pPr>
    </w:p>
    <w:p>
      <w:pPr>
        <w:ind w:left="109"/>
        <w:spacing w:before="289" w:line="186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0"/>
          <w:position w:val="-4"/>
        </w:rPr>
        <w:t>—</w:t>
      </w:r>
      <w:r>
        <w:rPr>
          <w:rFonts w:ascii="SimSun" w:hAnsi="SimSun" w:eastAsia="SimSun" w:cs="SimSun"/>
          <w:sz w:val="27"/>
          <w:szCs w:val="27"/>
          <w:spacing w:val="-105"/>
          <w:position w:val="-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0"/>
          <w:position w:val="-4"/>
        </w:rPr>
        <w:t>12—</w:t>
      </w:r>
    </w:p>
    <w:sectPr>
      <w:type w:val="continuous"/>
      <w:pgSz w:w="12220" w:h="17050"/>
      <w:pgMar w:top="1449" w:right="1570" w:bottom="400" w:left="1489" w:header="0" w:footer="0" w:gutter="0"/>
      <w:cols w:equalWidth="0" w:num="1">
        <w:col w:w="91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10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6"/>
      <w:spacing w:before="1"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6"/>
        <w:szCs w:val="26"/>
      </w:rPr>
    </w:pPr>
    <w:r>
      <w:pict>
        <v:shape id="_x0000_s1" style="position:absolute;margin-left:111.003pt;margin-top:148.6pt;mso-position-vertical-relative:page;mso-position-horizontal-relative:page;width:96.4pt;height:19.8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19" w:lineRule="auto"/>
                  <w:rPr>
                    <w:rFonts w:ascii="SimSun" w:hAnsi="SimSun" w:eastAsia="SimSun" w:cs="SimSun"/>
                    <w:sz w:val="30"/>
                    <w:szCs w:val="30"/>
                  </w:rPr>
                </w:pPr>
                <w:r>
                  <w:rPr>
                    <w:rFonts w:ascii="SimSun" w:hAnsi="SimSun" w:eastAsia="SimSun" w:cs="SimSun"/>
                    <w:sz w:val="30"/>
                    <w:szCs w:val="30"/>
                    <w:spacing w:val="14"/>
                  </w:rPr>
                  <w:t>淄博市民政局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26"/>
        <w:szCs w:val="26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20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32"/>
      <w:spacing w:before="1" w:line="181" w:lineRule="auto"/>
      <w:jc w:val="right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8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28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image" Target="media/image14.jpeg"/><Relationship Id="rId25" Type="http://schemas.openxmlformats.org/officeDocument/2006/relationships/image" Target="media/image13.png"/><Relationship Id="rId24" Type="http://schemas.openxmlformats.org/officeDocument/2006/relationships/footer" Target="footer12.xml"/><Relationship Id="rId23" Type="http://schemas.openxmlformats.org/officeDocument/2006/relationships/footer" Target="footer11.xml"/><Relationship Id="rId22" Type="http://schemas.openxmlformats.org/officeDocument/2006/relationships/footer" Target="footer10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image" Target="media/image1.jpeg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footer" Target="footer5.xml"/><Relationship Id="rId16" Type="http://schemas.openxmlformats.org/officeDocument/2006/relationships/footer" Target="footer4.xml"/><Relationship Id="rId15" Type="http://schemas.openxmlformats.org/officeDocument/2006/relationships/footer" Target="footer3.xml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2022-11-30T09:34:33Z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2022-11-30T09:34:34</vt:filetime>
  </property>
  <property fmtid="{D5CDD505-2E9C-101B-9397-08002B2CF9AE}" pid="4" name="UsrData">
    <vt:lpwstr>6386b31d2a3caf0015463ce8</vt:lpwstr>
  </property>
</Properties>
</file>