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淄博市淄川区民政局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default" w:ascii="Times New Roman" w:hAnsi="Times New Roman" w:eastAsia="仿宋_GB2312" w:cs="Times New Roman"/>
          <w:b w:val="0"/>
          <w:bCs w:val="0"/>
          <w:i w:val="0"/>
          <w:iCs w:val="0"/>
          <w:caps w:val="0"/>
          <w:color w:val="000000"/>
          <w:spacing w:val="0"/>
          <w:sz w:val="32"/>
          <w:szCs w:val="32"/>
          <w:lang w:eastAsia="zh-CN"/>
        </w:rPr>
      </w:pPr>
      <w:bookmarkStart w:id="0" w:name="_GoBack"/>
      <w:r>
        <w:rPr>
          <w:rFonts w:hint="default" w:ascii="Times New Roman" w:hAnsi="Times New Roman" w:eastAsia="仿宋_GB2312" w:cs="Times New Roman"/>
          <w:b w:val="0"/>
          <w:bCs w:val="0"/>
          <w:i w:val="0"/>
          <w:iCs w:val="0"/>
          <w:caps w:val="0"/>
          <w:color w:val="000000"/>
          <w:spacing w:val="0"/>
          <w:sz w:val="32"/>
          <w:szCs w:val="32"/>
          <w:lang w:eastAsia="zh-CN"/>
        </w:rPr>
        <w:t>根据《中华人民共和国政府信息公开条例》（以下简称《条例》）和《淄川区人民政府办公室关于做好</w:t>
      </w:r>
      <w:r>
        <w:rPr>
          <w:rFonts w:hint="default" w:ascii="Times New Roman" w:hAnsi="Times New Roman" w:eastAsia="仿宋_GB2312" w:cs="Times New Roman"/>
          <w:b w:val="0"/>
          <w:bCs w:val="0"/>
          <w:i w:val="0"/>
          <w:iCs w:val="0"/>
          <w:caps w:val="0"/>
          <w:color w:val="000000"/>
          <w:spacing w:val="0"/>
          <w:sz w:val="32"/>
          <w:szCs w:val="32"/>
          <w:lang w:val="en-US" w:eastAsia="zh-CN"/>
        </w:rPr>
        <w:t>2021年政府信息公开工作年度报告编制和发布工作的通知》</w:t>
      </w:r>
      <w:r>
        <w:rPr>
          <w:rFonts w:hint="default" w:ascii="Times New Roman" w:hAnsi="Times New Roman" w:eastAsia="仿宋_GB2312" w:cs="Times New Roman"/>
          <w:b w:val="0"/>
          <w:bCs w:val="0"/>
          <w:i w:val="0"/>
          <w:iCs w:val="0"/>
          <w:caps w:val="0"/>
          <w:color w:val="000000"/>
          <w:spacing w:val="0"/>
          <w:sz w:val="32"/>
          <w:szCs w:val="32"/>
          <w:lang w:eastAsia="zh-CN"/>
        </w:rPr>
        <w:t>要求，区民政局编制了2021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lang w:eastAsia="zh-CN"/>
        </w:rPr>
        <w:t>一、</w:t>
      </w:r>
      <w:r>
        <w:rPr>
          <w:rFonts w:hint="default" w:ascii="Times New Roman" w:hAnsi="Times New Roman" w:eastAsia="黑体" w:cs="Times New Roman"/>
          <w:b/>
          <w:bCs/>
          <w:i w:val="0"/>
          <w:iCs w:val="0"/>
          <w:caps w:val="0"/>
          <w:color w:val="000000"/>
          <w:spacing w:val="0"/>
          <w:sz w:val="32"/>
          <w:szCs w:val="32"/>
        </w:rPr>
        <w:t>总体情况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楷体" w:cs="Times New Roman"/>
          <w:b w:val="0"/>
          <w:bCs w:val="0"/>
          <w:i w:val="0"/>
          <w:iCs w:val="0"/>
          <w:caps w:val="0"/>
          <w:color w:val="000000"/>
          <w:spacing w:val="0"/>
          <w:sz w:val="32"/>
          <w:szCs w:val="32"/>
          <w:lang w:val="en-US" w:eastAsia="zh-CN"/>
        </w:rPr>
        <w:t>（一）主动公开信息情况</w:t>
      </w:r>
      <w:r>
        <w:rPr>
          <w:rFonts w:hint="default" w:ascii="Times New Roman" w:hAnsi="Times New Roman" w:eastAsia="仿宋_GB2312" w:cs="Times New Roman"/>
          <w:b w:val="0"/>
          <w:bCs w:val="0"/>
          <w:i w:val="0"/>
          <w:iCs w:val="0"/>
          <w:caps w:val="0"/>
          <w:color w:val="000000"/>
          <w:spacing w:val="0"/>
          <w:sz w:val="32"/>
          <w:szCs w:val="32"/>
          <w:lang w:val="en-US" w:eastAsia="zh-CN"/>
        </w:rPr>
        <w:t>。2021年，淄川区民政局认真贯彻落实上级信息公开工作要求，坚持方便群众知情、便于群众监督的原则，结合民政工作实际，在政府网站公布社会救助和养老服务工作指南，畅通和群众互动渠道，助力全区脱贫攻坚，困难群众实现应保尽保。2021年，主动公开政府信息129条。公开类别涉及机构职能、政策文件、规划计划、重要部署执行、建议提案办理、财政信息、行政执法公示、双随机一公开、社会救助、社会福利、社会组织等。</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楷体" w:cs="Times New Roman"/>
          <w:b w:val="0"/>
          <w:bCs w:val="0"/>
          <w:i w:val="0"/>
          <w:iCs w:val="0"/>
          <w:caps w:val="0"/>
          <w:color w:val="000000"/>
          <w:spacing w:val="0"/>
          <w:sz w:val="32"/>
          <w:szCs w:val="32"/>
          <w:lang w:val="en-US" w:eastAsia="zh-CN"/>
        </w:rPr>
        <w:t>（二）依申请公开政府信息情况</w:t>
      </w:r>
      <w:r>
        <w:rPr>
          <w:rFonts w:hint="default" w:ascii="Times New Roman" w:hAnsi="Times New Roman" w:eastAsia="仿宋_GB2312" w:cs="Times New Roman"/>
          <w:b w:val="0"/>
          <w:bCs w:val="0"/>
          <w:i w:val="0"/>
          <w:iCs w:val="0"/>
          <w:caps w:val="0"/>
          <w:color w:val="000000"/>
          <w:spacing w:val="0"/>
          <w:sz w:val="32"/>
          <w:szCs w:val="32"/>
          <w:lang w:val="en-US" w:eastAsia="zh-CN"/>
        </w:rPr>
        <w:t>。2021年收到政府信息公开申请2件，涉及婚姻登记等事项内容。比2020年增加1件，按照法定程序在规定时限内给予了答复，无行政复议和行政诉讼情况发生。无收费情况发生。</w:t>
      </w:r>
    </w:p>
    <w:p>
      <w:pPr>
        <w:keepNext w:val="0"/>
        <w:keepLines w:val="0"/>
        <w:widowControl/>
        <w:suppressLineNumbers w:val="0"/>
        <w:ind w:firstLine="640" w:firstLineChars="200"/>
        <w:jc w:val="left"/>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（三）政府信息管理情况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w:t>
      </w:r>
      <w:r>
        <w:rPr>
          <w:rFonts w:hint="default" w:ascii="Times New Roman" w:hAnsi="Times New Roman" w:eastAsia="仿宋_GB2312" w:cs="Times New Roman"/>
          <w:color w:val="000000"/>
          <w:sz w:val="32"/>
          <w:szCs w:val="32"/>
        </w:rPr>
        <w:t>严格执行政府信息公开制度，</w:t>
      </w:r>
      <w:r>
        <w:rPr>
          <w:rFonts w:hint="default" w:ascii="Times New Roman" w:hAnsi="Times New Roman" w:eastAsia="仿宋_GB2312" w:cs="Times New Roman"/>
          <w:color w:val="000000"/>
          <w:kern w:val="0"/>
          <w:sz w:val="32"/>
          <w:szCs w:val="32"/>
        </w:rPr>
        <w:t>坚持分级审核、先审后发，严格遵守《保密法》规定，</w:t>
      </w:r>
      <w:r>
        <w:rPr>
          <w:rFonts w:hint="default" w:ascii="Times New Roman" w:hAnsi="Times New Roman" w:eastAsia="仿宋_GB2312" w:cs="Times New Roman"/>
          <w:color w:val="000000"/>
          <w:sz w:val="32"/>
          <w:szCs w:val="32"/>
        </w:rPr>
        <w:t>落实专人负责统筹、协调</w:t>
      </w:r>
      <w:r>
        <w:rPr>
          <w:rFonts w:hint="default" w:ascii="Times New Roman" w:hAnsi="Times New Roman" w:eastAsia="仿宋_GB2312" w:cs="Times New Roman"/>
          <w:color w:val="000000"/>
          <w:sz w:val="32"/>
          <w:szCs w:val="32"/>
          <w:lang w:eastAsia="zh-CN"/>
        </w:rPr>
        <w:t>，及时</w:t>
      </w:r>
      <w:r>
        <w:rPr>
          <w:rFonts w:hint="default" w:ascii="Times New Roman" w:hAnsi="Times New Roman" w:eastAsia="仿宋_GB2312" w:cs="Times New Roman"/>
          <w:color w:val="000000"/>
          <w:sz w:val="32"/>
          <w:szCs w:val="32"/>
        </w:rPr>
        <w:t>更新、发布</w:t>
      </w:r>
      <w:r>
        <w:rPr>
          <w:rFonts w:hint="default" w:ascii="Times New Roman" w:hAnsi="Times New Roman" w:eastAsia="仿宋_GB2312" w:cs="Times New Roman"/>
          <w:color w:val="000000"/>
          <w:sz w:val="32"/>
          <w:szCs w:val="32"/>
          <w:lang w:eastAsia="zh-CN"/>
        </w:rPr>
        <w:t>民政领域政策法规及其他服务信息。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（四）平台建设情况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。严格贯彻落实《政府信息公开条例》，按照上级要求优化服务功能，整合信息资源，推进网站规范化建设。依托“淄川民政”微信公众号，建立</w:t>
      </w:r>
      <w:r>
        <w:rPr>
          <w:rFonts w:hint="default" w:ascii="Times New Roman" w:hAnsi="Times New Roman" w:eastAsia="仿宋_GB2312" w:cs="Times New Roman"/>
          <w:b w:val="0"/>
          <w:bCs w:val="0"/>
          <w:i w:val="0"/>
          <w:iCs w:val="0"/>
          <w:caps w:val="0"/>
          <w:color w:val="000000"/>
          <w:spacing w:val="0"/>
          <w:sz w:val="32"/>
          <w:szCs w:val="32"/>
          <w:lang w:val="en-US" w:eastAsia="zh-CN"/>
        </w:rPr>
        <w:t>“在线留言”，发挥便民利民的作用。</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把政府网站作为政府信息公开第一平台进行建设。结合我局工作实际，适时公开区民政局年度主要工作和便民服务信息等，便于群众了解我区民生实事工作开展情况，达到勤政为民的目的。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（五）监督保障情况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w:t>
      </w:r>
      <w:r>
        <w:rPr>
          <w:rFonts w:hint="default" w:ascii="Times New Roman" w:hAnsi="Times New Roman" w:eastAsia="仿宋_GB2312" w:cs="Times New Roman"/>
          <w:sz w:val="32"/>
          <w:szCs w:val="32"/>
          <w:lang w:eastAsia="zh-CN"/>
        </w:rPr>
        <w:t>调整成立了</w:t>
      </w:r>
      <w:r>
        <w:rPr>
          <w:rFonts w:hint="default" w:ascii="Times New Roman" w:hAnsi="Times New Roman" w:eastAsia="仿宋_GB2312" w:cs="Times New Roman"/>
          <w:sz w:val="32"/>
          <w:szCs w:val="32"/>
        </w:rPr>
        <w:t>政务公开工作领导小组，主要领导任组长亲自抓，分管领导靠上抓，各科室相互配合。将政务公开工作纳入科室年度工作任务目标，</w:t>
      </w:r>
      <w:r>
        <w:rPr>
          <w:rFonts w:hint="default" w:ascii="Times New Roman" w:hAnsi="Times New Roman" w:eastAsia="仿宋_GB2312" w:cs="Times New Roman"/>
          <w:color w:val="000000"/>
          <w:kern w:val="0"/>
          <w:sz w:val="32"/>
          <w:szCs w:val="32"/>
        </w:rPr>
        <w:t>定期开展业务培训</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使全体职工都参与到政务公开中来，确保政务公开工作专业规范，</w:t>
      </w:r>
      <w:r>
        <w:rPr>
          <w:rFonts w:hint="default" w:ascii="Times New Roman" w:hAnsi="Times New Roman" w:eastAsia="仿宋_GB2312" w:cs="Times New Roman"/>
          <w:sz w:val="32"/>
          <w:szCs w:val="32"/>
        </w:rPr>
        <w:t>为推进政务公开工作提供了有力的组织保证。</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二、主动公开政府信息情况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cs="Times New Roman" w:eastAsiaTheme="minorEastAsia"/>
                <w:color w:val="000000"/>
                <w:kern w:val="0"/>
                <w:sz w:val="20"/>
                <w:szCs w:val="20"/>
                <w:lang w:val="en-US" w:eastAsia="zh-CN" w:bidi="ar"/>
              </w:rPr>
              <w:t>制</w:t>
            </w:r>
            <w:r>
              <w:rPr>
                <w:rFonts w:hint="default" w:ascii="Times New Roman" w:hAnsi="Times New Roman" w:eastAsia="宋体" w:cs="Times New Roman"/>
                <w:color w:val="000000"/>
                <w:kern w:val="0"/>
                <w:sz w:val="20"/>
                <w:szCs w:val="20"/>
                <w:lang w:val="en-US" w:eastAsia="zh-CN" w:bidi="ar"/>
              </w:rPr>
              <w:t>发件</w:t>
            </w:r>
            <w:r>
              <w:rPr>
                <w:rFonts w:hint="default" w:ascii="Times New Roman" w:hAnsi="Times New Roman" w:cs="Times New Roman" w:eastAsiaTheme="minorEastAsia"/>
                <w:color w:val="000000"/>
                <w:kern w:val="0"/>
                <w:sz w:val="20"/>
                <w:szCs w:val="20"/>
                <w:lang w:val="en-US" w:eastAsia="zh-CN" w:bidi="ar"/>
              </w:rPr>
              <w:t>数</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cs="Times New Roman" w:eastAsiaTheme="minorEastAsia"/>
                <w:color w:val="00000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规章</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行政规范性文件</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行政许可</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三、收到和处理政府信息公开申请情况</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666"/>
        <w:gridCol w:w="818"/>
        <w:gridCol w:w="2800"/>
        <w:gridCol w:w="596"/>
        <w:gridCol w:w="596"/>
        <w:gridCol w:w="596"/>
        <w:gridCol w:w="596"/>
        <w:gridCol w:w="596"/>
        <w:gridCol w:w="603"/>
        <w:gridCol w:w="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2529" w:type="pct"/>
            <w:gridSpan w:val="3"/>
            <w:vMerge w:val="restart"/>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楷体" w:cs="Times New Roman"/>
                <w:color w:val="000000"/>
                <w:kern w:val="0"/>
                <w:sz w:val="20"/>
                <w:szCs w:val="20"/>
                <w:lang w:val="en-US" w:eastAsia="zh-CN" w:bidi="ar"/>
              </w:rPr>
              <w:t>（本列数据的勾稽关系为：第一项加第二项之和，等于第三项加第四项之和）</w:t>
            </w:r>
          </w:p>
        </w:tc>
        <w:tc>
          <w:tcPr>
            <w:tcW w:w="2470" w:type="pct"/>
            <w:gridSpan w:val="7"/>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52" w:type="pct"/>
            <w:vMerge w:val="restar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自然人</w:t>
            </w:r>
          </w:p>
        </w:tc>
        <w:tc>
          <w:tcPr>
            <w:tcW w:w="1764" w:type="pct"/>
            <w:gridSpan w:val="5"/>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法人或其他组织</w:t>
            </w:r>
          </w:p>
        </w:tc>
        <w:tc>
          <w:tcPr>
            <w:tcW w:w="353" w:type="pct"/>
            <w:vMerge w:val="restart"/>
            <w:tcBorders>
              <w:top w:val="single"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52" w:type="pct"/>
            <w:vMerge w:val="continue"/>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企业</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机构</w:t>
            </w:r>
          </w:p>
        </w:tc>
        <w:tc>
          <w:tcPr>
            <w:tcW w:w="352"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社会公益组织</w:t>
            </w:r>
          </w:p>
        </w:tc>
        <w:tc>
          <w:tcPr>
            <w:tcW w:w="352"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法律服务机构</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其他</w:t>
            </w:r>
          </w:p>
        </w:tc>
        <w:tc>
          <w:tcPr>
            <w:tcW w:w="353" w:type="pct"/>
            <w:vMerge w:val="continue"/>
            <w:tcBorders>
              <w:top w:val="single"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一、本年新收政府信息公开申请数量</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2</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二、上年结转政府信息公开申请数量</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restart"/>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三、本年度办理结果</w:t>
            </w: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（一）予以公开</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2</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（二）部分公开</w:t>
            </w:r>
            <w:r>
              <w:rPr>
                <w:rFonts w:hint="default" w:ascii="Times New Roman" w:hAnsi="Times New Roman" w:eastAsia="楷体" w:cs="Times New Roman"/>
                <w:color w:val="000000"/>
                <w:kern w:val="0"/>
                <w:sz w:val="20"/>
                <w:szCs w:val="20"/>
                <w:lang w:val="en-US" w:eastAsia="zh-CN" w:bidi="ar"/>
              </w:rPr>
              <w:t>（区分处理的，只计这一情形，不计其他情形）</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（三）不予公开</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1.属于国家秘密</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2.其他法律行政法规禁止公开</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3.危及“三安全一稳定”</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4.保护第三方合法权益</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5.属于三类内部事务信息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6.属于四类过程性信息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7.属于行政执法案卷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8.属于行政查询事项</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（四）无法提供</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1.本机关不掌握相关政府信息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2.没有现成信息需要另行制作</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3.补正后申请内容仍不明确</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（五）不予处理</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1.信访举报投诉类申请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2.重复申请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3.要求提供公开出版物</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4.无正当理由大量反复申请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5.要求行政机关确认或重新出具已获取信息</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（六）其他处理</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1.申请人无正当理由逾期不补正、行政机关不再处理其政府信息公开申请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3.其他</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（七）总计</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四、结转下年度继续办理</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ind w:firstLine="200" w:firstLineChars="100"/>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0"/>
                <w:szCs w:val="20"/>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rPr>
        <w:t>四、</w:t>
      </w:r>
      <w:r>
        <w:rPr>
          <w:rFonts w:hint="default" w:ascii="Times New Roman" w:hAnsi="Times New Roman" w:eastAsia="黑体" w:cs="Times New Roman"/>
          <w:b/>
          <w:bCs/>
          <w:i w:val="0"/>
          <w:iCs w:val="0"/>
          <w:caps w:val="0"/>
          <w:color w:val="000000"/>
          <w:spacing w:val="0"/>
          <w:sz w:val="32"/>
          <w:szCs w:val="32"/>
          <w:lang w:eastAsia="zh-CN"/>
        </w:rPr>
        <w:t>因</w:t>
      </w:r>
      <w:r>
        <w:rPr>
          <w:rFonts w:hint="default" w:ascii="Times New Roman" w:hAnsi="Times New Roman" w:eastAsia="黑体" w:cs="Times New Roman"/>
          <w:b/>
          <w:bCs/>
          <w:i w:val="0"/>
          <w:iCs w:val="0"/>
          <w:caps w:val="0"/>
          <w:color w:val="000000"/>
          <w:spacing w:val="0"/>
          <w:sz w:val="32"/>
          <w:szCs w:val="32"/>
        </w:rPr>
        <w:t>政府信息公开</w:t>
      </w:r>
      <w:r>
        <w:rPr>
          <w:rFonts w:hint="default" w:ascii="Times New Roman" w:hAnsi="Times New Roman" w:eastAsia="黑体" w:cs="Times New Roman"/>
          <w:b/>
          <w:bCs/>
          <w:i w:val="0"/>
          <w:iCs w:val="0"/>
          <w:caps w:val="0"/>
          <w:color w:val="000000"/>
          <w:spacing w:val="0"/>
          <w:sz w:val="32"/>
          <w:szCs w:val="32"/>
          <w:lang w:eastAsia="zh-CN"/>
        </w:rPr>
        <w:t>工作被申请</w:t>
      </w:r>
      <w:r>
        <w:rPr>
          <w:rFonts w:hint="default" w:ascii="Times New Roman" w:hAnsi="Times New Roman" w:eastAsia="黑体" w:cs="Times New Roman"/>
          <w:b/>
          <w:bCs/>
          <w:i w:val="0"/>
          <w:iCs w:val="0"/>
          <w:caps w:val="0"/>
          <w:color w:val="000000"/>
          <w:spacing w:val="0"/>
          <w:sz w:val="32"/>
          <w:szCs w:val="32"/>
        </w:rPr>
        <w:t>行政复议、</w:t>
      </w:r>
      <w:r>
        <w:rPr>
          <w:rFonts w:hint="default" w:ascii="Times New Roman" w:hAnsi="Times New Roman" w:eastAsia="黑体" w:cs="Times New Roman"/>
          <w:b/>
          <w:bCs/>
          <w:i w:val="0"/>
          <w:iCs w:val="0"/>
          <w:caps w:val="0"/>
          <w:color w:val="000000"/>
          <w:spacing w:val="0"/>
          <w:sz w:val="32"/>
          <w:szCs w:val="32"/>
          <w:lang w:eastAsia="zh-CN"/>
        </w:rPr>
        <w:t>提起</w:t>
      </w:r>
      <w:r>
        <w:rPr>
          <w:rFonts w:hint="default" w:ascii="Times New Roman" w:hAnsi="Times New Roman" w:eastAsia="黑体" w:cs="Times New Roman"/>
          <w:b/>
          <w:bCs/>
          <w:i w:val="0"/>
          <w:iCs w:val="0"/>
          <w:caps w:val="0"/>
          <w:color w:val="000000"/>
          <w:spacing w:val="0"/>
          <w:sz w:val="32"/>
          <w:szCs w:val="32"/>
        </w:rPr>
        <w:t>行政诉讼情况</w:t>
      </w:r>
    </w:p>
    <w:tbl>
      <w:tblPr>
        <w:tblStyle w:val="3"/>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15" w:type="dxa"/>
          <w:left w:w="15" w:type="dxa"/>
          <w:bottom w:w="15" w:type="dxa"/>
          <w:right w:w="15" w:type="dxa"/>
        </w:tblCellMar>
      </w:tblPr>
      <w:tblGrid>
        <w:gridCol w:w="481"/>
        <w:gridCol w:w="519"/>
        <w:gridCol w:w="643"/>
        <w:gridCol w:w="643"/>
        <w:gridCol w:w="361"/>
        <w:gridCol w:w="643"/>
        <w:gridCol w:w="643"/>
        <w:gridCol w:w="643"/>
        <w:gridCol w:w="643"/>
        <w:gridCol w:w="365"/>
        <w:gridCol w:w="643"/>
        <w:gridCol w:w="643"/>
        <w:gridCol w:w="643"/>
        <w:gridCol w:w="644"/>
        <w:gridCol w:w="3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1554"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行政复议</w:t>
            </w:r>
          </w:p>
        </w:tc>
        <w:tc>
          <w:tcPr>
            <w:tcW w:w="3445" w:type="pct"/>
            <w:gridSpan w:val="10"/>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 w:type="pct"/>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结果维持</w:t>
            </w:r>
          </w:p>
        </w:tc>
        <w:tc>
          <w:tcPr>
            <w:tcW w:w="305" w:type="pct"/>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7"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0"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c>
          <w:tcPr>
            <w:tcW w:w="1722"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未经复议直接起诉</w:t>
            </w:r>
          </w:p>
        </w:tc>
        <w:tc>
          <w:tcPr>
            <w:tcW w:w="1723"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 w:type="pct"/>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05" w:type="pct"/>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210"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持</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0"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持</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283"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05"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8"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1"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w:t>
            </w:r>
          </w:p>
        </w:tc>
      </w:tr>
    </w:tbl>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42" w:leftChars="0" w:right="0" w:rightChars="0" w:firstLine="0" w:firstLine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rPr>
        <w:t>存在的主要问题及改进情况</w:t>
      </w:r>
    </w:p>
    <w:p>
      <w:pPr>
        <w:widowControl/>
        <w:shd w:val="clear" w:color="auto" w:fill="FFFFFF"/>
        <w:spacing w:line="560" w:lineRule="exact"/>
        <w:ind w:firstLine="480"/>
        <w:rPr>
          <w:rFonts w:hint="default" w:ascii="Times New Roman" w:hAnsi="Times New Roman" w:eastAsia="楷体" w:cs="Times New Roman"/>
          <w:b w:val="0"/>
          <w:bCs/>
          <w:color w:val="auto"/>
          <w:kern w:val="0"/>
          <w:sz w:val="32"/>
          <w:szCs w:val="32"/>
          <w:lang w:eastAsia="zh-CN"/>
        </w:rPr>
      </w:pPr>
      <w:r>
        <w:rPr>
          <w:rFonts w:hint="default" w:ascii="Times New Roman" w:hAnsi="Times New Roman" w:eastAsia="楷体" w:cs="Times New Roman"/>
          <w:b w:val="0"/>
          <w:bCs/>
          <w:color w:val="auto"/>
          <w:kern w:val="0"/>
          <w:sz w:val="32"/>
          <w:szCs w:val="32"/>
          <w:lang w:val="en-US" w:eastAsia="zh-CN"/>
        </w:rPr>
        <w:t>（一）</w:t>
      </w:r>
      <w:r>
        <w:rPr>
          <w:rFonts w:hint="default" w:ascii="Times New Roman" w:hAnsi="Times New Roman" w:eastAsia="楷体" w:cs="Times New Roman"/>
          <w:b w:val="0"/>
          <w:bCs/>
          <w:color w:val="auto"/>
          <w:kern w:val="0"/>
          <w:sz w:val="32"/>
          <w:szCs w:val="32"/>
          <w:lang w:eastAsia="zh-CN"/>
        </w:rPr>
        <w:t>存在主要问题：</w:t>
      </w:r>
    </w:p>
    <w:p>
      <w:pPr>
        <w:widowControl/>
        <w:shd w:val="clear" w:color="auto" w:fill="FFFFFF"/>
        <w:spacing w:line="560" w:lineRule="exact"/>
        <w:ind w:firstLine="640" w:firstLineChars="2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rPr>
        <w:t>在</w:t>
      </w:r>
      <w:r>
        <w:rPr>
          <w:rFonts w:hint="default" w:ascii="Times New Roman" w:hAnsi="Times New Roman" w:eastAsia="仿宋" w:cs="Times New Roman"/>
          <w:color w:val="auto"/>
          <w:kern w:val="0"/>
          <w:sz w:val="32"/>
          <w:szCs w:val="32"/>
          <w:lang w:eastAsia="zh-CN"/>
        </w:rPr>
        <w:t>工作</w:t>
      </w:r>
      <w:r>
        <w:rPr>
          <w:rFonts w:hint="default" w:ascii="Times New Roman" w:hAnsi="Times New Roman" w:eastAsia="仿宋" w:cs="Times New Roman"/>
          <w:color w:val="auto"/>
          <w:kern w:val="0"/>
          <w:sz w:val="32"/>
          <w:szCs w:val="32"/>
        </w:rPr>
        <w:t>中</w:t>
      </w:r>
      <w:r>
        <w:rPr>
          <w:rFonts w:hint="default" w:ascii="Times New Roman" w:hAnsi="Times New Roman" w:eastAsia="仿宋" w:cs="Times New Roman"/>
          <w:color w:val="auto"/>
          <w:kern w:val="0"/>
          <w:sz w:val="32"/>
          <w:szCs w:val="32"/>
          <w:lang w:eastAsia="zh-CN"/>
        </w:rPr>
        <w:t>存在</w:t>
      </w:r>
      <w:r>
        <w:rPr>
          <w:rFonts w:hint="default" w:ascii="Times New Roman" w:hAnsi="Times New Roman" w:eastAsia="仿宋" w:cs="Times New Roman"/>
          <w:color w:val="auto"/>
          <w:kern w:val="0"/>
          <w:sz w:val="32"/>
          <w:szCs w:val="32"/>
        </w:rPr>
        <w:t>缺乏信息</w:t>
      </w:r>
      <w:r>
        <w:rPr>
          <w:rFonts w:hint="default" w:ascii="Times New Roman" w:hAnsi="Times New Roman" w:eastAsia="仿宋" w:cs="Times New Roman"/>
          <w:color w:val="auto"/>
          <w:kern w:val="0"/>
          <w:sz w:val="32"/>
          <w:szCs w:val="32"/>
          <w:lang w:eastAsia="zh-CN"/>
        </w:rPr>
        <w:t>主动</w:t>
      </w:r>
      <w:r>
        <w:rPr>
          <w:rFonts w:hint="default" w:ascii="Times New Roman" w:hAnsi="Times New Roman" w:eastAsia="仿宋" w:cs="Times New Roman"/>
          <w:color w:val="auto"/>
          <w:kern w:val="0"/>
          <w:sz w:val="32"/>
          <w:szCs w:val="32"/>
        </w:rPr>
        <w:t>公开的意识和动力</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要求标准不够高、信息更新不够及时等问题。</w:t>
      </w:r>
      <w:r>
        <w:rPr>
          <w:rFonts w:hint="default" w:ascii="Times New Roman" w:hAnsi="Times New Roman" w:eastAsia="仿宋" w:cs="Times New Roman"/>
          <w:color w:val="auto"/>
          <w:kern w:val="0"/>
          <w:sz w:val="32"/>
          <w:szCs w:val="32"/>
          <w:lang w:val="en-US" w:eastAsia="zh-CN"/>
        </w:rPr>
        <w:t>2.</w:t>
      </w:r>
      <w:r>
        <w:rPr>
          <w:rFonts w:hint="default" w:ascii="Times New Roman" w:hAnsi="Times New Roman" w:eastAsia="仿宋" w:cs="Times New Roman"/>
          <w:color w:val="auto"/>
          <w:kern w:val="0"/>
          <w:sz w:val="32"/>
          <w:szCs w:val="32"/>
        </w:rPr>
        <w:t>宣传教育培训不足，缺乏专业信息技术人员，对信息公开工作认识不深，对社会宣传力度不够等。</w:t>
      </w:r>
    </w:p>
    <w:p>
      <w:pPr>
        <w:widowControl/>
        <w:shd w:val="clear" w:color="auto" w:fill="FFFFFF"/>
        <w:spacing w:line="560" w:lineRule="exact"/>
        <w:ind w:firstLine="480"/>
        <w:rPr>
          <w:rFonts w:hint="default" w:ascii="Times New Roman" w:hAnsi="Times New Roman" w:eastAsia="楷体" w:cs="Times New Roman"/>
          <w:bCs/>
          <w:color w:val="auto"/>
          <w:kern w:val="0"/>
          <w:sz w:val="32"/>
          <w:szCs w:val="32"/>
        </w:rPr>
      </w:pPr>
      <w:r>
        <w:rPr>
          <w:rFonts w:hint="default" w:ascii="Times New Roman" w:hAnsi="Times New Roman" w:eastAsia="楷体" w:cs="Times New Roman"/>
          <w:color w:val="auto"/>
          <w:kern w:val="0"/>
          <w:sz w:val="32"/>
          <w:szCs w:val="32"/>
          <w:lang w:val="en-US" w:eastAsia="zh-CN"/>
        </w:rPr>
        <w:t>（二）</w:t>
      </w:r>
      <w:r>
        <w:rPr>
          <w:rFonts w:hint="default" w:ascii="Times New Roman" w:hAnsi="Times New Roman" w:eastAsia="楷体" w:cs="Times New Roman"/>
          <w:bCs/>
          <w:color w:val="auto"/>
          <w:kern w:val="0"/>
          <w:sz w:val="32"/>
          <w:szCs w:val="32"/>
        </w:rPr>
        <w:t>改进情况</w:t>
      </w:r>
    </w:p>
    <w:p>
      <w:pPr>
        <w:widowControl/>
        <w:shd w:val="clear" w:color="auto" w:fill="FFFFFF"/>
        <w:spacing w:line="560" w:lineRule="exact"/>
        <w:ind w:firstLine="48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严格按照区委、区政府有关信息公开的各项要求和目标，进一步提高认识，加强培训，强化对信息公开工作的认识，提高政府信息公开工作水平。规范流程，以制度化、规范化、科学化为着力点，建立长效机制。</w:t>
      </w:r>
    </w:p>
    <w:p>
      <w:pPr>
        <w:widowControl/>
        <w:shd w:val="clear" w:color="auto" w:fill="FFFFFF"/>
        <w:spacing w:line="560" w:lineRule="exact"/>
        <w:ind w:firstLine="640" w:firstLineChars="200"/>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2.创新途径，补充完善。及时更新、扩大政府信息公开内容，保证公开信息的完整性和准确性，不断创新公开形式，探索新途径，提高政务公开工作的质量和服务水平。</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val="en-US" w:eastAsia="zh-CN"/>
        </w:rPr>
        <w:br w:type="textWrapping"/>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kern w:val="0"/>
          <w:sz w:val="32"/>
          <w:szCs w:val="32"/>
          <w:lang w:val="en-US" w:eastAsia="zh-CN"/>
        </w:rPr>
        <w:t>2、落实上级年度政务公开工作要点情况。严格落实《淄川区人民政府办公室关于印发淄川区2021年政务公开工作要点的通知》要求，根据任务清单重点</w:t>
      </w:r>
      <w:r>
        <w:rPr>
          <w:rFonts w:hint="default" w:ascii="Times New Roman" w:hAnsi="Times New Roman" w:eastAsia="仿宋_GB2312" w:cs="Times New Roman"/>
          <w:color w:val="000000" w:themeColor="text1"/>
          <w:sz w:val="32"/>
          <w:szCs w:val="32"/>
          <w14:textFill>
            <w14:solidFill>
              <w14:schemeClr w14:val="tx1"/>
            </w14:solidFill>
          </w14:textFill>
        </w:rPr>
        <w:t>深化细化民生领域信息公开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i w:val="0"/>
          <w:caps w:val="0"/>
          <w:color w:val="000000"/>
          <w:spacing w:val="0"/>
          <w:sz w:val="32"/>
          <w:szCs w:val="32"/>
        </w:rPr>
        <w:t>按照《</w:t>
      </w:r>
      <w:r>
        <w:rPr>
          <w:rFonts w:hint="default" w:ascii="Times New Roman" w:hAnsi="Times New Roman" w:eastAsia="仿宋_GB2312" w:cs="Times New Roman"/>
          <w:i w:val="0"/>
          <w:caps w:val="0"/>
          <w:color w:val="000000"/>
          <w:spacing w:val="0"/>
          <w:sz w:val="32"/>
          <w:szCs w:val="32"/>
          <w:lang w:eastAsia="zh-CN"/>
        </w:rPr>
        <w:t>淄川区</w:t>
      </w:r>
      <w:r>
        <w:rPr>
          <w:rFonts w:hint="default" w:ascii="Times New Roman" w:hAnsi="Times New Roman" w:eastAsia="仿宋_GB2312" w:cs="Times New Roman"/>
          <w:i w:val="0"/>
          <w:caps w:val="0"/>
          <w:color w:val="000000"/>
          <w:spacing w:val="0"/>
          <w:sz w:val="32"/>
          <w:szCs w:val="32"/>
        </w:rPr>
        <w:t>社会救助领域基层政务公开标准目录》、《</w:t>
      </w:r>
      <w:r>
        <w:rPr>
          <w:rFonts w:hint="default" w:ascii="Times New Roman" w:hAnsi="Times New Roman" w:eastAsia="仿宋_GB2312" w:cs="Times New Roman"/>
          <w:i w:val="0"/>
          <w:caps w:val="0"/>
          <w:color w:val="000000"/>
          <w:spacing w:val="0"/>
          <w:sz w:val="32"/>
          <w:szCs w:val="32"/>
          <w:lang w:eastAsia="zh-CN"/>
        </w:rPr>
        <w:t>淄川区</w:t>
      </w:r>
      <w:r>
        <w:rPr>
          <w:rFonts w:hint="default" w:ascii="Times New Roman" w:hAnsi="Times New Roman" w:eastAsia="仿宋_GB2312" w:cs="Times New Roman"/>
          <w:i w:val="0"/>
          <w:caps w:val="0"/>
          <w:color w:val="000000"/>
          <w:spacing w:val="0"/>
          <w:sz w:val="32"/>
          <w:szCs w:val="32"/>
        </w:rPr>
        <w:t>养老服务领域基层政务公开标准目录》</w:t>
      </w:r>
      <w:r>
        <w:rPr>
          <w:rFonts w:hint="default" w:ascii="Times New Roman" w:hAnsi="Times New Roman" w:eastAsia="仿宋_GB2312" w:cs="Times New Roman"/>
          <w:i w:val="0"/>
          <w:caps w:val="0"/>
          <w:color w:val="000000"/>
          <w:spacing w:val="0"/>
          <w:sz w:val="32"/>
          <w:szCs w:val="32"/>
          <w:lang w:eastAsia="zh-CN"/>
        </w:rPr>
        <w:t>优化调整公开栏目，</w:t>
      </w:r>
      <w:r>
        <w:rPr>
          <w:rFonts w:hint="default" w:ascii="Times New Roman" w:hAnsi="Times New Roman" w:eastAsia="仿宋_GB2312" w:cs="Times New Roman"/>
          <w:i w:val="0"/>
          <w:caps w:val="0"/>
          <w:color w:val="000000"/>
          <w:spacing w:val="0"/>
          <w:sz w:val="32"/>
          <w:szCs w:val="32"/>
        </w:rPr>
        <w:t>设置社会救助、养老服务专栏，</w:t>
      </w:r>
      <w:r>
        <w:rPr>
          <w:rFonts w:hint="default" w:ascii="Times New Roman" w:hAnsi="Times New Roman" w:eastAsia="仿宋_GB2312" w:cs="Times New Roman"/>
          <w:i w:val="0"/>
          <w:caps w:val="0"/>
          <w:color w:val="000000"/>
          <w:spacing w:val="0"/>
          <w:sz w:val="32"/>
          <w:szCs w:val="32"/>
          <w:lang w:eastAsia="zh-CN"/>
        </w:rPr>
        <w:t>分别按月和季度公开</w:t>
      </w:r>
      <w:r>
        <w:rPr>
          <w:rFonts w:hint="default" w:ascii="Times New Roman" w:hAnsi="Times New Roman" w:eastAsia="仿宋_GB2312" w:cs="Times New Roman"/>
          <w:color w:val="000000" w:themeColor="text1"/>
          <w:sz w:val="32"/>
          <w:szCs w:val="32"/>
          <w14:textFill>
            <w14:solidFill>
              <w14:schemeClr w14:val="tx1"/>
            </w14:solidFill>
          </w14:textFill>
        </w:rPr>
        <w:t>社会救助、社会福利和养老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rPr>
      </w:pPr>
      <w:r>
        <w:rPr>
          <w:rFonts w:hint="default" w:ascii="Times New Roman" w:hAnsi="Times New Roman" w:eastAsia="仿宋_GB2312" w:cs="Times New Roman"/>
          <w:i w:val="0"/>
          <w:caps w:val="0"/>
          <w:color w:val="000000"/>
          <w:spacing w:val="0"/>
          <w:sz w:val="32"/>
          <w:szCs w:val="32"/>
          <w:lang w:val="en-US" w:eastAsia="zh-CN"/>
        </w:rPr>
        <w:t>3、人大代表建议和政协提案办理结果公开情况。</w:t>
      </w:r>
      <w:r>
        <w:rPr>
          <w:rFonts w:hint="default" w:ascii="Times New Roman" w:hAnsi="Times New Roman" w:eastAsia="仿宋_GB2312" w:cs="Times New Roman"/>
          <w:i w:val="0"/>
          <w:caps w:val="0"/>
          <w:color w:val="000000"/>
          <w:spacing w:val="0"/>
          <w:sz w:val="32"/>
          <w:szCs w:val="32"/>
          <w:lang w:val="en-US"/>
        </w:rPr>
        <w:t>2021</w:t>
      </w:r>
      <w:r>
        <w:rPr>
          <w:rFonts w:hint="default" w:ascii="Times New Roman" w:hAnsi="Times New Roman" w:eastAsia="仿宋_GB2312" w:cs="Times New Roman"/>
          <w:i w:val="0"/>
          <w:caps w:val="0"/>
          <w:color w:val="000000"/>
          <w:spacing w:val="0"/>
          <w:sz w:val="32"/>
          <w:szCs w:val="32"/>
        </w:rPr>
        <w:t>年，我局共收到人大代表建议1件，政协委员提案</w:t>
      </w:r>
      <w:r>
        <w:rPr>
          <w:rFonts w:hint="default"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rPr>
        <w:t>件，人大代表建议和政协委员建议答复文件按法定程序面复代表和委员，面复率100%，办复率100%，代表委员满意率达100%。未有上级建议提案办理任务。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840" w:firstLineChars="1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淄博市淄川区民政局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4160" w:firstLineChars="13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2022年1月20日</w:t>
      </w:r>
    </w:p>
    <w:bookmarkEnd w:id="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31A9CA"/>
    <w:multiLevelType w:val="singleLevel"/>
    <w:tmpl w:val="FE31A9CA"/>
    <w:lvl w:ilvl="0" w:tentative="0">
      <w:start w:val="5"/>
      <w:numFmt w:val="chineseCounting"/>
      <w:suff w:val="nothing"/>
      <w:lvlText w:val="%1、"/>
      <w:lvlJc w:val="left"/>
      <w:pPr>
        <w:ind w:left="6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557C"/>
    <w:rsid w:val="052125DE"/>
    <w:rsid w:val="0BB23087"/>
    <w:rsid w:val="13D36A1A"/>
    <w:rsid w:val="1409529D"/>
    <w:rsid w:val="18484AED"/>
    <w:rsid w:val="18AD646D"/>
    <w:rsid w:val="1E0351E1"/>
    <w:rsid w:val="226715E5"/>
    <w:rsid w:val="26DD4F2D"/>
    <w:rsid w:val="26DF3752"/>
    <w:rsid w:val="2D0A7B24"/>
    <w:rsid w:val="319D5718"/>
    <w:rsid w:val="323B06E2"/>
    <w:rsid w:val="37706585"/>
    <w:rsid w:val="4C481E13"/>
    <w:rsid w:val="5052136F"/>
    <w:rsid w:val="55291F8C"/>
    <w:rsid w:val="580E5C4F"/>
    <w:rsid w:val="5F186814"/>
    <w:rsid w:val="6ED621C1"/>
    <w:rsid w:val="70D9386B"/>
    <w:rsid w:val="7612020B"/>
    <w:rsid w:val="7E742D68"/>
    <w:rsid w:val="7FF1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银杏果</cp:lastModifiedBy>
  <cp:lastPrinted>2022-01-19T08:22:00Z</cp:lastPrinted>
  <dcterms:modified xsi:type="dcterms:W3CDTF">2022-01-27T06:13:12Z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8E32BDAD499149D8B40031A09A63E450</vt:lpwstr>
  </property>
</Properties>
</file>