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sz w:val="28"/>
          <w:szCs w:val="36"/>
          <w:lang w:eastAsia="zh-CN"/>
        </w:rPr>
        <w:t>政协委员提案</w:t>
      </w:r>
      <w:bookmarkEnd w:id="0"/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2023031310430277894989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关于预防养老诈骗，为老年人幸福晚年保驾护航的建议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20230105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13793335097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曾宪锋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2023-02-24 10:42:02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2022年下半年，最高人民法院发布了6件养老诈骗犯罪典型案例，揭露养老诈骗“套路”及其危害。这些典型案例揭露的养老诈骗“套路”包括提供“养老服务”、投资“养老项目”、销售“养老产品”、宣称“以房养老”、代办“养老保险”、开展“养老帮扶”等。以“养老”为名实施诈骗之所以能够屡屡得逞，老年人缺乏法律知识、贪图小利、精神空虚等是重要原因。典型案例还暴露出行业短板、监管漏洞和风险隐患。例如，一些“养老项目”监管还存在滞后，犯罪分子打着投资养老公寓、入股养生基地等幌子，诱骗老年人投资，骗取钱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政府有关部门要通过提供高质量的养老为老服务，营造全社会尊老爱老氛围，让老有所为老有所养，最大程度挤压养老诈骗的“行骗空间”。二是相关部门要规范养老服务行业准入，加强行业监管，保障养老服务行业健康发展。一方面，要坚持需求导向，真正关心老年人所需，保基本、促公平、提质量，协调发挥好居家、社区、机构养老“三支柱”作用，确保人人享有基本养老服务和公共卫生服务；另一方面，要坚持满足老年人需求和解决人口老龄化问题相结合，促进资源均衡配置，多措并举帮助老年人守好“钱袋子”。审查意见：同意立案 处理意见：由区民政局办理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2023-03-14 17:10:44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2023-04-04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19:10:48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民政局：【否】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民政局：【暂未回复】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17:10:49 淄川区平台中心【委员】[交办]至淄川区民政局；处理意见：</w:t>
            </w:r>
            <w:r>
              <w:br w:type="textWrapping"/>
            </w:r>
            <w:r>
              <w:t>2023-03-13 10:43:02 【曾宪锋】[委员发起提案]；处理意见：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A4Y2JmN2NhNTRkMTk3NTJiZmZlOGNiMTkwNTczMGQ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3C41CAB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693</Words>
  <Characters>830</Characters>
  <Lines>1</Lines>
  <Paragraphs>1</Paragraphs>
  <TotalTime>14</TotalTime>
  <ScaleCrop>false</ScaleCrop>
  <LinksUpToDate>false</LinksUpToDate>
  <CharactersWithSpaces>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2023-03-16T00:51:01Z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2F440A5E76D14BD5A68CABF362132DD9</vt:lpwstr>
  </property>
</Properties>
</file>