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A7079">
      <w:pPr>
        <w:jc w:val="center"/>
        <w:rPr>
          <w:rFonts w:hint="eastAsia" w:ascii="方正小标宋_GBK" w:hAnsi="黑体" w:eastAsia="方正小标宋_GBK" w:cs="仿宋_GB2312"/>
          <w:sz w:val="44"/>
          <w:szCs w:val="44"/>
          <w:highlight w:val="none"/>
        </w:rPr>
      </w:pPr>
      <w:r>
        <w:rPr>
          <w:rFonts w:hint="eastAsia" w:ascii="方正小标宋_GBK" w:hAnsi="黑体" w:eastAsia="方正小标宋_GBK" w:cs="仿宋_GB2312"/>
          <w:sz w:val="44"/>
          <w:szCs w:val="44"/>
          <w:highlight w:val="none"/>
        </w:rPr>
        <w:t>学术类社会团体评估指标</w:t>
      </w:r>
    </w:p>
    <w:p w14:paraId="085A6810">
      <w:pPr>
        <w:jc w:val="center"/>
        <w:rPr>
          <w:rFonts w:hint="eastAsia" w:ascii="楷体_GB2312" w:hAnsi="黑体" w:eastAsia="楷体_GB2312" w:cs="仿宋_GB2312"/>
          <w:sz w:val="32"/>
          <w:szCs w:val="32"/>
          <w:highlight w:val="none"/>
        </w:rPr>
      </w:pPr>
      <w:r>
        <w:rPr>
          <w:rFonts w:hint="eastAsia" w:ascii="楷体_GB2312" w:hAnsi="黑体" w:eastAsia="楷体_GB2312" w:cs="仿宋_GB2312"/>
          <w:sz w:val="32"/>
          <w:szCs w:val="32"/>
          <w:highlight w:val="none"/>
        </w:rPr>
        <w:t xml:space="preserve">（2024年 </w:t>
      </w:r>
      <w:r>
        <w:rPr>
          <w:rFonts w:hint="eastAsia" w:ascii="楷体_GB2312" w:hAnsi="黑体" w:eastAsia="楷体_GB2312" w:cs="仿宋_GB2312"/>
          <w:sz w:val="32"/>
          <w:szCs w:val="32"/>
          <w:highlight w:val="none"/>
          <w:lang w:val="en-US" w:eastAsia="zh-CN"/>
        </w:rPr>
        <w:t>淄川区</w:t>
      </w:r>
      <w:r>
        <w:rPr>
          <w:rFonts w:hint="eastAsia" w:ascii="楷体_GB2312" w:hAnsi="黑体" w:eastAsia="楷体_GB2312" w:cs="仿宋_GB2312"/>
          <w:sz w:val="32"/>
          <w:szCs w:val="32"/>
          <w:highlight w:val="none"/>
          <w:lang w:eastAsia="zh-CN"/>
        </w:rPr>
        <w:t>民政局</w:t>
      </w:r>
      <w:r>
        <w:rPr>
          <w:rFonts w:hint="eastAsia" w:ascii="楷体_GB2312" w:hAnsi="黑体" w:eastAsia="楷体_GB2312" w:cs="仿宋_GB2312"/>
          <w:sz w:val="32"/>
          <w:szCs w:val="32"/>
          <w:highlight w:val="none"/>
        </w:rPr>
        <w:t>修订）</w:t>
      </w:r>
    </w:p>
    <w:tbl>
      <w:tblPr>
        <w:tblStyle w:val="2"/>
        <w:tblW w:w="4940" w:type="pct"/>
        <w:tblInd w:w="0" w:type="dxa"/>
        <w:tblLayout w:type="autofit"/>
        <w:tblCellMar>
          <w:top w:w="0" w:type="dxa"/>
          <w:left w:w="108" w:type="dxa"/>
          <w:bottom w:w="0" w:type="dxa"/>
          <w:right w:w="108" w:type="dxa"/>
        </w:tblCellMar>
      </w:tblPr>
      <w:tblGrid>
        <w:gridCol w:w="1245"/>
        <w:gridCol w:w="1280"/>
        <w:gridCol w:w="1283"/>
        <w:gridCol w:w="1370"/>
        <w:gridCol w:w="8033"/>
        <w:gridCol w:w="793"/>
      </w:tblGrid>
      <w:tr w14:paraId="1562F5F7">
        <w:tblPrEx>
          <w:tblCellMar>
            <w:top w:w="0" w:type="dxa"/>
            <w:left w:w="108" w:type="dxa"/>
            <w:bottom w:w="0" w:type="dxa"/>
            <w:right w:w="108" w:type="dxa"/>
          </w:tblCellMar>
        </w:tblPrEx>
        <w:trPr>
          <w:trHeight w:val="480" w:hRule="atLeast"/>
          <w:tblHeader/>
        </w:trPr>
        <w:tc>
          <w:tcPr>
            <w:tcW w:w="445" w:type="pct"/>
            <w:tcBorders>
              <w:top w:val="single" w:color="auto" w:sz="4" w:space="0"/>
              <w:left w:val="single" w:color="auto" w:sz="4" w:space="0"/>
              <w:bottom w:val="single" w:color="auto" w:sz="4" w:space="0"/>
              <w:right w:val="single" w:color="auto" w:sz="4" w:space="0"/>
            </w:tcBorders>
            <w:noWrap w:val="0"/>
            <w:vAlign w:val="center"/>
          </w:tcPr>
          <w:p w14:paraId="506E57C5">
            <w:pPr>
              <w:widowControl/>
              <w:jc w:val="center"/>
              <w:rPr>
                <w:rFonts w:ascii="宋体" w:hAnsi="宋体" w:cs="宋体"/>
                <w:kern w:val="0"/>
                <w:sz w:val="24"/>
                <w:highlight w:val="none"/>
              </w:rPr>
            </w:pPr>
            <w:r>
              <w:rPr>
                <w:rFonts w:hint="eastAsia" w:ascii="宋体" w:hAnsi="宋体" w:cs="宋体"/>
                <w:kern w:val="0"/>
                <w:sz w:val="24"/>
                <w:highlight w:val="none"/>
              </w:rPr>
              <w:t>一级指标</w:t>
            </w:r>
          </w:p>
        </w:tc>
        <w:tc>
          <w:tcPr>
            <w:tcW w:w="457" w:type="pct"/>
            <w:tcBorders>
              <w:top w:val="single" w:color="auto" w:sz="4" w:space="0"/>
              <w:left w:val="nil"/>
              <w:bottom w:val="single" w:color="auto" w:sz="4" w:space="0"/>
              <w:right w:val="single" w:color="auto" w:sz="4" w:space="0"/>
            </w:tcBorders>
            <w:noWrap w:val="0"/>
            <w:vAlign w:val="center"/>
          </w:tcPr>
          <w:p w14:paraId="5B220D38">
            <w:pPr>
              <w:widowControl/>
              <w:jc w:val="center"/>
              <w:rPr>
                <w:rFonts w:ascii="宋体" w:hAnsi="宋体" w:cs="宋体"/>
                <w:kern w:val="0"/>
                <w:sz w:val="24"/>
                <w:highlight w:val="none"/>
              </w:rPr>
            </w:pPr>
            <w:r>
              <w:rPr>
                <w:rFonts w:hint="eastAsia" w:ascii="宋体" w:hAnsi="宋体" w:cs="宋体"/>
                <w:kern w:val="0"/>
                <w:sz w:val="24"/>
                <w:highlight w:val="none"/>
              </w:rPr>
              <w:t>二级指标</w:t>
            </w:r>
          </w:p>
        </w:tc>
        <w:tc>
          <w:tcPr>
            <w:tcW w:w="458" w:type="pct"/>
            <w:tcBorders>
              <w:top w:val="single" w:color="auto" w:sz="4" w:space="0"/>
              <w:left w:val="nil"/>
              <w:bottom w:val="single" w:color="auto" w:sz="4" w:space="0"/>
              <w:right w:val="single" w:color="auto" w:sz="4" w:space="0"/>
            </w:tcBorders>
            <w:noWrap w:val="0"/>
            <w:vAlign w:val="center"/>
          </w:tcPr>
          <w:p w14:paraId="2E89EB2E">
            <w:pPr>
              <w:widowControl/>
              <w:jc w:val="center"/>
              <w:rPr>
                <w:rFonts w:ascii="宋体" w:hAnsi="宋体" w:cs="宋体"/>
                <w:kern w:val="0"/>
                <w:sz w:val="24"/>
                <w:highlight w:val="none"/>
              </w:rPr>
            </w:pPr>
            <w:r>
              <w:rPr>
                <w:rFonts w:hint="eastAsia" w:ascii="宋体" w:hAnsi="宋体" w:cs="宋体"/>
                <w:kern w:val="0"/>
                <w:sz w:val="24"/>
                <w:highlight w:val="none"/>
              </w:rPr>
              <w:t>三级指标</w:t>
            </w:r>
          </w:p>
        </w:tc>
        <w:tc>
          <w:tcPr>
            <w:tcW w:w="489" w:type="pct"/>
            <w:tcBorders>
              <w:top w:val="single" w:color="auto" w:sz="4" w:space="0"/>
              <w:left w:val="nil"/>
              <w:bottom w:val="single" w:color="auto" w:sz="4" w:space="0"/>
              <w:right w:val="single" w:color="auto" w:sz="4" w:space="0"/>
            </w:tcBorders>
            <w:noWrap w:val="0"/>
            <w:vAlign w:val="center"/>
          </w:tcPr>
          <w:p w14:paraId="47F572EC">
            <w:pPr>
              <w:widowControl/>
              <w:jc w:val="center"/>
              <w:rPr>
                <w:rFonts w:ascii="宋体" w:hAnsi="宋体" w:cs="宋体"/>
                <w:kern w:val="0"/>
                <w:sz w:val="24"/>
                <w:highlight w:val="none"/>
              </w:rPr>
            </w:pPr>
            <w:r>
              <w:rPr>
                <w:rFonts w:hint="eastAsia" w:ascii="宋体" w:hAnsi="宋体" w:cs="宋体"/>
                <w:kern w:val="0"/>
                <w:sz w:val="24"/>
                <w:highlight w:val="none"/>
              </w:rPr>
              <w:t>四级指标</w:t>
            </w:r>
          </w:p>
        </w:tc>
        <w:tc>
          <w:tcPr>
            <w:tcW w:w="2868" w:type="pct"/>
            <w:tcBorders>
              <w:top w:val="single" w:color="auto" w:sz="4" w:space="0"/>
              <w:left w:val="nil"/>
              <w:bottom w:val="single" w:color="auto" w:sz="4" w:space="0"/>
              <w:right w:val="single" w:color="auto" w:sz="4" w:space="0"/>
            </w:tcBorders>
            <w:noWrap w:val="0"/>
            <w:vAlign w:val="center"/>
          </w:tcPr>
          <w:p w14:paraId="63291DF9">
            <w:pPr>
              <w:widowControl/>
              <w:jc w:val="center"/>
              <w:rPr>
                <w:rFonts w:ascii="宋体" w:hAnsi="宋体" w:cs="宋体"/>
                <w:kern w:val="0"/>
                <w:sz w:val="24"/>
                <w:highlight w:val="none"/>
              </w:rPr>
            </w:pPr>
            <w:r>
              <w:rPr>
                <w:rFonts w:hint="eastAsia" w:ascii="宋体" w:hAnsi="宋体" w:cs="宋体"/>
                <w:kern w:val="0"/>
                <w:sz w:val="24"/>
                <w:highlight w:val="none"/>
              </w:rPr>
              <w:t>五级指标</w:t>
            </w:r>
          </w:p>
        </w:tc>
        <w:tc>
          <w:tcPr>
            <w:tcW w:w="283" w:type="pct"/>
            <w:tcBorders>
              <w:top w:val="single" w:color="auto" w:sz="4" w:space="0"/>
              <w:left w:val="nil"/>
              <w:bottom w:val="single" w:color="auto" w:sz="4" w:space="0"/>
              <w:right w:val="single" w:color="auto" w:sz="4" w:space="0"/>
            </w:tcBorders>
            <w:noWrap w:val="0"/>
            <w:vAlign w:val="center"/>
          </w:tcPr>
          <w:p w14:paraId="2818B894">
            <w:pPr>
              <w:widowControl/>
              <w:jc w:val="center"/>
              <w:rPr>
                <w:rFonts w:ascii="宋体" w:hAnsi="宋体" w:cs="宋体"/>
                <w:kern w:val="0"/>
                <w:sz w:val="24"/>
                <w:highlight w:val="none"/>
              </w:rPr>
            </w:pPr>
            <w:r>
              <w:rPr>
                <w:rFonts w:hint="eastAsia" w:ascii="宋体" w:hAnsi="宋体" w:cs="宋体"/>
                <w:kern w:val="0"/>
                <w:sz w:val="24"/>
                <w:highlight w:val="none"/>
              </w:rPr>
              <w:t>分值</w:t>
            </w:r>
          </w:p>
        </w:tc>
      </w:tr>
      <w:tr w14:paraId="40AD4F75">
        <w:tblPrEx>
          <w:tblCellMar>
            <w:top w:w="0" w:type="dxa"/>
            <w:left w:w="108" w:type="dxa"/>
            <w:bottom w:w="0" w:type="dxa"/>
            <w:right w:w="108" w:type="dxa"/>
          </w:tblCellMar>
        </w:tblPrEx>
        <w:trPr>
          <w:trHeight w:val="1953" w:hRule="atLeast"/>
        </w:trPr>
        <w:tc>
          <w:tcPr>
            <w:tcW w:w="445" w:type="pct"/>
            <w:vMerge w:val="restart"/>
            <w:tcBorders>
              <w:top w:val="nil"/>
              <w:left w:val="single" w:color="auto" w:sz="4" w:space="0"/>
              <w:right w:val="single" w:color="auto" w:sz="4" w:space="0"/>
            </w:tcBorders>
            <w:noWrap w:val="0"/>
            <w:vAlign w:val="center"/>
          </w:tcPr>
          <w:p w14:paraId="726BB10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基础条件</w:t>
            </w:r>
          </w:p>
        </w:tc>
        <w:tc>
          <w:tcPr>
            <w:tcW w:w="457" w:type="pct"/>
            <w:vMerge w:val="restart"/>
            <w:tcBorders>
              <w:top w:val="nil"/>
              <w:left w:val="single" w:color="auto" w:sz="4" w:space="0"/>
              <w:bottom w:val="single" w:color="auto" w:sz="4" w:space="0"/>
              <w:right w:val="single" w:color="auto" w:sz="4" w:space="0"/>
            </w:tcBorders>
            <w:noWrap w:val="0"/>
            <w:vAlign w:val="center"/>
          </w:tcPr>
          <w:p w14:paraId="6224851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法人资格</w:t>
            </w:r>
          </w:p>
        </w:tc>
        <w:tc>
          <w:tcPr>
            <w:tcW w:w="458" w:type="pct"/>
            <w:tcBorders>
              <w:top w:val="nil"/>
              <w:left w:val="nil"/>
              <w:bottom w:val="single" w:color="auto" w:sz="4" w:space="0"/>
              <w:right w:val="single" w:color="auto" w:sz="4" w:space="0"/>
            </w:tcBorders>
            <w:noWrap w:val="0"/>
            <w:vAlign w:val="center"/>
          </w:tcPr>
          <w:p w14:paraId="48F17CC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法定代表人</w:t>
            </w:r>
          </w:p>
        </w:tc>
        <w:tc>
          <w:tcPr>
            <w:tcW w:w="489" w:type="pct"/>
            <w:tcBorders>
              <w:top w:val="nil"/>
              <w:left w:val="nil"/>
              <w:bottom w:val="single" w:color="auto" w:sz="4" w:space="0"/>
              <w:right w:val="single" w:color="auto" w:sz="4" w:space="0"/>
            </w:tcBorders>
            <w:noWrap w:val="0"/>
            <w:vAlign w:val="center"/>
          </w:tcPr>
          <w:p w14:paraId="26E33D0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法定代表人任职资格</w:t>
            </w:r>
          </w:p>
        </w:tc>
        <w:tc>
          <w:tcPr>
            <w:tcW w:w="2868" w:type="pct"/>
            <w:tcBorders>
              <w:top w:val="nil"/>
              <w:left w:val="nil"/>
              <w:bottom w:val="single" w:color="auto" w:sz="4" w:space="0"/>
              <w:right w:val="single" w:color="auto" w:sz="4" w:space="0"/>
            </w:tcBorders>
            <w:noWrap w:val="0"/>
            <w:vAlign w:val="center"/>
          </w:tcPr>
          <w:p w14:paraId="53550382">
            <w:pPr>
              <w:widowControl/>
              <w:jc w:val="left"/>
              <w:rPr>
                <w:rFonts w:ascii="宋体" w:hAnsi="宋体" w:cs="宋体"/>
                <w:kern w:val="0"/>
                <w:sz w:val="22"/>
                <w:szCs w:val="22"/>
                <w:highlight w:val="none"/>
              </w:rPr>
            </w:pPr>
            <w:r>
              <w:rPr>
                <w:rFonts w:hint="eastAsia" w:ascii="宋体" w:hAnsi="宋体" w:cs="宋体"/>
                <w:kern w:val="0"/>
                <w:sz w:val="22"/>
                <w:szCs w:val="22"/>
                <w:highlight w:val="none"/>
              </w:rPr>
              <w:t>□法定代表人由理事长（会长）担任，得1分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□经理事会同意，报党建工作机构（业务主管单位）审核同意并经登记管理机关批准，由副理事长（副会长）或者选任制秘书长担任法定代表人的，得1分，未履行上述手续的，得0分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□法定代表人同时兼任其他社会团体法定代表人，得0分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□法定代表人由聘任制秘书长担任，得0分</w:t>
            </w:r>
          </w:p>
        </w:tc>
        <w:tc>
          <w:tcPr>
            <w:tcW w:w="283" w:type="pct"/>
            <w:tcBorders>
              <w:top w:val="nil"/>
              <w:left w:val="nil"/>
              <w:bottom w:val="single" w:color="auto" w:sz="4" w:space="0"/>
              <w:right w:val="single" w:color="auto" w:sz="4" w:space="0"/>
            </w:tcBorders>
            <w:noWrap/>
            <w:vAlign w:val="center"/>
          </w:tcPr>
          <w:p w14:paraId="70A9B39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54EF38F1">
        <w:tblPrEx>
          <w:tblCellMar>
            <w:top w:w="0" w:type="dxa"/>
            <w:left w:w="108" w:type="dxa"/>
            <w:bottom w:w="0" w:type="dxa"/>
            <w:right w:w="108" w:type="dxa"/>
          </w:tblCellMar>
        </w:tblPrEx>
        <w:trPr>
          <w:trHeight w:val="859" w:hRule="atLeast"/>
        </w:trPr>
        <w:tc>
          <w:tcPr>
            <w:tcW w:w="445" w:type="pct"/>
            <w:vMerge w:val="continue"/>
            <w:tcBorders>
              <w:left w:val="single" w:color="auto" w:sz="4" w:space="0"/>
              <w:right w:val="single" w:color="auto" w:sz="4" w:space="0"/>
            </w:tcBorders>
            <w:noWrap w:val="0"/>
            <w:vAlign w:val="center"/>
          </w:tcPr>
          <w:p w14:paraId="36F1ABDE">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4C8E284E">
            <w:pPr>
              <w:widowControl/>
              <w:jc w:val="left"/>
              <w:rPr>
                <w:rFonts w:ascii="宋体" w:hAnsi="宋体" w:cs="宋体"/>
                <w:kern w:val="0"/>
                <w:sz w:val="22"/>
                <w:szCs w:val="22"/>
                <w:highlight w:val="none"/>
              </w:rPr>
            </w:pPr>
          </w:p>
        </w:tc>
        <w:tc>
          <w:tcPr>
            <w:tcW w:w="458" w:type="pct"/>
            <w:vMerge w:val="restart"/>
            <w:tcBorders>
              <w:top w:val="nil"/>
              <w:left w:val="single" w:color="auto" w:sz="4" w:space="0"/>
              <w:bottom w:val="single" w:color="auto" w:sz="4" w:space="0"/>
              <w:right w:val="single" w:color="auto" w:sz="4" w:space="0"/>
            </w:tcBorders>
            <w:noWrap w:val="0"/>
            <w:vAlign w:val="center"/>
          </w:tcPr>
          <w:p w14:paraId="62B075B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活动资金</w:t>
            </w:r>
          </w:p>
        </w:tc>
        <w:tc>
          <w:tcPr>
            <w:tcW w:w="489" w:type="pct"/>
            <w:tcBorders>
              <w:top w:val="nil"/>
              <w:left w:val="nil"/>
              <w:bottom w:val="single" w:color="auto" w:sz="4" w:space="0"/>
              <w:right w:val="single" w:color="auto" w:sz="4" w:space="0"/>
            </w:tcBorders>
            <w:noWrap w:val="0"/>
            <w:vAlign w:val="center"/>
          </w:tcPr>
          <w:p w14:paraId="68FFD0C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年末净资产</w:t>
            </w:r>
          </w:p>
        </w:tc>
        <w:tc>
          <w:tcPr>
            <w:tcW w:w="2868" w:type="pct"/>
            <w:tcBorders>
              <w:top w:val="nil"/>
              <w:left w:val="nil"/>
              <w:bottom w:val="single" w:color="auto" w:sz="4" w:space="0"/>
              <w:right w:val="single" w:color="auto" w:sz="4" w:space="0"/>
            </w:tcBorders>
            <w:noWrap w:val="0"/>
            <w:vAlign w:val="center"/>
          </w:tcPr>
          <w:p w14:paraId="0A9A92BA">
            <w:pPr>
              <w:widowControl/>
              <w:jc w:val="left"/>
              <w:rPr>
                <w:rFonts w:ascii="宋体" w:hAnsi="宋体" w:cs="宋体"/>
                <w:kern w:val="0"/>
                <w:sz w:val="22"/>
                <w:szCs w:val="22"/>
                <w:highlight w:val="none"/>
              </w:rPr>
            </w:pPr>
            <w:r>
              <w:rPr>
                <w:rFonts w:hint="eastAsia" w:ascii="宋体" w:hAnsi="宋体" w:cs="宋体"/>
                <w:kern w:val="0"/>
                <w:sz w:val="22"/>
                <w:szCs w:val="22"/>
                <w:highlight w:val="none"/>
              </w:rPr>
              <w:t>□上年末净资产不低于注册资金，无抽逃注册资金行为，得1分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□上年末净资产低于注册资金，或存在抽逃注册资金行为，得0分</w:t>
            </w:r>
          </w:p>
        </w:tc>
        <w:tc>
          <w:tcPr>
            <w:tcW w:w="283" w:type="pct"/>
            <w:tcBorders>
              <w:top w:val="nil"/>
              <w:left w:val="nil"/>
              <w:bottom w:val="single" w:color="auto" w:sz="4" w:space="0"/>
              <w:right w:val="single" w:color="auto" w:sz="4" w:space="0"/>
            </w:tcBorders>
            <w:noWrap/>
            <w:vAlign w:val="center"/>
          </w:tcPr>
          <w:p w14:paraId="1764B56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185BA833">
        <w:tblPrEx>
          <w:tblCellMar>
            <w:top w:w="0" w:type="dxa"/>
            <w:left w:w="108" w:type="dxa"/>
            <w:bottom w:w="0" w:type="dxa"/>
            <w:right w:w="108" w:type="dxa"/>
          </w:tblCellMar>
        </w:tblPrEx>
        <w:trPr>
          <w:trHeight w:val="859" w:hRule="atLeast"/>
        </w:trPr>
        <w:tc>
          <w:tcPr>
            <w:tcW w:w="445" w:type="pct"/>
            <w:vMerge w:val="continue"/>
            <w:tcBorders>
              <w:left w:val="single" w:color="auto" w:sz="4" w:space="0"/>
              <w:right w:val="single" w:color="auto" w:sz="4" w:space="0"/>
            </w:tcBorders>
            <w:noWrap w:val="0"/>
            <w:vAlign w:val="center"/>
          </w:tcPr>
          <w:p w14:paraId="5C99D562">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6E3A2DC2">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367C00A6">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7E2D91D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银行账户</w:t>
            </w:r>
          </w:p>
        </w:tc>
        <w:tc>
          <w:tcPr>
            <w:tcW w:w="2868" w:type="pct"/>
            <w:tcBorders>
              <w:top w:val="nil"/>
              <w:left w:val="nil"/>
              <w:bottom w:val="single" w:color="auto" w:sz="4" w:space="0"/>
              <w:right w:val="single" w:color="auto" w:sz="4" w:space="0"/>
            </w:tcBorders>
            <w:noWrap w:val="0"/>
            <w:vAlign w:val="center"/>
          </w:tcPr>
          <w:p w14:paraId="4456E14F">
            <w:pPr>
              <w:widowControl/>
              <w:jc w:val="left"/>
              <w:rPr>
                <w:rFonts w:ascii="宋体" w:hAnsi="宋体" w:cs="宋体"/>
                <w:kern w:val="0"/>
                <w:sz w:val="22"/>
                <w:szCs w:val="22"/>
                <w:highlight w:val="none"/>
              </w:rPr>
            </w:pPr>
            <w:r>
              <w:rPr>
                <w:rFonts w:hint="eastAsia" w:ascii="宋体" w:hAnsi="宋体" w:cs="宋体"/>
                <w:kern w:val="0"/>
                <w:sz w:val="22"/>
                <w:szCs w:val="22"/>
                <w:highlight w:val="none"/>
              </w:rPr>
              <w:t>□开立独立银行账户，得0.3分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□未开立独立银行账户，得0分</w:t>
            </w:r>
          </w:p>
        </w:tc>
        <w:tc>
          <w:tcPr>
            <w:tcW w:w="283" w:type="pct"/>
            <w:tcBorders>
              <w:top w:val="nil"/>
              <w:left w:val="nil"/>
              <w:bottom w:val="single" w:color="auto" w:sz="4" w:space="0"/>
              <w:right w:val="single" w:color="auto" w:sz="4" w:space="0"/>
            </w:tcBorders>
            <w:noWrap/>
            <w:vAlign w:val="center"/>
          </w:tcPr>
          <w:p w14:paraId="5E90C95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0.3</w:t>
            </w:r>
          </w:p>
        </w:tc>
      </w:tr>
      <w:tr w14:paraId="63394A6A">
        <w:tblPrEx>
          <w:tblCellMar>
            <w:top w:w="0" w:type="dxa"/>
            <w:left w:w="108" w:type="dxa"/>
            <w:bottom w:w="0" w:type="dxa"/>
            <w:right w:w="108" w:type="dxa"/>
          </w:tblCellMar>
        </w:tblPrEx>
        <w:trPr>
          <w:trHeight w:val="1369" w:hRule="atLeast"/>
        </w:trPr>
        <w:tc>
          <w:tcPr>
            <w:tcW w:w="445" w:type="pct"/>
            <w:vMerge w:val="continue"/>
            <w:tcBorders>
              <w:left w:val="single" w:color="auto" w:sz="4" w:space="0"/>
              <w:right w:val="single" w:color="auto" w:sz="4" w:space="0"/>
            </w:tcBorders>
            <w:noWrap w:val="0"/>
            <w:vAlign w:val="center"/>
          </w:tcPr>
          <w:p w14:paraId="55596C78">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025FADC3">
            <w:pPr>
              <w:widowControl/>
              <w:jc w:val="left"/>
              <w:rPr>
                <w:rFonts w:ascii="宋体" w:hAnsi="宋体" w:cs="宋体"/>
                <w:kern w:val="0"/>
                <w:sz w:val="22"/>
                <w:szCs w:val="22"/>
                <w:highlight w:val="none"/>
              </w:rPr>
            </w:pPr>
          </w:p>
        </w:tc>
        <w:tc>
          <w:tcPr>
            <w:tcW w:w="458" w:type="pct"/>
            <w:tcBorders>
              <w:top w:val="nil"/>
              <w:left w:val="nil"/>
              <w:bottom w:val="single" w:color="auto" w:sz="4" w:space="0"/>
              <w:right w:val="single" w:color="auto" w:sz="4" w:space="0"/>
            </w:tcBorders>
            <w:noWrap w:val="0"/>
            <w:vAlign w:val="center"/>
          </w:tcPr>
          <w:p w14:paraId="4F22B15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名称</w:t>
            </w:r>
          </w:p>
        </w:tc>
        <w:tc>
          <w:tcPr>
            <w:tcW w:w="489" w:type="pct"/>
            <w:tcBorders>
              <w:top w:val="nil"/>
              <w:left w:val="nil"/>
              <w:bottom w:val="single" w:color="auto" w:sz="4" w:space="0"/>
              <w:right w:val="single" w:color="auto" w:sz="4" w:space="0"/>
            </w:tcBorders>
            <w:noWrap w:val="0"/>
            <w:vAlign w:val="center"/>
          </w:tcPr>
          <w:p w14:paraId="7724B20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名称使用</w:t>
            </w:r>
          </w:p>
        </w:tc>
        <w:tc>
          <w:tcPr>
            <w:tcW w:w="2868" w:type="pct"/>
            <w:tcBorders>
              <w:top w:val="nil"/>
              <w:left w:val="nil"/>
              <w:bottom w:val="single" w:color="auto" w:sz="4" w:space="0"/>
              <w:right w:val="single" w:color="auto" w:sz="4" w:space="0"/>
            </w:tcBorders>
            <w:noWrap w:val="0"/>
            <w:vAlign w:val="center"/>
          </w:tcPr>
          <w:p w14:paraId="0BA72A98">
            <w:pPr>
              <w:widowControl/>
              <w:jc w:val="left"/>
              <w:rPr>
                <w:rFonts w:ascii="宋体" w:hAnsi="宋体" w:cs="宋体"/>
                <w:kern w:val="0"/>
                <w:sz w:val="22"/>
                <w:szCs w:val="22"/>
                <w:highlight w:val="none"/>
              </w:rPr>
            </w:pPr>
            <w:r>
              <w:rPr>
                <w:rFonts w:hint="eastAsia" w:ascii="宋体" w:hAnsi="宋体" w:cs="宋体"/>
                <w:kern w:val="0"/>
                <w:sz w:val="22"/>
                <w:szCs w:val="22"/>
                <w:highlight w:val="none"/>
              </w:rPr>
              <w:t>□在住所或者主要活动场所标明行业协会商会名称的规范全称，得1分；未标明或者使用简称的，得0分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□印章、银行账户、法律文书、门户网站、新媒体平台等使用的名称与登记证书不一致的，得0分</w:t>
            </w:r>
          </w:p>
        </w:tc>
        <w:tc>
          <w:tcPr>
            <w:tcW w:w="283" w:type="pct"/>
            <w:tcBorders>
              <w:top w:val="nil"/>
              <w:left w:val="nil"/>
              <w:bottom w:val="single" w:color="auto" w:sz="4" w:space="0"/>
              <w:right w:val="single" w:color="auto" w:sz="4" w:space="0"/>
            </w:tcBorders>
            <w:noWrap/>
            <w:vAlign w:val="center"/>
          </w:tcPr>
          <w:p w14:paraId="1AFBF2D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3503399B">
        <w:tblPrEx>
          <w:tblCellMar>
            <w:top w:w="0" w:type="dxa"/>
            <w:left w:w="108" w:type="dxa"/>
            <w:bottom w:w="0" w:type="dxa"/>
            <w:right w:w="108" w:type="dxa"/>
          </w:tblCellMar>
        </w:tblPrEx>
        <w:trPr>
          <w:trHeight w:val="780" w:hRule="atLeast"/>
        </w:trPr>
        <w:tc>
          <w:tcPr>
            <w:tcW w:w="445" w:type="pct"/>
            <w:vMerge w:val="continue"/>
            <w:tcBorders>
              <w:left w:val="single" w:color="auto" w:sz="4" w:space="0"/>
              <w:right w:val="single" w:color="auto" w:sz="4" w:space="0"/>
            </w:tcBorders>
            <w:noWrap w:val="0"/>
            <w:vAlign w:val="center"/>
          </w:tcPr>
          <w:p w14:paraId="223A465F">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153DA8E3">
            <w:pPr>
              <w:widowControl/>
              <w:jc w:val="left"/>
              <w:rPr>
                <w:rFonts w:ascii="宋体" w:hAnsi="宋体" w:cs="宋体"/>
                <w:kern w:val="0"/>
                <w:sz w:val="22"/>
                <w:szCs w:val="22"/>
                <w:highlight w:val="none"/>
              </w:rPr>
            </w:pPr>
          </w:p>
        </w:tc>
        <w:tc>
          <w:tcPr>
            <w:tcW w:w="458" w:type="pct"/>
            <w:vMerge w:val="restart"/>
            <w:tcBorders>
              <w:top w:val="nil"/>
              <w:left w:val="single" w:color="auto" w:sz="4" w:space="0"/>
              <w:bottom w:val="single" w:color="auto" w:sz="4" w:space="0"/>
              <w:right w:val="single" w:color="auto" w:sz="4" w:space="0"/>
            </w:tcBorders>
            <w:noWrap w:val="0"/>
            <w:vAlign w:val="center"/>
          </w:tcPr>
          <w:p w14:paraId="34BB3FB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住所</w:t>
            </w:r>
          </w:p>
        </w:tc>
        <w:tc>
          <w:tcPr>
            <w:tcW w:w="489" w:type="pct"/>
            <w:vMerge w:val="restart"/>
            <w:tcBorders>
              <w:top w:val="nil"/>
              <w:left w:val="single" w:color="auto" w:sz="4" w:space="0"/>
              <w:bottom w:val="single" w:color="auto" w:sz="4" w:space="0"/>
              <w:right w:val="single" w:color="auto" w:sz="4" w:space="0"/>
            </w:tcBorders>
            <w:noWrap w:val="0"/>
            <w:vAlign w:val="center"/>
          </w:tcPr>
          <w:p w14:paraId="5749977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办公用房</w:t>
            </w:r>
          </w:p>
        </w:tc>
        <w:tc>
          <w:tcPr>
            <w:tcW w:w="2868" w:type="pct"/>
            <w:tcBorders>
              <w:top w:val="nil"/>
              <w:left w:val="nil"/>
              <w:bottom w:val="single" w:color="auto" w:sz="4" w:space="0"/>
              <w:right w:val="single" w:color="auto" w:sz="4" w:space="0"/>
            </w:tcBorders>
            <w:noWrap w:val="0"/>
            <w:vAlign w:val="center"/>
          </w:tcPr>
          <w:p w14:paraId="509C97DB">
            <w:pPr>
              <w:widowControl/>
              <w:jc w:val="left"/>
              <w:rPr>
                <w:rFonts w:ascii="宋体" w:hAnsi="宋体" w:cs="宋体"/>
                <w:kern w:val="0"/>
                <w:sz w:val="22"/>
                <w:szCs w:val="22"/>
                <w:highlight w:val="none"/>
              </w:rPr>
            </w:pPr>
            <w:r>
              <w:rPr>
                <w:rFonts w:hint="eastAsia" w:ascii="宋体" w:hAnsi="宋体" w:cs="宋体"/>
                <w:kern w:val="0"/>
                <w:sz w:val="22"/>
                <w:szCs w:val="22"/>
                <w:highlight w:val="none"/>
              </w:rPr>
              <w:t>□有独立办公用房，得0.5分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□与其他单位合署办公，得0.2分</w:t>
            </w:r>
          </w:p>
        </w:tc>
        <w:tc>
          <w:tcPr>
            <w:tcW w:w="283" w:type="pct"/>
            <w:tcBorders>
              <w:top w:val="nil"/>
              <w:left w:val="nil"/>
              <w:bottom w:val="single" w:color="auto" w:sz="4" w:space="0"/>
              <w:right w:val="single" w:color="auto" w:sz="4" w:space="0"/>
            </w:tcBorders>
            <w:noWrap/>
            <w:vAlign w:val="center"/>
          </w:tcPr>
          <w:p w14:paraId="1C08E9D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6D5DDBA9">
        <w:tblPrEx>
          <w:tblCellMar>
            <w:top w:w="0" w:type="dxa"/>
            <w:left w:w="108" w:type="dxa"/>
            <w:bottom w:w="0" w:type="dxa"/>
            <w:right w:w="108" w:type="dxa"/>
          </w:tblCellMar>
        </w:tblPrEx>
        <w:trPr>
          <w:trHeight w:val="780" w:hRule="atLeast"/>
        </w:trPr>
        <w:tc>
          <w:tcPr>
            <w:tcW w:w="445" w:type="pct"/>
            <w:vMerge w:val="continue"/>
            <w:tcBorders>
              <w:left w:val="single" w:color="auto" w:sz="4" w:space="0"/>
              <w:bottom w:val="single" w:color="auto" w:sz="4" w:space="0"/>
              <w:right w:val="single" w:color="auto" w:sz="4" w:space="0"/>
            </w:tcBorders>
            <w:noWrap w:val="0"/>
            <w:vAlign w:val="center"/>
          </w:tcPr>
          <w:p w14:paraId="1CBBB757">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621B5C3C">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17E58D74">
            <w:pPr>
              <w:widowControl/>
              <w:jc w:val="left"/>
              <w:rPr>
                <w:rFonts w:ascii="宋体" w:hAnsi="宋体" w:cs="宋体"/>
                <w:kern w:val="0"/>
                <w:sz w:val="22"/>
                <w:szCs w:val="22"/>
                <w:highlight w:val="none"/>
              </w:rPr>
            </w:pPr>
          </w:p>
        </w:tc>
        <w:tc>
          <w:tcPr>
            <w:tcW w:w="489" w:type="pct"/>
            <w:vMerge w:val="continue"/>
            <w:tcBorders>
              <w:top w:val="nil"/>
              <w:left w:val="single" w:color="auto" w:sz="4" w:space="0"/>
              <w:bottom w:val="single" w:color="auto" w:sz="4" w:space="0"/>
              <w:right w:val="single" w:color="auto" w:sz="4" w:space="0"/>
            </w:tcBorders>
            <w:noWrap w:val="0"/>
            <w:vAlign w:val="center"/>
          </w:tcPr>
          <w:p w14:paraId="64BE6DF8">
            <w:pPr>
              <w:widowControl/>
              <w:jc w:val="left"/>
              <w:rPr>
                <w:rFonts w:ascii="宋体" w:hAnsi="宋体" w:cs="宋体"/>
                <w:kern w:val="0"/>
                <w:sz w:val="22"/>
                <w:szCs w:val="22"/>
                <w:highlight w:val="none"/>
              </w:rPr>
            </w:pPr>
          </w:p>
        </w:tc>
        <w:tc>
          <w:tcPr>
            <w:tcW w:w="2868" w:type="pct"/>
            <w:tcBorders>
              <w:top w:val="nil"/>
              <w:left w:val="nil"/>
              <w:bottom w:val="single" w:color="auto" w:sz="4" w:space="0"/>
              <w:right w:val="single" w:color="auto" w:sz="4" w:space="0"/>
            </w:tcBorders>
            <w:noWrap w:val="0"/>
            <w:vAlign w:val="center"/>
          </w:tcPr>
          <w:p w14:paraId="2FFB0A31">
            <w:pPr>
              <w:widowControl/>
              <w:jc w:val="left"/>
              <w:rPr>
                <w:rFonts w:ascii="宋体" w:hAnsi="宋体" w:cs="宋体"/>
                <w:kern w:val="0"/>
                <w:sz w:val="22"/>
                <w:szCs w:val="22"/>
                <w:highlight w:val="none"/>
              </w:rPr>
            </w:pPr>
            <w:r>
              <w:rPr>
                <w:rFonts w:hint="eastAsia" w:ascii="宋体" w:hAnsi="宋体" w:cs="宋体"/>
                <w:kern w:val="0"/>
                <w:sz w:val="22"/>
                <w:szCs w:val="22"/>
                <w:highlight w:val="none"/>
              </w:rPr>
              <w:t>□登记住所为主要办事机构所在地，得0.5分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□登记住所不是主要办事机构所在地，得0分</w:t>
            </w:r>
          </w:p>
        </w:tc>
        <w:tc>
          <w:tcPr>
            <w:tcW w:w="283" w:type="pct"/>
            <w:tcBorders>
              <w:top w:val="nil"/>
              <w:left w:val="nil"/>
              <w:bottom w:val="single" w:color="auto" w:sz="4" w:space="0"/>
              <w:right w:val="single" w:color="auto" w:sz="4" w:space="0"/>
            </w:tcBorders>
            <w:noWrap/>
            <w:vAlign w:val="center"/>
          </w:tcPr>
          <w:p w14:paraId="5EB52D4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325FAFA2">
        <w:tblPrEx>
          <w:tblCellMar>
            <w:top w:w="0" w:type="dxa"/>
            <w:left w:w="108" w:type="dxa"/>
            <w:bottom w:w="0" w:type="dxa"/>
            <w:right w:w="108" w:type="dxa"/>
          </w:tblCellMar>
        </w:tblPrEx>
        <w:trPr>
          <w:trHeight w:val="1069" w:hRule="atLeast"/>
        </w:trPr>
        <w:tc>
          <w:tcPr>
            <w:tcW w:w="445" w:type="pct"/>
            <w:vMerge w:val="restart"/>
            <w:tcBorders>
              <w:top w:val="nil"/>
              <w:left w:val="single" w:color="auto" w:sz="4" w:space="0"/>
              <w:right w:val="single" w:color="auto" w:sz="4" w:space="0"/>
            </w:tcBorders>
            <w:noWrap w:val="0"/>
            <w:vAlign w:val="center"/>
          </w:tcPr>
          <w:p w14:paraId="5CA1FF25">
            <w:pPr>
              <w:jc w:val="center"/>
              <w:rPr>
                <w:rFonts w:ascii="宋体" w:hAnsi="宋体" w:cs="宋体"/>
                <w:kern w:val="0"/>
                <w:sz w:val="22"/>
                <w:szCs w:val="22"/>
                <w:highlight w:val="none"/>
              </w:rPr>
            </w:pPr>
            <w:r>
              <w:rPr>
                <w:rFonts w:hint="eastAsia" w:ascii="宋体" w:hAnsi="宋体" w:cs="宋体"/>
                <w:kern w:val="0"/>
                <w:sz w:val="22"/>
                <w:szCs w:val="22"/>
                <w:highlight w:val="none"/>
              </w:rPr>
              <w:t>基础条件</w:t>
            </w:r>
          </w:p>
        </w:tc>
        <w:tc>
          <w:tcPr>
            <w:tcW w:w="457" w:type="pct"/>
            <w:vMerge w:val="restart"/>
            <w:tcBorders>
              <w:top w:val="nil"/>
              <w:left w:val="single" w:color="auto" w:sz="4" w:space="0"/>
              <w:bottom w:val="single" w:color="auto" w:sz="4" w:space="0"/>
              <w:right w:val="single" w:color="auto" w:sz="4" w:space="0"/>
            </w:tcBorders>
            <w:noWrap w:val="0"/>
            <w:vAlign w:val="center"/>
          </w:tcPr>
          <w:p w14:paraId="427D268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登记管理</w:t>
            </w:r>
          </w:p>
        </w:tc>
        <w:tc>
          <w:tcPr>
            <w:tcW w:w="458" w:type="pct"/>
            <w:vMerge w:val="restart"/>
            <w:tcBorders>
              <w:top w:val="nil"/>
              <w:left w:val="single" w:color="auto" w:sz="4" w:space="0"/>
              <w:bottom w:val="single" w:color="auto" w:sz="4" w:space="0"/>
              <w:right w:val="single" w:color="auto" w:sz="4" w:space="0"/>
            </w:tcBorders>
            <w:noWrap w:val="0"/>
            <w:vAlign w:val="center"/>
          </w:tcPr>
          <w:p w14:paraId="209E87F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章程</w:t>
            </w:r>
          </w:p>
        </w:tc>
        <w:tc>
          <w:tcPr>
            <w:tcW w:w="489" w:type="pct"/>
            <w:tcBorders>
              <w:top w:val="nil"/>
              <w:left w:val="nil"/>
              <w:bottom w:val="single" w:color="auto" w:sz="4" w:space="0"/>
              <w:right w:val="single" w:color="auto" w:sz="4" w:space="0"/>
            </w:tcBorders>
            <w:noWrap w:val="0"/>
            <w:vAlign w:val="center"/>
          </w:tcPr>
          <w:p w14:paraId="7EFDD4F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制定或修改</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程序</w:t>
            </w:r>
          </w:p>
        </w:tc>
        <w:tc>
          <w:tcPr>
            <w:tcW w:w="2868" w:type="pct"/>
            <w:tcBorders>
              <w:top w:val="nil"/>
              <w:left w:val="nil"/>
              <w:bottom w:val="single" w:color="auto" w:sz="4" w:space="0"/>
              <w:right w:val="single" w:color="auto" w:sz="4" w:space="0"/>
            </w:tcBorders>
            <w:noWrap w:val="0"/>
            <w:vAlign w:val="center"/>
          </w:tcPr>
          <w:p w14:paraId="1E30DBCE">
            <w:pPr>
              <w:widowControl/>
              <w:jc w:val="left"/>
              <w:rPr>
                <w:rFonts w:ascii="宋体" w:hAnsi="宋体" w:cs="宋体"/>
                <w:kern w:val="0"/>
                <w:sz w:val="22"/>
                <w:szCs w:val="22"/>
                <w:highlight w:val="none"/>
              </w:rPr>
            </w:pPr>
            <w:r>
              <w:rPr>
                <w:rFonts w:hint="eastAsia" w:ascii="宋体" w:hAnsi="宋体" w:cs="宋体"/>
                <w:kern w:val="0"/>
                <w:sz w:val="22"/>
                <w:szCs w:val="22"/>
                <w:highlight w:val="none"/>
              </w:rPr>
              <w:t>□召开会员（代表）大会，经到会会员（代表）三分之二以上表决通过，得2分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□未经会员（代表）大会表决通过，得0分</w:t>
            </w:r>
          </w:p>
        </w:tc>
        <w:tc>
          <w:tcPr>
            <w:tcW w:w="283" w:type="pct"/>
            <w:tcBorders>
              <w:top w:val="nil"/>
              <w:left w:val="nil"/>
              <w:bottom w:val="single" w:color="auto" w:sz="4" w:space="0"/>
              <w:right w:val="single" w:color="auto" w:sz="4" w:space="0"/>
            </w:tcBorders>
            <w:noWrap/>
            <w:vAlign w:val="center"/>
          </w:tcPr>
          <w:p w14:paraId="01FFB12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w:t>
            </w:r>
          </w:p>
        </w:tc>
      </w:tr>
      <w:tr w14:paraId="1566033E">
        <w:tblPrEx>
          <w:tblCellMar>
            <w:top w:w="0" w:type="dxa"/>
            <w:left w:w="108" w:type="dxa"/>
            <w:bottom w:w="0" w:type="dxa"/>
            <w:right w:w="108" w:type="dxa"/>
          </w:tblCellMar>
        </w:tblPrEx>
        <w:trPr>
          <w:trHeight w:val="1112" w:hRule="atLeast"/>
        </w:trPr>
        <w:tc>
          <w:tcPr>
            <w:tcW w:w="445" w:type="pct"/>
            <w:vMerge w:val="continue"/>
            <w:tcBorders>
              <w:left w:val="single" w:color="auto" w:sz="4" w:space="0"/>
              <w:right w:val="single" w:color="auto" w:sz="4" w:space="0"/>
            </w:tcBorders>
            <w:noWrap w:val="0"/>
            <w:vAlign w:val="center"/>
          </w:tcPr>
          <w:p w14:paraId="00AFE548">
            <w:pPr>
              <w:jc w:val="center"/>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1E7DB675">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1343D1CE">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0DDDF87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章程核准程序</w:t>
            </w:r>
          </w:p>
        </w:tc>
        <w:tc>
          <w:tcPr>
            <w:tcW w:w="2868" w:type="pct"/>
            <w:tcBorders>
              <w:top w:val="nil"/>
              <w:left w:val="nil"/>
              <w:bottom w:val="single" w:color="auto" w:sz="4" w:space="0"/>
              <w:right w:val="single" w:color="auto" w:sz="4" w:space="0"/>
            </w:tcBorders>
            <w:noWrap w:val="0"/>
            <w:vAlign w:val="center"/>
          </w:tcPr>
          <w:p w14:paraId="37412192">
            <w:pPr>
              <w:widowControl/>
              <w:jc w:val="left"/>
              <w:rPr>
                <w:rFonts w:ascii="宋体" w:hAnsi="宋体" w:cs="宋体"/>
                <w:kern w:val="0"/>
                <w:sz w:val="22"/>
                <w:szCs w:val="22"/>
                <w:highlight w:val="none"/>
              </w:rPr>
            </w:pPr>
            <w:r>
              <w:rPr>
                <w:rFonts w:hint="eastAsia" w:ascii="宋体" w:hAnsi="宋体" w:cs="宋体"/>
                <w:kern w:val="0"/>
                <w:sz w:val="22"/>
                <w:szCs w:val="22"/>
                <w:highlight w:val="none"/>
              </w:rPr>
              <w:t>□章程制定或修改后经登记管理机关核准，得2分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□章程制定或修改后未经登记管理机关核准，得0分</w:t>
            </w:r>
          </w:p>
        </w:tc>
        <w:tc>
          <w:tcPr>
            <w:tcW w:w="283" w:type="pct"/>
            <w:tcBorders>
              <w:top w:val="nil"/>
              <w:left w:val="nil"/>
              <w:bottom w:val="single" w:color="auto" w:sz="4" w:space="0"/>
              <w:right w:val="single" w:color="auto" w:sz="4" w:space="0"/>
            </w:tcBorders>
            <w:noWrap/>
            <w:vAlign w:val="center"/>
          </w:tcPr>
          <w:p w14:paraId="2BE819B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w:t>
            </w:r>
          </w:p>
        </w:tc>
      </w:tr>
      <w:tr w14:paraId="6A72F02C">
        <w:tblPrEx>
          <w:tblCellMar>
            <w:top w:w="0" w:type="dxa"/>
            <w:left w:w="108" w:type="dxa"/>
            <w:bottom w:w="0" w:type="dxa"/>
            <w:right w:w="108" w:type="dxa"/>
          </w:tblCellMar>
        </w:tblPrEx>
        <w:trPr>
          <w:trHeight w:val="1962" w:hRule="atLeast"/>
        </w:trPr>
        <w:tc>
          <w:tcPr>
            <w:tcW w:w="445" w:type="pct"/>
            <w:vMerge w:val="continue"/>
            <w:tcBorders>
              <w:left w:val="single" w:color="auto" w:sz="4" w:space="0"/>
              <w:right w:val="single" w:color="auto" w:sz="4" w:space="0"/>
            </w:tcBorders>
            <w:noWrap w:val="0"/>
            <w:vAlign w:val="center"/>
          </w:tcPr>
          <w:p w14:paraId="250B449B">
            <w:pPr>
              <w:widowControl/>
              <w:jc w:val="center"/>
              <w:rPr>
                <w:rFonts w:ascii="宋体" w:hAnsi="宋体" w:cs="宋体"/>
                <w:kern w:val="0"/>
                <w:sz w:val="22"/>
                <w:szCs w:val="22"/>
                <w:highlight w:val="none"/>
              </w:rPr>
            </w:pPr>
          </w:p>
        </w:tc>
        <w:tc>
          <w:tcPr>
            <w:tcW w:w="457" w:type="pct"/>
            <w:vMerge w:val="restart"/>
            <w:tcBorders>
              <w:top w:val="nil"/>
              <w:left w:val="single" w:color="auto" w:sz="4" w:space="0"/>
              <w:bottom w:val="single" w:color="auto" w:sz="4" w:space="0"/>
              <w:right w:val="single" w:color="auto" w:sz="4" w:space="0"/>
            </w:tcBorders>
            <w:noWrap w:val="0"/>
            <w:vAlign w:val="center"/>
          </w:tcPr>
          <w:p w14:paraId="68F3A51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登记管理</w:t>
            </w:r>
          </w:p>
        </w:tc>
        <w:tc>
          <w:tcPr>
            <w:tcW w:w="458" w:type="pct"/>
            <w:tcBorders>
              <w:top w:val="nil"/>
              <w:left w:val="nil"/>
              <w:bottom w:val="single" w:color="auto" w:sz="4" w:space="0"/>
              <w:right w:val="single" w:color="auto" w:sz="4" w:space="0"/>
            </w:tcBorders>
            <w:noWrap w:val="0"/>
            <w:vAlign w:val="center"/>
          </w:tcPr>
          <w:p w14:paraId="5F273AD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变更登记</w:t>
            </w:r>
          </w:p>
        </w:tc>
        <w:tc>
          <w:tcPr>
            <w:tcW w:w="489" w:type="pct"/>
            <w:tcBorders>
              <w:top w:val="nil"/>
              <w:left w:val="nil"/>
              <w:bottom w:val="single" w:color="auto" w:sz="4" w:space="0"/>
              <w:right w:val="single" w:color="auto" w:sz="4" w:space="0"/>
            </w:tcBorders>
            <w:noWrap w:val="0"/>
            <w:vAlign w:val="center"/>
          </w:tcPr>
          <w:p w14:paraId="7C45DC2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名称、业务范围、住所、注册资金、法定代表人、业务主管单位等变更情况</w:t>
            </w:r>
          </w:p>
        </w:tc>
        <w:tc>
          <w:tcPr>
            <w:tcW w:w="2868" w:type="pct"/>
            <w:tcBorders>
              <w:top w:val="nil"/>
              <w:left w:val="nil"/>
              <w:bottom w:val="single" w:color="auto" w:sz="4" w:space="0"/>
              <w:right w:val="single" w:color="auto" w:sz="4" w:space="0"/>
            </w:tcBorders>
            <w:noWrap w:val="0"/>
            <w:vAlign w:val="center"/>
          </w:tcPr>
          <w:p w14:paraId="30743C0A">
            <w:pPr>
              <w:widowControl/>
              <w:jc w:val="left"/>
              <w:rPr>
                <w:rFonts w:ascii="宋体" w:hAnsi="宋体" w:cs="宋体"/>
                <w:kern w:val="0"/>
                <w:sz w:val="22"/>
                <w:szCs w:val="22"/>
                <w:highlight w:val="none"/>
              </w:rPr>
            </w:pPr>
            <w:r>
              <w:rPr>
                <w:rFonts w:hint="eastAsia" w:ascii="宋体" w:hAnsi="宋体" w:cs="宋体"/>
                <w:kern w:val="0"/>
                <w:sz w:val="22"/>
                <w:szCs w:val="22"/>
                <w:highlight w:val="none"/>
              </w:rPr>
              <w:t>□无变更事项或变更事项能按规定办理变更登记手续，得1分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□有变更事项但未按规定办理变更登记手续，得0分</w:t>
            </w:r>
          </w:p>
        </w:tc>
        <w:tc>
          <w:tcPr>
            <w:tcW w:w="283" w:type="pct"/>
            <w:tcBorders>
              <w:top w:val="nil"/>
              <w:left w:val="nil"/>
              <w:bottom w:val="single" w:color="auto" w:sz="4" w:space="0"/>
              <w:right w:val="single" w:color="auto" w:sz="4" w:space="0"/>
            </w:tcBorders>
            <w:noWrap/>
            <w:vAlign w:val="center"/>
          </w:tcPr>
          <w:p w14:paraId="0A936A5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50D268D4">
        <w:tblPrEx>
          <w:tblCellMar>
            <w:top w:w="0" w:type="dxa"/>
            <w:left w:w="108" w:type="dxa"/>
            <w:bottom w:w="0" w:type="dxa"/>
            <w:right w:w="108" w:type="dxa"/>
          </w:tblCellMar>
        </w:tblPrEx>
        <w:trPr>
          <w:trHeight w:val="2956" w:hRule="atLeast"/>
        </w:trPr>
        <w:tc>
          <w:tcPr>
            <w:tcW w:w="445" w:type="pct"/>
            <w:vMerge w:val="continue"/>
            <w:tcBorders>
              <w:left w:val="single" w:color="auto" w:sz="4" w:space="0"/>
              <w:right w:val="single" w:color="auto" w:sz="4" w:space="0"/>
            </w:tcBorders>
            <w:noWrap w:val="0"/>
            <w:vAlign w:val="center"/>
          </w:tcPr>
          <w:p w14:paraId="070D8018">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0E9B1BD9">
            <w:pPr>
              <w:widowControl/>
              <w:jc w:val="left"/>
              <w:rPr>
                <w:rFonts w:ascii="宋体" w:hAnsi="宋体" w:cs="宋体"/>
                <w:kern w:val="0"/>
                <w:sz w:val="22"/>
                <w:szCs w:val="22"/>
                <w:highlight w:val="none"/>
              </w:rPr>
            </w:pPr>
          </w:p>
        </w:tc>
        <w:tc>
          <w:tcPr>
            <w:tcW w:w="458" w:type="pct"/>
            <w:tcBorders>
              <w:top w:val="nil"/>
              <w:left w:val="nil"/>
              <w:bottom w:val="single" w:color="auto" w:sz="4" w:space="0"/>
              <w:right w:val="single" w:color="auto" w:sz="4" w:space="0"/>
            </w:tcBorders>
            <w:noWrap w:val="0"/>
            <w:vAlign w:val="center"/>
          </w:tcPr>
          <w:p w14:paraId="0327ACF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备案</w:t>
            </w:r>
          </w:p>
        </w:tc>
        <w:tc>
          <w:tcPr>
            <w:tcW w:w="489" w:type="pct"/>
            <w:tcBorders>
              <w:top w:val="nil"/>
              <w:left w:val="nil"/>
              <w:bottom w:val="single" w:color="auto" w:sz="4" w:space="0"/>
              <w:right w:val="single" w:color="auto" w:sz="4" w:space="0"/>
            </w:tcBorders>
            <w:noWrap w:val="0"/>
            <w:vAlign w:val="center"/>
          </w:tcPr>
          <w:p w14:paraId="659F1F1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负责人、印章、银行账户等办理备案情况</w:t>
            </w:r>
          </w:p>
        </w:tc>
        <w:tc>
          <w:tcPr>
            <w:tcW w:w="2868" w:type="pct"/>
            <w:tcBorders>
              <w:top w:val="nil"/>
              <w:left w:val="nil"/>
              <w:bottom w:val="single" w:color="auto" w:sz="4" w:space="0"/>
              <w:right w:val="single" w:color="auto" w:sz="4" w:space="0"/>
            </w:tcBorders>
            <w:noWrap w:val="0"/>
            <w:vAlign w:val="center"/>
          </w:tcPr>
          <w:p w14:paraId="51D15521">
            <w:pPr>
              <w:widowControl/>
              <w:jc w:val="left"/>
              <w:rPr>
                <w:rFonts w:ascii="宋体" w:hAnsi="宋体" w:cs="宋体"/>
                <w:kern w:val="0"/>
                <w:sz w:val="22"/>
                <w:szCs w:val="22"/>
                <w:highlight w:val="none"/>
              </w:rPr>
            </w:pPr>
            <w:r>
              <w:rPr>
                <w:rFonts w:hint="eastAsia" w:ascii="宋体" w:hAnsi="宋体" w:cs="宋体"/>
                <w:kern w:val="0"/>
                <w:sz w:val="22"/>
                <w:szCs w:val="22"/>
                <w:highlight w:val="none"/>
              </w:rPr>
              <w:t>负责人备案情况：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□按规定办理负责人备案手续，得0.6分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□未按规定办理负责人备案手续，得0分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印章备案情况：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□按规定办理印章备案手续，得0.2分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□未按规定办理印章备案手续，得0分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银行账户备案情况：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□按规定办理银行账户备案手续，得0.2分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□未按规定办理银行账户备案手续，得0分</w:t>
            </w:r>
          </w:p>
        </w:tc>
        <w:tc>
          <w:tcPr>
            <w:tcW w:w="283" w:type="pct"/>
            <w:tcBorders>
              <w:top w:val="nil"/>
              <w:left w:val="nil"/>
              <w:bottom w:val="single" w:color="auto" w:sz="4" w:space="0"/>
              <w:right w:val="single" w:color="auto" w:sz="4" w:space="0"/>
            </w:tcBorders>
            <w:noWrap/>
            <w:vAlign w:val="center"/>
          </w:tcPr>
          <w:p w14:paraId="738228F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2518F8F6">
        <w:tblPrEx>
          <w:tblCellMar>
            <w:top w:w="0" w:type="dxa"/>
            <w:left w:w="108" w:type="dxa"/>
            <w:bottom w:w="0" w:type="dxa"/>
            <w:right w:w="108" w:type="dxa"/>
          </w:tblCellMar>
        </w:tblPrEx>
        <w:trPr>
          <w:trHeight w:val="919" w:hRule="atLeast"/>
        </w:trPr>
        <w:tc>
          <w:tcPr>
            <w:tcW w:w="445" w:type="pct"/>
            <w:vMerge w:val="continue"/>
            <w:tcBorders>
              <w:left w:val="single" w:color="auto" w:sz="4" w:space="0"/>
              <w:bottom w:val="single" w:color="auto" w:sz="4" w:space="0"/>
              <w:right w:val="single" w:color="auto" w:sz="4" w:space="0"/>
            </w:tcBorders>
            <w:noWrap w:val="0"/>
            <w:vAlign w:val="center"/>
          </w:tcPr>
          <w:p w14:paraId="46C13E0D">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129698BB">
            <w:pPr>
              <w:widowControl/>
              <w:jc w:val="left"/>
              <w:rPr>
                <w:rFonts w:ascii="宋体" w:hAnsi="宋体" w:cs="宋体"/>
                <w:kern w:val="0"/>
                <w:sz w:val="22"/>
                <w:szCs w:val="22"/>
                <w:highlight w:val="none"/>
              </w:rPr>
            </w:pPr>
          </w:p>
        </w:tc>
        <w:tc>
          <w:tcPr>
            <w:tcW w:w="458" w:type="pct"/>
            <w:tcBorders>
              <w:top w:val="nil"/>
              <w:left w:val="nil"/>
              <w:bottom w:val="single" w:color="auto" w:sz="4" w:space="0"/>
              <w:right w:val="single" w:color="auto" w:sz="4" w:space="0"/>
            </w:tcBorders>
            <w:noWrap w:val="0"/>
            <w:vAlign w:val="center"/>
          </w:tcPr>
          <w:p w14:paraId="2A3406C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年报</w:t>
            </w:r>
          </w:p>
        </w:tc>
        <w:tc>
          <w:tcPr>
            <w:tcW w:w="489" w:type="pct"/>
            <w:tcBorders>
              <w:top w:val="nil"/>
              <w:left w:val="nil"/>
              <w:bottom w:val="single" w:color="auto" w:sz="4" w:space="0"/>
              <w:right w:val="single" w:color="auto" w:sz="4" w:space="0"/>
            </w:tcBorders>
            <w:noWrap w:val="0"/>
            <w:vAlign w:val="center"/>
          </w:tcPr>
          <w:p w14:paraId="0FA212A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近两年年报</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情况</w:t>
            </w:r>
          </w:p>
        </w:tc>
        <w:tc>
          <w:tcPr>
            <w:tcW w:w="2868" w:type="pct"/>
            <w:tcBorders>
              <w:top w:val="nil"/>
              <w:left w:val="nil"/>
              <w:bottom w:val="single" w:color="auto" w:sz="4" w:space="0"/>
              <w:right w:val="single" w:color="auto" w:sz="4" w:space="0"/>
            </w:tcBorders>
            <w:noWrap w:val="0"/>
            <w:vAlign w:val="center"/>
          </w:tcPr>
          <w:p w14:paraId="1459F311">
            <w:pPr>
              <w:widowControl/>
              <w:jc w:val="left"/>
              <w:rPr>
                <w:rFonts w:ascii="宋体" w:hAnsi="宋体" w:cs="宋体"/>
                <w:kern w:val="0"/>
                <w:sz w:val="22"/>
                <w:szCs w:val="22"/>
                <w:highlight w:val="none"/>
              </w:rPr>
            </w:pPr>
            <w:r>
              <w:rPr>
                <w:rFonts w:hint="eastAsia" w:ascii="宋体" w:hAnsi="宋体" w:cs="宋体"/>
                <w:kern w:val="0"/>
                <w:sz w:val="22"/>
                <w:szCs w:val="22"/>
                <w:highlight w:val="none"/>
              </w:rPr>
              <w:t>□近两年均按规定年报，得1分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□未按规定年报，或者有业务主管单位的，年报未经业务主管单位审查，得0分  </w:t>
            </w:r>
          </w:p>
        </w:tc>
        <w:tc>
          <w:tcPr>
            <w:tcW w:w="283" w:type="pct"/>
            <w:tcBorders>
              <w:top w:val="nil"/>
              <w:left w:val="nil"/>
              <w:bottom w:val="single" w:color="auto" w:sz="4" w:space="0"/>
              <w:right w:val="single" w:color="auto" w:sz="4" w:space="0"/>
            </w:tcBorders>
            <w:noWrap/>
            <w:vAlign w:val="center"/>
          </w:tcPr>
          <w:p w14:paraId="122A878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39C18C4F">
        <w:tblPrEx>
          <w:tblCellMar>
            <w:top w:w="0" w:type="dxa"/>
            <w:left w:w="108" w:type="dxa"/>
            <w:bottom w:w="0" w:type="dxa"/>
            <w:right w:w="108" w:type="dxa"/>
          </w:tblCellMar>
        </w:tblPrEx>
        <w:trPr>
          <w:trHeight w:val="2041" w:hRule="exact"/>
        </w:trPr>
        <w:tc>
          <w:tcPr>
            <w:tcW w:w="445" w:type="pct"/>
            <w:vMerge w:val="restart"/>
            <w:tcBorders>
              <w:top w:val="nil"/>
              <w:left w:val="single" w:color="auto" w:sz="4" w:space="0"/>
              <w:bottom w:val="single" w:color="auto" w:sz="4" w:space="0"/>
              <w:right w:val="single" w:color="auto" w:sz="4" w:space="0"/>
            </w:tcBorders>
            <w:noWrap w:val="0"/>
            <w:vAlign w:val="center"/>
          </w:tcPr>
          <w:p w14:paraId="6BC15CB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7" w:type="pct"/>
            <w:vMerge w:val="restart"/>
            <w:tcBorders>
              <w:top w:val="nil"/>
              <w:left w:val="single" w:color="auto" w:sz="4" w:space="0"/>
              <w:bottom w:val="single" w:color="auto" w:sz="4" w:space="0"/>
              <w:right w:val="single" w:color="auto" w:sz="4" w:space="0"/>
            </w:tcBorders>
            <w:noWrap w:val="0"/>
            <w:vAlign w:val="center"/>
          </w:tcPr>
          <w:p w14:paraId="5F34DF3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发展规划</w:t>
            </w:r>
          </w:p>
        </w:tc>
        <w:tc>
          <w:tcPr>
            <w:tcW w:w="458" w:type="pct"/>
            <w:vMerge w:val="restart"/>
            <w:tcBorders>
              <w:top w:val="nil"/>
              <w:left w:val="single" w:color="auto" w:sz="4" w:space="0"/>
              <w:bottom w:val="single" w:color="auto" w:sz="4" w:space="0"/>
              <w:right w:val="single" w:color="auto" w:sz="4" w:space="0"/>
            </w:tcBorders>
            <w:noWrap w:val="0"/>
            <w:vAlign w:val="center"/>
          </w:tcPr>
          <w:p w14:paraId="4C100C1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规划、计划制定和落实</w:t>
            </w:r>
          </w:p>
        </w:tc>
        <w:tc>
          <w:tcPr>
            <w:tcW w:w="489" w:type="pct"/>
            <w:tcBorders>
              <w:top w:val="nil"/>
              <w:left w:val="nil"/>
              <w:bottom w:val="single" w:color="auto" w:sz="4" w:space="0"/>
              <w:right w:val="single" w:color="auto" w:sz="4" w:space="0"/>
            </w:tcBorders>
            <w:noWrap w:val="0"/>
            <w:vAlign w:val="center"/>
          </w:tcPr>
          <w:p w14:paraId="16ADB61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发展规划和年度计划制定</w:t>
            </w:r>
          </w:p>
        </w:tc>
        <w:tc>
          <w:tcPr>
            <w:tcW w:w="2868" w:type="pct"/>
            <w:tcBorders>
              <w:top w:val="nil"/>
              <w:left w:val="nil"/>
              <w:bottom w:val="single" w:color="auto" w:sz="4" w:space="0"/>
              <w:right w:val="single" w:color="auto" w:sz="4" w:space="0"/>
            </w:tcBorders>
            <w:noWrap w:val="0"/>
            <w:vAlign w:val="center"/>
          </w:tcPr>
          <w:p w14:paraId="3A46FD49">
            <w:pPr>
              <w:widowControl/>
              <w:jc w:val="left"/>
              <w:rPr>
                <w:rFonts w:ascii="宋体" w:hAnsi="宋体" w:cs="宋体"/>
                <w:kern w:val="0"/>
                <w:sz w:val="22"/>
                <w:szCs w:val="22"/>
                <w:highlight w:val="none"/>
              </w:rPr>
            </w:pPr>
            <w:r>
              <w:rPr>
                <w:rFonts w:hint="eastAsia" w:ascii="宋体" w:hAnsi="宋体" w:cs="宋体"/>
                <w:kern w:val="0"/>
                <w:sz w:val="22"/>
                <w:szCs w:val="22"/>
                <w:highlight w:val="none"/>
              </w:rPr>
              <w:t>□制定符合自身实际的中长期发展规划和年度工作计划，得0.2分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□中长期发展规划或者年度工作计划不够详细、完整，得0.1分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□未制定中长期发展规划，或者年度工作计划同发展规划不符，得0分</w:t>
            </w:r>
          </w:p>
        </w:tc>
        <w:tc>
          <w:tcPr>
            <w:tcW w:w="283" w:type="pct"/>
            <w:tcBorders>
              <w:top w:val="nil"/>
              <w:left w:val="nil"/>
              <w:bottom w:val="single" w:color="auto" w:sz="4" w:space="0"/>
              <w:right w:val="single" w:color="auto" w:sz="4" w:space="0"/>
            </w:tcBorders>
            <w:noWrap/>
            <w:vAlign w:val="center"/>
          </w:tcPr>
          <w:p w14:paraId="1EF5A4C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0.2</w:t>
            </w:r>
          </w:p>
        </w:tc>
      </w:tr>
      <w:tr w14:paraId="328D3BB3">
        <w:tblPrEx>
          <w:tblCellMar>
            <w:top w:w="0" w:type="dxa"/>
            <w:left w:w="108" w:type="dxa"/>
            <w:bottom w:w="0" w:type="dxa"/>
            <w:right w:w="108" w:type="dxa"/>
          </w:tblCellMar>
        </w:tblPrEx>
        <w:trPr>
          <w:trHeight w:val="2041" w:hRule="exact"/>
        </w:trPr>
        <w:tc>
          <w:tcPr>
            <w:tcW w:w="445" w:type="pct"/>
            <w:vMerge w:val="continue"/>
            <w:tcBorders>
              <w:top w:val="nil"/>
              <w:left w:val="single" w:color="auto" w:sz="4" w:space="0"/>
              <w:bottom w:val="single" w:color="auto" w:sz="4" w:space="0"/>
              <w:right w:val="single" w:color="auto" w:sz="4" w:space="0"/>
            </w:tcBorders>
            <w:noWrap w:val="0"/>
            <w:vAlign w:val="center"/>
          </w:tcPr>
          <w:p w14:paraId="232F9D23">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585B85C1">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38A74A0E">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42DC30F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发展规划和年度计划落实</w:t>
            </w:r>
          </w:p>
        </w:tc>
        <w:tc>
          <w:tcPr>
            <w:tcW w:w="2868" w:type="pct"/>
            <w:tcBorders>
              <w:top w:val="nil"/>
              <w:left w:val="nil"/>
              <w:bottom w:val="single" w:color="auto" w:sz="4" w:space="0"/>
              <w:right w:val="single" w:color="auto" w:sz="4" w:space="0"/>
            </w:tcBorders>
            <w:noWrap w:val="0"/>
            <w:vAlign w:val="center"/>
          </w:tcPr>
          <w:p w14:paraId="5F68BE09">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□定期分析评估发展规划推进情况，研究推进落实措施，每年进行工作总结，得0.2分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□未定期分析评估发展规划推进情况，或者缺少年度工作总结，或者年度工作总结未体现发展规划推进情况，得0分</w:t>
            </w:r>
          </w:p>
        </w:tc>
        <w:tc>
          <w:tcPr>
            <w:tcW w:w="283" w:type="pct"/>
            <w:tcBorders>
              <w:top w:val="nil"/>
              <w:left w:val="nil"/>
              <w:bottom w:val="single" w:color="auto" w:sz="4" w:space="0"/>
              <w:right w:val="single" w:color="auto" w:sz="4" w:space="0"/>
            </w:tcBorders>
            <w:noWrap/>
            <w:vAlign w:val="center"/>
          </w:tcPr>
          <w:p w14:paraId="4EF0534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0.2</w:t>
            </w:r>
          </w:p>
        </w:tc>
      </w:tr>
      <w:tr w14:paraId="5923DCB2">
        <w:tblPrEx>
          <w:tblCellMar>
            <w:top w:w="0" w:type="dxa"/>
            <w:left w:w="108" w:type="dxa"/>
            <w:bottom w:w="0" w:type="dxa"/>
            <w:right w:w="108" w:type="dxa"/>
          </w:tblCellMar>
        </w:tblPrEx>
        <w:trPr>
          <w:trHeight w:val="2041" w:hRule="exact"/>
        </w:trPr>
        <w:tc>
          <w:tcPr>
            <w:tcW w:w="445" w:type="pct"/>
            <w:vMerge w:val="continue"/>
            <w:tcBorders>
              <w:top w:val="nil"/>
              <w:left w:val="single" w:color="auto" w:sz="4" w:space="0"/>
              <w:bottom w:val="single" w:color="auto" w:sz="4" w:space="0"/>
              <w:right w:val="single" w:color="auto" w:sz="4" w:space="0"/>
            </w:tcBorders>
            <w:noWrap w:val="0"/>
            <w:vAlign w:val="center"/>
          </w:tcPr>
          <w:p w14:paraId="78B34963">
            <w:pPr>
              <w:widowControl/>
              <w:jc w:val="left"/>
              <w:rPr>
                <w:rFonts w:ascii="宋体" w:hAnsi="宋体" w:cs="宋体"/>
                <w:kern w:val="0"/>
                <w:sz w:val="22"/>
                <w:szCs w:val="22"/>
                <w:highlight w:val="none"/>
              </w:rPr>
            </w:pPr>
          </w:p>
        </w:tc>
        <w:tc>
          <w:tcPr>
            <w:tcW w:w="457" w:type="pct"/>
            <w:vMerge w:val="restart"/>
            <w:tcBorders>
              <w:top w:val="nil"/>
              <w:left w:val="single" w:color="auto" w:sz="4" w:space="0"/>
              <w:bottom w:val="single" w:color="auto" w:sz="4" w:space="0"/>
              <w:right w:val="single" w:color="auto" w:sz="4" w:space="0"/>
            </w:tcBorders>
            <w:noWrap w:val="0"/>
            <w:vAlign w:val="center"/>
          </w:tcPr>
          <w:p w14:paraId="48BD2BE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组织机构</w:t>
            </w:r>
          </w:p>
        </w:tc>
        <w:tc>
          <w:tcPr>
            <w:tcW w:w="458" w:type="pct"/>
            <w:vMerge w:val="restart"/>
            <w:tcBorders>
              <w:top w:val="nil"/>
              <w:left w:val="single" w:color="auto" w:sz="4" w:space="0"/>
              <w:bottom w:val="single" w:color="auto" w:sz="4" w:space="0"/>
              <w:right w:val="single" w:color="auto" w:sz="4" w:space="0"/>
            </w:tcBorders>
            <w:noWrap w:val="0"/>
            <w:vAlign w:val="center"/>
          </w:tcPr>
          <w:p w14:paraId="78D12D5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会员（代表）大会</w:t>
            </w:r>
          </w:p>
        </w:tc>
        <w:tc>
          <w:tcPr>
            <w:tcW w:w="489" w:type="pct"/>
            <w:tcBorders>
              <w:top w:val="nil"/>
              <w:left w:val="nil"/>
              <w:bottom w:val="single" w:color="auto" w:sz="4" w:space="0"/>
              <w:right w:val="single" w:color="auto" w:sz="4" w:space="0"/>
            </w:tcBorders>
            <w:noWrap w:val="0"/>
            <w:vAlign w:val="center"/>
          </w:tcPr>
          <w:p w14:paraId="7DAFDC2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会员资格和会员代表产生办法</w:t>
            </w:r>
          </w:p>
        </w:tc>
        <w:tc>
          <w:tcPr>
            <w:tcW w:w="2868" w:type="pct"/>
            <w:tcBorders>
              <w:top w:val="nil"/>
              <w:left w:val="nil"/>
              <w:bottom w:val="single" w:color="auto" w:sz="4" w:space="0"/>
              <w:right w:val="single" w:color="auto" w:sz="4" w:space="0"/>
            </w:tcBorders>
            <w:noWrap w:val="0"/>
            <w:vAlign w:val="center"/>
          </w:tcPr>
          <w:p w14:paraId="4D036B6C">
            <w:pPr>
              <w:widowControl/>
              <w:jc w:val="left"/>
              <w:rPr>
                <w:rFonts w:ascii="宋体" w:hAnsi="宋体" w:cs="宋体"/>
                <w:kern w:val="0"/>
                <w:sz w:val="22"/>
                <w:szCs w:val="22"/>
                <w:highlight w:val="none"/>
              </w:rPr>
            </w:pPr>
            <w:r>
              <w:rPr>
                <w:rFonts w:hint="eastAsia" w:ascii="宋体" w:hAnsi="宋体" w:cs="宋体"/>
                <w:kern w:val="0"/>
                <w:sz w:val="22"/>
                <w:szCs w:val="22"/>
                <w:highlight w:val="none"/>
              </w:rPr>
              <w:t>□章程明确会员资格条件、入会程序和权利、义务，或者单独制定会员管理办法予以明确，得1分，缺少任何一项内容，得0分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□实行会员代表大会制度的，制定会员代表产生方法，得1分，未制定的，得0分</w:t>
            </w:r>
          </w:p>
        </w:tc>
        <w:tc>
          <w:tcPr>
            <w:tcW w:w="283" w:type="pct"/>
            <w:tcBorders>
              <w:top w:val="nil"/>
              <w:left w:val="nil"/>
              <w:bottom w:val="single" w:color="auto" w:sz="4" w:space="0"/>
              <w:right w:val="single" w:color="auto" w:sz="4" w:space="0"/>
            </w:tcBorders>
            <w:noWrap/>
            <w:vAlign w:val="center"/>
          </w:tcPr>
          <w:p w14:paraId="587D6B5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06B275EE">
        <w:tblPrEx>
          <w:tblCellMar>
            <w:top w:w="0" w:type="dxa"/>
            <w:left w:w="108" w:type="dxa"/>
            <w:bottom w:w="0" w:type="dxa"/>
            <w:right w:w="108" w:type="dxa"/>
          </w:tblCellMar>
        </w:tblPrEx>
        <w:trPr>
          <w:trHeight w:val="2041" w:hRule="exact"/>
        </w:trPr>
        <w:tc>
          <w:tcPr>
            <w:tcW w:w="445" w:type="pct"/>
            <w:vMerge w:val="continue"/>
            <w:tcBorders>
              <w:top w:val="nil"/>
              <w:left w:val="single" w:color="auto" w:sz="4" w:space="0"/>
              <w:bottom w:val="single" w:color="auto" w:sz="4" w:space="0"/>
              <w:right w:val="single" w:color="auto" w:sz="4" w:space="0"/>
            </w:tcBorders>
            <w:noWrap w:val="0"/>
            <w:vAlign w:val="center"/>
          </w:tcPr>
          <w:p w14:paraId="7B003078">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5208B360">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6433444E">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1CE3C4D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会员（代表）大会的召开和决议</w:t>
            </w:r>
          </w:p>
        </w:tc>
        <w:tc>
          <w:tcPr>
            <w:tcW w:w="2868" w:type="pct"/>
            <w:tcBorders>
              <w:top w:val="nil"/>
              <w:left w:val="nil"/>
              <w:bottom w:val="single" w:color="auto" w:sz="4" w:space="0"/>
              <w:right w:val="single" w:color="auto" w:sz="4" w:space="0"/>
            </w:tcBorders>
            <w:noWrap w:val="0"/>
            <w:vAlign w:val="center"/>
          </w:tcPr>
          <w:p w14:paraId="038FE5F0">
            <w:pPr>
              <w:widowControl/>
              <w:jc w:val="left"/>
              <w:rPr>
                <w:rFonts w:ascii="宋体" w:hAnsi="宋体" w:cs="宋体"/>
                <w:kern w:val="0"/>
                <w:sz w:val="22"/>
                <w:szCs w:val="22"/>
                <w:highlight w:val="none"/>
              </w:rPr>
            </w:pPr>
            <w:r>
              <w:rPr>
                <w:rFonts w:hint="eastAsia" w:ascii="宋体" w:hAnsi="宋体" w:cs="宋体"/>
                <w:kern w:val="0"/>
                <w:sz w:val="22"/>
                <w:szCs w:val="22"/>
                <w:highlight w:val="none"/>
              </w:rPr>
              <w:t>□按章程规定召开会员（代表）大会，2/3以上会员（代表）出席，决议表决通过人数符合章程规定，得2分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□出席会员（代表）人数和表决人数不符合章程规定，或者未按章程规定召开会议，得0分</w:t>
            </w:r>
          </w:p>
        </w:tc>
        <w:tc>
          <w:tcPr>
            <w:tcW w:w="283" w:type="pct"/>
            <w:tcBorders>
              <w:top w:val="nil"/>
              <w:left w:val="nil"/>
              <w:bottom w:val="single" w:color="auto" w:sz="4" w:space="0"/>
              <w:right w:val="single" w:color="auto" w:sz="4" w:space="0"/>
            </w:tcBorders>
            <w:noWrap/>
            <w:vAlign w:val="center"/>
          </w:tcPr>
          <w:p w14:paraId="0AE301A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w:t>
            </w:r>
          </w:p>
        </w:tc>
      </w:tr>
      <w:tr w14:paraId="710E012B">
        <w:tblPrEx>
          <w:tblCellMar>
            <w:top w:w="0" w:type="dxa"/>
            <w:left w:w="108" w:type="dxa"/>
            <w:bottom w:w="0" w:type="dxa"/>
            <w:right w:w="108" w:type="dxa"/>
          </w:tblCellMar>
        </w:tblPrEx>
        <w:trPr>
          <w:trHeight w:val="1494" w:hRule="atLeast"/>
        </w:trPr>
        <w:tc>
          <w:tcPr>
            <w:tcW w:w="445" w:type="pct"/>
            <w:vMerge w:val="restart"/>
            <w:tcBorders>
              <w:top w:val="nil"/>
              <w:left w:val="single" w:color="auto" w:sz="4" w:space="0"/>
              <w:right w:val="single" w:color="auto" w:sz="4" w:space="0"/>
            </w:tcBorders>
            <w:noWrap w:val="0"/>
            <w:vAlign w:val="center"/>
          </w:tcPr>
          <w:p w14:paraId="6E2C3C3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7" w:type="pct"/>
            <w:vMerge w:val="restart"/>
            <w:tcBorders>
              <w:top w:val="nil"/>
              <w:left w:val="single" w:color="auto" w:sz="4" w:space="0"/>
              <w:right w:val="single" w:color="auto" w:sz="4" w:space="0"/>
            </w:tcBorders>
            <w:noWrap w:val="0"/>
            <w:vAlign w:val="center"/>
          </w:tcPr>
          <w:p w14:paraId="5E8C550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组织机构</w:t>
            </w:r>
          </w:p>
        </w:tc>
        <w:tc>
          <w:tcPr>
            <w:tcW w:w="458" w:type="pct"/>
            <w:tcBorders>
              <w:top w:val="nil"/>
              <w:left w:val="nil"/>
              <w:bottom w:val="single" w:color="auto" w:sz="4" w:space="0"/>
              <w:right w:val="single" w:color="auto" w:sz="4" w:space="0"/>
            </w:tcBorders>
            <w:noWrap w:val="0"/>
            <w:vAlign w:val="center"/>
          </w:tcPr>
          <w:p w14:paraId="75DFD17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监督机构</w:t>
            </w:r>
          </w:p>
        </w:tc>
        <w:tc>
          <w:tcPr>
            <w:tcW w:w="489" w:type="pct"/>
            <w:tcBorders>
              <w:top w:val="nil"/>
              <w:left w:val="nil"/>
              <w:bottom w:val="single" w:color="auto" w:sz="4" w:space="0"/>
              <w:right w:val="single" w:color="auto" w:sz="4" w:space="0"/>
            </w:tcBorders>
            <w:noWrap w:val="0"/>
            <w:vAlign w:val="center"/>
          </w:tcPr>
          <w:p w14:paraId="2E82262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监事会（监事）设置和发挥作用情况</w:t>
            </w:r>
          </w:p>
        </w:tc>
        <w:tc>
          <w:tcPr>
            <w:tcW w:w="2868" w:type="pct"/>
            <w:tcBorders>
              <w:top w:val="nil"/>
              <w:left w:val="nil"/>
              <w:bottom w:val="single" w:color="auto" w:sz="4" w:space="0"/>
              <w:right w:val="single" w:color="auto" w:sz="4" w:space="0"/>
            </w:tcBorders>
            <w:noWrap w:val="0"/>
            <w:vAlign w:val="center"/>
          </w:tcPr>
          <w:p w14:paraId="2E839107">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□按照章程规定设置了监事会（监事），并按照职权发挥监督作用，得1分</w:t>
            </w:r>
          </w:p>
          <w:p w14:paraId="43A34ECC">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□设置了监事会（监事），但发挥作用不明显，得0.5分</w:t>
            </w:r>
          </w:p>
          <w:p w14:paraId="59003ABD">
            <w:pPr>
              <w:widowControl/>
              <w:jc w:val="left"/>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□未设置监事会（监事），得0分</w:t>
            </w:r>
          </w:p>
        </w:tc>
        <w:tc>
          <w:tcPr>
            <w:tcW w:w="283" w:type="pct"/>
            <w:tcBorders>
              <w:top w:val="nil"/>
              <w:left w:val="nil"/>
              <w:bottom w:val="single" w:color="auto" w:sz="4" w:space="0"/>
              <w:right w:val="single" w:color="auto" w:sz="4" w:space="0"/>
            </w:tcBorders>
            <w:noWrap/>
            <w:vAlign w:val="center"/>
          </w:tcPr>
          <w:p w14:paraId="1E7993B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00C004F6">
        <w:tblPrEx>
          <w:tblCellMar>
            <w:top w:w="0" w:type="dxa"/>
            <w:left w:w="108" w:type="dxa"/>
            <w:bottom w:w="0" w:type="dxa"/>
            <w:right w:w="108" w:type="dxa"/>
          </w:tblCellMar>
        </w:tblPrEx>
        <w:trPr>
          <w:trHeight w:val="3385" w:hRule="atLeast"/>
        </w:trPr>
        <w:tc>
          <w:tcPr>
            <w:tcW w:w="445" w:type="pct"/>
            <w:vMerge w:val="continue"/>
            <w:tcBorders>
              <w:left w:val="single" w:color="auto" w:sz="4" w:space="0"/>
              <w:right w:val="single" w:color="auto" w:sz="4" w:space="0"/>
            </w:tcBorders>
            <w:noWrap w:val="0"/>
            <w:vAlign w:val="center"/>
          </w:tcPr>
          <w:p w14:paraId="05EDF3E4">
            <w:pPr>
              <w:widowControl/>
              <w:jc w:val="left"/>
              <w:rPr>
                <w:rFonts w:ascii="宋体" w:hAnsi="宋体" w:cs="宋体"/>
                <w:kern w:val="0"/>
                <w:sz w:val="22"/>
                <w:szCs w:val="22"/>
                <w:highlight w:val="none"/>
              </w:rPr>
            </w:pPr>
          </w:p>
        </w:tc>
        <w:tc>
          <w:tcPr>
            <w:tcW w:w="457" w:type="pct"/>
            <w:vMerge w:val="continue"/>
            <w:tcBorders>
              <w:left w:val="single" w:color="auto" w:sz="4" w:space="0"/>
              <w:right w:val="single" w:color="auto" w:sz="4" w:space="0"/>
            </w:tcBorders>
            <w:noWrap w:val="0"/>
            <w:vAlign w:val="center"/>
          </w:tcPr>
          <w:p w14:paraId="156DC258">
            <w:pPr>
              <w:widowControl/>
              <w:jc w:val="left"/>
              <w:rPr>
                <w:rFonts w:ascii="宋体" w:hAnsi="宋体" w:cs="宋体"/>
                <w:kern w:val="0"/>
                <w:sz w:val="22"/>
                <w:szCs w:val="22"/>
                <w:highlight w:val="none"/>
              </w:rPr>
            </w:pPr>
          </w:p>
        </w:tc>
        <w:tc>
          <w:tcPr>
            <w:tcW w:w="458" w:type="pct"/>
            <w:vMerge w:val="restart"/>
            <w:tcBorders>
              <w:top w:val="nil"/>
              <w:left w:val="single" w:color="auto" w:sz="4" w:space="0"/>
              <w:right w:val="single" w:color="auto" w:sz="4" w:space="0"/>
            </w:tcBorders>
            <w:noWrap w:val="0"/>
            <w:vAlign w:val="center"/>
          </w:tcPr>
          <w:p w14:paraId="7A2934B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执行机构</w:t>
            </w:r>
          </w:p>
        </w:tc>
        <w:tc>
          <w:tcPr>
            <w:tcW w:w="489" w:type="pct"/>
            <w:tcBorders>
              <w:top w:val="nil"/>
              <w:left w:val="nil"/>
              <w:bottom w:val="single" w:color="auto" w:sz="4" w:space="0"/>
              <w:right w:val="single" w:color="auto" w:sz="4" w:space="0"/>
            </w:tcBorders>
            <w:noWrap w:val="0"/>
            <w:vAlign w:val="center"/>
          </w:tcPr>
          <w:p w14:paraId="100FDAC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理事会、常务理事会运行情况</w:t>
            </w:r>
          </w:p>
        </w:tc>
        <w:tc>
          <w:tcPr>
            <w:tcW w:w="2868" w:type="pct"/>
            <w:tcBorders>
              <w:top w:val="nil"/>
              <w:left w:val="nil"/>
              <w:bottom w:val="single" w:color="auto" w:sz="4" w:space="0"/>
              <w:right w:val="single" w:color="auto" w:sz="4" w:space="0"/>
            </w:tcBorders>
            <w:noWrap w:val="0"/>
            <w:vAlign w:val="center"/>
          </w:tcPr>
          <w:p w14:paraId="770AA86A">
            <w:pPr>
              <w:widowControl/>
              <w:jc w:val="left"/>
              <w:rPr>
                <w:rFonts w:ascii="宋体" w:hAnsi="宋体" w:cs="宋体"/>
                <w:kern w:val="0"/>
                <w:sz w:val="22"/>
                <w:szCs w:val="22"/>
                <w:highlight w:val="none"/>
              </w:rPr>
            </w:pPr>
            <w:r>
              <w:rPr>
                <w:rFonts w:hint="eastAsia" w:ascii="宋体" w:hAnsi="宋体" w:cs="宋体"/>
                <w:kern w:val="0"/>
                <w:sz w:val="22"/>
                <w:szCs w:val="22"/>
                <w:highlight w:val="none"/>
              </w:rPr>
              <w:t>理事会换届情况：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□理事会按章程规定如期换届，得5分；经登记管理机关批准，提前或者延期换届，在批准期限内完成换届的，得3分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□理事会未按章程规定如期换届，或者未在登记管理机关批准期限内完成换届的，得0分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理事会、常务理事会召开情况：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□理事会（设有常务理事会的，包括常务理事会）召开次数和程序符合章程规定，得1分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□理事会（设有常务理事会的，包括常务理事会）召开次数或程序不符合章程规定，得0分</w:t>
            </w:r>
          </w:p>
        </w:tc>
        <w:tc>
          <w:tcPr>
            <w:tcW w:w="283" w:type="pct"/>
            <w:tcBorders>
              <w:top w:val="nil"/>
              <w:left w:val="nil"/>
              <w:bottom w:val="single" w:color="auto" w:sz="4" w:space="0"/>
              <w:right w:val="single" w:color="auto" w:sz="4" w:space="0"/>
            </w:tcBorders>
            <w:noWrap/>
            <w:vAlign w:val="center"/>
          </w:tcPr>
          <w:p w14:paraId="31D1297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6</w:t>
            </w:r>
          </w:p>
        </w:tc>
      </w:tr>
      <w:tr w14:paraId="6D8C3A2A">
        <w:tblPrEx>
          <w:tblCellMar>
            <w:top w:w="0" w:type="dxa"/>
            <w:left w:w="108" w:type="dxa"/>
            <w:bottom w:w="0" w:type="dxa"/>
            <w:right w:w="108" w:type="dxa"/>
          </w:tblCellMar>
        </w:tblPrEx>
        <w:trPr>
          <w:trHeight w:val="1828" w:hRule="atLeast"/>
        </w:trPr>
        <w:tc>
          <w:tcPr>
            <w:tcW w:w="445" w:type="pct"/>
            <w:vMerge w:val="continue"/>
            <w:tcBorders>
              <w:left w:val="single" w:color="auto" w:sz="4" w:space="0"/>
              <w:right w:val="single" w:color="auto" w:sz="4" w:space="0"/>
            </w:tcBorders>
            <w:noWrap w:val="0"/>
            <w:vAlign w:val="center"/>
          </w:tcPr>
          <w:p w14:paraId="6BBD9064">
            <w:pPr>
              <w:widowControl/>
              <w:jc w:val="left"/>
              <w:rPr>
                <w:rFonts w:ascii="宋体" w:hAnsi="宋体" w:cs="宋体"/>
                <w:kern w:val="0"/>
                <w:sz w:val="22"/>
                <w:szCs w:val="22"/>
                <w:highlight w:val="none"/>
              </w:rPr>
            </w:pPr>
          </w:p>
        </w:tc>
        <w:tc>
          <w:tcPr>
            <w:tcW w:w="457" w:type="pct"/>
            <w:vMerge w:val="continue"/>
            <w:tcBorders>
              <w:left w:val="single" w:color="auto" w:sz="4" w:space="0"/>
              <w:right w:val="single" w:color="auto" w:sz="4" w:space="0"/>
            </w:tcBorders>
            <w:noWrap w:val="0"/>
            <w:vAlign w:val="center"/>
          </w:tcPr>
          <w:p w14:paraId="71208D1A">
            <w:pPr>
              <w:widowControl/>
              <w:jc w:val="left"/>
              <w:rPr>
                <w:rFonts w:ascii="宋体" w:hAnsi="宋体" w:cs="宋体"/>
                <w:kern w:val="0"/>
                <w:sz w:val="22"/>
                <w:szCs w:val="22"/>
                <w:highlight w:val="none"/>
              </w:rPr>
            </w:pPr>
          </w:p>
        </w:tc>
        <w:tc>
          <w:tcPr>
            <w:tcW w:w="458" w:type="pct"/>
            <w:vMerge w:val="continue"/>
            <w:tcBorders>
              <w:left w:val="single" w:color="auto" w:sz="4" w:space="0"/>
              <w:right w:val="single" w:color="auto" w:sz="4" w:space="0"/>
            </w:tcBorders>
            <w:noWrap w:val="0"/>
            <w:vAlign w:val="center"/>
          </w:tcPr>
          <w:p w14:paraId="15A100B1">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36DBF38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理事、常务理事产生和罢免程序</w:t>
            </w:r>
          </w:p>
        </w:tc>
        <w:tc>
          <w:tcPr>
            <w:tcW w:w="2868" w:type="pct"/>
            <w:tcBorders>
              <w:top w:val="nil"/>
              <w:left w:val="nil"/>
              <w:bottom w:val="single" w:color="auto" w:sz="4" w:space="0"/>
              <w:right w:val="single" w:color="auto" w:sz="4" w:space="0"/>
            </w:tcBorders>
            <w:noWrap w:val="0"/>
            <w:vAlign w:val="center"/>
          </w:tcPr>
          <w:p w14:paraId="4D9A79BF">
            <w:pPr>
              <w:widowControl/>
              <w:jc w:val="left"/>
              <w:rPr>
                <w:rFonts w:ascii="宋体" w:hAnsi="宋体" w:cs="宋体"/>
                <w:kern w:val="0"/>
                <w:sz w:val="22"/>
                <w:szCs w:val="22"/>
                <w:highlight w:val="none"/>
              </w:rPr>
            </w:pPr>
            <w:r>
              <w:rPr>
                <w:rFonts w:hint="eastAsia" w:ascii="宋体" w:hAnsi="宋体" w:cs="宋体"/>
                <w:kern w:val="0"/>
                <w:sz w:val="22"/>
                <w:szCs w:val="22"/>
                <w:highlight w:val="none"/>
              </w:rPr>
              <w:t>□理事从会员中选举产生，常务理事从理事中选举产生。召开会员（代表）大会产生、罢免理事或者常务理事，应经二分之一以上到会会员（代表）表决通过；通过召开理事会方式在届中增补、罢免理事的，应当经会员（代表）大会授权。以上要求均符合的，得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□以上任何一项不符合要求，得0分</w:t>
            </w:r>
          </w:p>
        </w:tc>
        <w:tc>
          <w:tcPr>
            <w:tcW w:w="283" w:type="pct"/>
            <w:tcBorders>
              <w:top w:val="nil"/>
              <w:left w:val="nil"/>
              <w:bottom w:val="single" w:color="auto" w:sz="4" w:space="0"/>
              <w:right w:val="single" w:color="auto" w:sz="4" w:space="0"/>
            </w:tcBorders>
            <w:noWrap/>
            <w:vAlign w:val="center"/>
          </w:tcPr>
          <w:p w14:paraId="751254D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w:t>
            </w:r>
          </w:p>
        </w:tc>
      </w:tr>
      <w:tr w14:paraId="7693832B">
        <w:tblPrEx>
          <w:tblCellMar>
            <w:top w:w="0" w:type="dxa"/>
            <w:left w:w="108" w:type="dxa"/>
            <w:bottom w:w="0" w:type="dxa"/>
            <w:right w:w="108" w:type="dxa"/>
          </w:tblCellMar>
        </w:tblPrEx>
        <w:trPr>
          <w:trHeight w:val="1416" w:hRule="atLeast"/>
        </w:trPr>
        <w:tc>
          <w:tcPr>
            <w:tcW w:w="445" w:type="pct"/>
            <w:vMerge w:val="continue"/>
            <w:tcBorders>
              <w:left w:val="single" w:color="auto" w:sz="4" w:space="0"/>
              <w:bottom w:val="single" w:color="auto" w:sz="4" w:space="0"/>
              <w:right w:val="single" w:color="auto" w:sz="4" w:space="0"/>
            </w:tcBorders>
            <w:noWrap w:val="0"/>
            <w:vAlign w:val="center"/>
          </w:tcPr>
          <w:p w14:paraId="5E77FB64">
            <w:pPr>
              <w:widowControl/>
              <w:jc w:val="left"/>
              <w:rPr>
                <w:rFonts w:ascii="宋体" w:hAnsi="宋体" w:cs="宋体"/>
                <w:kern w:val="0"/>
                <w:sz w:val="22"/>
                <w:szCs w:val="22"/>
                <w:highlight w:val="none"/>
              </w:rPr>
            </w:pPr>
          </w:p>
        </w:tc>
        <w:tc>
          <w:tcPr>
            <w:tcW w:w="457" w:type="pct"/>
            <w:vMerge w:val="continue"/>
            <w:tcBorders>
              <w:left w:val="single" w:color="auto" w:sz="4" w:space="0"/>
              <w:bottom w:val="single" w:color="auto" w:sz="4" w:space="0"/>
              <w:right w:val="single" w:color="auto" w:sz="4" w:space="0"/>
            </w:tcBorders>
            <w:noWrap w:val="0"/>
            <w:vAlign w:val="center"/>
          </w:tcPr>
          <w:p w14:paraId="7D715656">
            <w:pPr>
              <w:widowControl/>
              <w:jc w:val="left"/>
              <w:rPr>
                <w:rFonts w:ascii="宋体" w:hAnsi="宋体" w:cs="宋体"/>
                <w:kern w:val="0"/>
                <w:sz w:val="22"/>
                <w:szCs w:val="22"/>
                <w:highlight w:val="none"/>
              </w:rPr>
            </w:pPr>
          </w:p>
        </w:tc>
        <w:tc>
          <w:tcPr>
            <w:tcW w:w="458" w:type="pct"/>
            <w:vMerge w:val="continue"/>
            <w:tcBorders>
              <w:left w:val="single" w:color="auto" w:sz="4" w:space="0"/>
              <w:bottom w:val="single" w:color="auto" w:sz="4" w:space="0"/>
              <w:right w:val="single" w:color="auto" w:sz="4" w:space="0"/>
            </w:tcBorders>
            <w:noWrap w:val="0"/>
            <w:vAlign w:val="center"/>
          </w:tcPr>
          <w:p w14:paraId="43D721B8">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5B809EF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理事会、常务理事会履行职责情况</w:t>
            </w:r>
          </w:p>
        </w:tc>
        <w:tc>
          <w:tcPr>
            <w:tcW w:w="2868" w:type="pct"/>
            <w:tcBorders>
              <w:top w:val="nil"/>
              <w:left w:val="nil"/>
              <w:bottom w:val="single" w:color="auto" w:sz="4" w:space="0"/>
              <w:right w:val="single" w:color="auto" w:sz="4" w:space="0"/>
            </w:tcBorders>
            <w:noWrap w:val="0"/>
            <w:vAlign w:val="center"/>
          </w:tcPr>
          <w:p w14:paraId="3DF6F6AE">
            <w:pPr>
              <w:widowControl/>
              <w:jc w:val="left"/>
              <w:rPr>
                <w:rFonts w:ascii="宋体" w:hAnsi="宋体" w:cs="宋体"/>
                <w:kern w:val="0"/>
                <w:sz w:val="22"/>
                <w:szCs w:val="22"/>
                <w:highlight w:val="none"/>
              </w:rPr>
            </w:pPr>
            <w:r>
              <w:rPr>
                <w:rFonts w:hint="eastAsia" w:ascii="宋体" w:hAnsi="宋体" w:cs="宋体"/>
                <w:kern w:val="0"/>
                <w:sz w:val="22"/>
                <w:szCs w:val="22"/>
                <w:highlight w:val="none"/>
              </w:rPr>
              <w:t>□理事会、常务理事会表决事项与章程规定职权一致，得1分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□理事会、常务理事会有越权行为或采用其他形式（例如：会长办公会）代替理事会、常务理事会，得0分                                     </w:t>
            </w:r>
          </w:p>
        </w:tc>
        <w:tc>
          <w:tcPr>
            <w:tcW w:w="283" w:type="pct"/>
            <w:tcBorders>
              <w:top w:val="nil"/>
              <w:left w:val="nil"/>
              <w:bottom w:val="single" w:color="auto" w:sz="4" w:space="0"/>
              <w:right w:val="single" w:color="auto" w:sz="4" w:space="0"/>
            </w:tcBorders>
            <w:noWrap/>
            <w:vAlign w:val="center"/>
          </w:tcPr>
          <w:p w14:paraId="6EF4BBE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68D64AFE">
        <w:tblPrEx>
          <w:tblCellMar>
            <w:top w:w="0" w:type="dxa"/>
            <w:left w:w="108" w:type="dxa"/>
            <w:bottom w:w="0" w:type="dxa"/>
            <w:right w:w="108" w:type="dxa"/>
          </w:tblCellMar>
        </w:tblPrEx>
        <w:trPr>
          <w:trHeight w:val="2722" w:hRule="exact"/>
        </w:trPr>
        <w:tc>
          <w:tcPr>
            <w:tcW w:w="445" w:type="pct"/>
            <w:vMerge w:val="restart"/>
            <w:tcBorders>
              <w:top w:val="nil"/>
              <w:left w:val="single" w:color="auto" w:sz="4" w:space="0"/>
              <w:right w:val="single" w:color="auto" w:sz="4" w:space="0"/>
            </w:tcBorders>
            <w:noWrap w:val="0"/>
            <w:vAlign w:val="center"/>
          </w:tcPr>
          <w:p w14:paraId="4882C10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7" w:type="pct"/>
            <w:vMerge w:val="restart"/>
            <w:tcBorders>
              <w:top w:val="nil"/>
              <w:left w:val="single" w:color="auto" w:sz="4" w:space="0"/>
              <w:right w:val="single" w:color="auto" w:sz="4" w:space="0"/>
            </w:tcBorders>
            <w:noWrap w:val="0"/>
            <w:vAlign w:val="center"/>
          </w:tcPr>
          <w:p w14:paraId="3AD142E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组织机构</w:t>
            </w:r>
          </w:p>
        </w:tc>
        <w:tc>
          <w:tcPr>
            <w:tcW w:w="458" w:type="pct"/>
            <w:tcBorders>
              <w:top w:val="nil"/>
              <w:left w:val="single" w:color="auto" w:sz="4" w:space="0"/>
              <w:bottom w:val="single" w:color="auto" w:sz="4" w:space="0"/>
              <w:right w:val="single" w:color="auto" w:sz="4" w:space="0"/>
            </w:tcBorders>
            <w:noWrap w:val="0"/>
            <w:vAlign w:val="center"/>
          </w:tcPr>
          <w:p w14:paraId="76C9A2C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执行机构</w:t>
            </w:r>
          </w:p>
        </w:tc>
        <w:tc>
          <w:tcPr>
            <w:tcW w:w="489" w:type="pct"/>
            <w:tcBorders>
              <w:top w:val="nil"/>
              <w:left w:val="nil"/>
              <w:bottom w:val="single" w:color="auto" w:sz="4" w:space="0"/>
              <w:right w:val="single" w:color="auto" w:sz="4" w:space="0"/>
            </w:tcBorders>
            <w:noWrap w:val="0"/>
            <w:vAlign w:val="center"/>
          </w:tcPr>
          <w:p w14:paraId="23AC507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负责人的产生和罢免</w:t>
            </w:r>
          </w:p>
        </w:tc>
        <w:tc>
          <w:tcPr>
            <w:tcW w:w="2868" w:type="pct"/>
            <w:tcBorders>
              <w:top w:val="nil"/>
              <w:left w:val="nil"/>
              <w:bottom w:val="single" w:color="auto" w:sz="4" w:space="0"/>
              <w:right w:val="single" w:color="auto" w:sz="4" w:space="0"/>
            </w:tcBorders>
            <w:noWrap w:val="0"/>
            <w:vAlign w:val="center"/>
          </w:tcPr>
          <w:p w14:paraId="6C557C92">
            <w:pPr>
              <w:widowControl/>
              <w:jc w:val="left"/>
              <w:rPr>
                <w:rFonts w:ascii="宋体" w:hAnsi="宋体" w:cs="宋体"/>
                <w:kern w:val="0"/>
                <w:sz w:val="22"/>
                <w:szCs w:val="22"/>
                <w:highlight w:val="none"/>
              </w:rPr>
            </w:pPr>
            <w:r>
              <w:rPr>
                <w:rFonts w:hint="eastAsia" w:ascii="宋体" w:hAnsi="宋体" w:cs="宋体"/>
                <w:kern w:val="0"/>
                <w:sz w:val="22"/>
                <w:szCs w:val="22"/>
                <w:highlight w:val="none"/>
              </w:rPr>
              <w:t>□负责人由会员（代表）大会或者理事会从理事或者常务理事中选举产生。召开会员（代表）大会的，应经到会会员（代表）二分之一以上表决通过；召开理事会的，应经到会理事三分之二以上表决通过。罢免负责人，应当召开理事会，经三分之二以上到会理事表决通过。聘任制秘书长的聘任，由理事会决定。以上要求均符合的，得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□以上任何一项不符合要求，得0分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□负责人中由本社会组织党组织班子成员担任的，加1分（此项为加分项，不计入总分值）</w:t>
            </w:r>
          </w:p>
        </w:tc>
        <w:tc>
          <w:tcPr>
            <w:tcW w:w="283" w:type="pct"/>
            <w:tcBorders>
              <w:top w:val="nil"/>
              <w:left w:val="nil"/>
              <w:bottom w:val="single" w:color="auto" w:sz="4" w:space="0"/>
              <w:right w:val="single" w:color="auto" w:sz="4" w:space="0"/>
            </w:tcBorders>
            <w:noWrap/>
            <w:vAlign w:val="center"/>
          </w:tcPr>
          <w:p w14:paraId="5F79BC7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w:t>
            </w:r>
          </w:p>
        </w:tc>
      </w:tr>
      <w:tr w14:paraId="3A570076">
        <w:tblPrEx>
          <w:tblCellMar>
            <w:top w:w="0" w:type="dxa"/>
            <w:left w:w="108" w:type="dxa"/>
            <w:bottom w:w="0" w:type="dxa"/>
            <w:right w:w="108" w:type="dxa"/>
          </w:tblCellMar>
        </w:tblPrEx>
        <w:trPr>
          <w:trHeight w:val="2722" w:hRule="exact"/>
        </w:trPr>
        <w:tc>
          <w:tcPr>
            <w:tcW w:w="445" w:type="pct"/>
            <w:vMerge w:val="continue"/>
            <w:tcBorders>
              <w:left w:val="single" w:color="auto" w:sz="4" w:space="0"/>
              <w:right w:val="single" w:color="auto" w:sz="4" w:space="0"/>
            </w:tcBorders>
            <w:noWrap w:val="0"/>
            <w:vAlign w:val="center"/>
          </w:tcPr>
          <w:p w14:paraId="16FAE639">
            <w:pPr>
              <w:widowControl/>
              <w:jc w:val="left"/>
              <w:rPr>
                <w:rFonts w:ascii="宋体" w:hAnsi="宋体" w:cs="宋体"/>
                <w:kern w:val="0"/>
                <w:sz w:val="22"/>
                <w:szCs w:val="22"/>
                <w:highlight w:val="none"/>
              </w:rPr>
            </w:pPr>
          </w:p>
        </w:tc>
        <w:tc>
          <w:tcPr>
            <w:tcW w:w="457" w:type="pct"/>
            <w:vMerge w:val="continue"/>
            <w:tcBorders>
              <w:left w:val="single" w:color="auto" w:sz="4" w:space="0"/>
              <w:right w:val="single" w:color="auto" w:sz="4" w:space="0"/>
            </w:tcBorders>
            <w:noWrap w:val="0"/>
            <w:vAlign w:val="center"/>
          </w:tcPr>
          <w:p w14:paraId="4B64FA43">
            <w:pPr>
              <w:widowControl/>
              <w:jc w:val="left"/>
              <w:rPr>
                <w:rFonts w:ascii="宋体" w:hAnsi="宋体" w:cs="宋体"/>
                <w:kern w:val="0"/>
                <w:sz w:val="22"/>
                <w:szCs w:val="22"/>
                <w:highlight w:val="none"/>
              </w:rPr>
            </w:pPr>
          </w:p>
        </w:tc>
        <w:tc>
          <w:tcPr>
            <w:tcW w:w="458" w:type="pct"/>
            <w:vMerge w:val="restart"/>
            <w:tcBorders>
              <w:top w:val="nil"/>
              <w:left w:val="single" w:color="auto" w:sz="4" w:space="0"/>
              <w:bottom w:val="single" w:color="auto" w:sz="4" w:space="0"/>
              <w:right w:val="single" w:color="auto" w:sz="4" w:space="0"/>
            </w:tcBorders>
            <w:noWrap w:val="0"/>
            <w:vAlign w:val="center"/>
          </w:tcPr>
          <w:p w14:paraId="6677026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运行机制</w:t>
            </w:r>
          </w:p>
        </w:tc>
        <w:tc>
          <w:tcPr>
            <w:tcW w:w="489" w:type="pct"/>
            <w:tcBorders>
              <w:top w:val="nil"/>
              <w:left w:val="nil"/>
              <w:bottom w:val="single" w:color="auto" w:sz="4" w:space="0"/>
              <w:right w:val="single" w:color="auto" w:sz="4" w:space="0"/>
            </w:tcBorders>
            <w:noWrap w:val="0"/>
            <w:vAlign w:val="center"/>
          </w:tcPr>
          <w:p w14:paraId="5D1A6F3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民主议事制度</w:t>
            </w:r>
          </w:p>
        </w:tc>
        <w:tc>
          <w:tcPr>
            <w:tcW w:w="2868" w:type="pct"/>
            <w:tcBorders>
              <w:top w:val="nil"/>
              <w:left w:val="nil"/>
              <w:bottom w:val="single" w:color="auto" w:sz="4" w:space="0"/>
              <w:right w:val="single" w:color="auto" w:sz="4" w:space="0"/>
            </w:tcBorders>
            <w:noWrap w:val="0"/>
            <w:vAlign w:val="center"/>
          </w:tcPr>
          <w:p w14:paraId="63EE4F7A">
            <w:pPr>
              <w:widowControl/>
              <w:jc w:val="left"/>
              <w:rPr>
                <w:rFonts w:ascii="宋体" w:hAnsi="宋体" w:cs="宋体"/>
                <w:kern w:val="0"/>
                <w:sz w:val="22"/>
                <w:szCs w:val="22"/>
                <w:highlight w:val="none"/>
              </w:rPr>
            </w:pPr>
            <w:r>
              <w:rPr>
                <w:rFonts w:hint="eastAsia" w:ascii="宋体" w:hAnsi="宋体" w:cs="宋体"/>
                <w:kern w:val="0"/>
                <w:sz w:val="22"/>
                <w:szCs w:val="22"/>
                <w:highlight w:val="none"/>
              </w:rPr>
              <w:t>□有关事项均按照章程规定的权限履行民主议事程序，充分征求意见，实行民主决策，得0.2分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□有关事项未按照章程规定的权限履行民主议事程序，得0分</w:t>
            </w:r>
          </w:p>
        </w:tc>
        <w:tc>
          <w:tcPr>
            <w:tcW w:w="283" w:type="pct"/>
            <w:tcBorders>
              <w:top w:val="nil"/>
              <w:left w:val="nil"/>
              <w:bottom w:val="single" w:color="auto" w:sz="4" w:space="0"/>
              <w:right w:val="single" w:color="auto" w:sz="4" w:space="0"/>
            </w:tcBorders>
            <w:noWrap/>
            <w:vAlign w:val="center"/>
          </w:tcPr>
          <w:p w14:paraId="1526AAF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605A41C1">
        <w:tblPrEx>
          <w:tblCellMar>
            <w:top w:w="0" w:type="dxa"/>
            <w:left w:w="108" w:type="dxa"/>
            <w:bottom w:w="0" w:type="dxa"/>
            <w:right w:w="108" w:type="dxa"/>
          </w:tblCellMar>
        </w:tblPrEx>
        <w:trPr>
          <w:trHeight w:val="2722" w:hRule="exact"/>
        </w:trPr>
        <w:tc>
          <w:tcPr>
            <w:tcW w:w="445" w:type="pct"/>
            <w:vMerge w:val="continue"/>
            <w:tcBorders>
              <w:left w:val="single" w:color="auto" w:sz="4" w:space="0"/>
              <w:bottom w:val="single" w:color="auto" w:sz="4" w:space="0"/>
              <w:right w:val="single" w:color="auto" w:sz="4" w:space="0"/>
            </w:tcBorders>
            <w:noWrap w:val="0"/>
            <w:vAlign w:val="center"/>
          </w:tcPr>
          <w:p w14:paraId="2BC40B8A">
            <w:pPr>
              <w:widowControl/>
              <w:jc w:val="left"/>
              <w:rPr>
                <w:rFonts w:ascii="宋体" w:hAnsi="宋体" w:cs="宋体"/>
                <w:kern w:val="0"/>
                <w:sz w:val="22"/>
                <w:szCs w:val="22"/>
                <w:highlight w:val="none"/>
              </w:rPr>
            </w:pPr>
          </w:p>
        </w:tc>
        <w:tc>
          <w:tcPr>
            <w:tcW w:w="457" w:type="pct"/>
            <w:vMerge w:val="continue"/>
            <w:tcBorders>
              <w:left w:val="single" w:color="auto" w:sz="4" w:space="0"/>
              <w:bottom w:val="single" w:color="auto" w:sz="4" w:space="0"/>
              <w:right w:val="single" w:color="auto" w:sz="4" w:space="0"/>
            </w:tcBorders>
            <w:noWrap w:val="0"/>
            <w:vAlign w:val="center"/>
          </w:tcPr>
          <w:p w14:paraId="79E46C99">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2924F7A6">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095AFBC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会议纪要</w:t>
            </w:r>
          </w:p>
        </w:tc>
        <w:tc>
          <w:tcPr>
            <w:tcW w:w="2868" w:type="pct"/>
            <w:tcBorders>
              <w:top w:val="nil"/>
              <w:left w:val="nil"/>
              <w:bottom w:val="single" w:color="auto" w:sz="4" w:space="0"/>
              <w:right w:val="single" w:color="auto" w:sz="4" w:space="0"/>
            </w:tcBorders>
            <w:noWrap w:val="0"/>
            <w:vAlign w:val="center"/>
          </w:tcPr>
          <w:p w14:paraId="1930868D">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□每次会议均制作会议纪要，并经参会人员签字，人数较多不便逐一签字的，由主要负责人、法定代表人签字，后附参会人员签到表。上述要求落实的，得0.2分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□未制作会议纪要、会议纪要不全、未履行签字程序的，得0分</w:t>
            </w:r>
          </w:p>
        </w:tc>
        <w:tc>
          <w:tcPr>
            <w:tcW w:w="283" w:type="pct"/>
            <w:tcBorders>
              <w:top w:val="nil"/>
              <w:left w:val="nil"/>
              <w:bottom w:val="single" w:color="auto" w:sz="4" w:space="0"/>
              <w:right w:val="single" w:color="auto" w:sz="4" w:space="0"/>
            </w:tcBorders>
            <w:noWrap/>
            <w:vAlign w:val="center"/>
          </w:tcPr>
          <w:p w14:paraId="14F4EA6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0.2</w:t>
            </w:r>
          </w:p>
        </w:tc>
      </w:tr>
      <w:tr w14:paraId="7F9B64F1">
        <w:tblPrEx>
          <w:tblCellMar>
            <w:top w:w="0" w:type="dxa"/>
            <w:left w:w="108" w:type="dxa"/>
            <w:bottom w:w="0" w:type="dxa"/>
            <w:right w:w="108" w:type="dxa"/>
          </w:tblCellMar>
        </w:tblPrEx>
        <w:trPr>
          <w:trHeight w:val="2041" w:hRule="exact"/>
        </w:trPr>
        <w:tc>
          <w:tcPr>
            <w:tcW w:w="445" w:type="pct"/>
            <w:vMerge w:val="restart"/>
            <w:tcBorders>
              <w:top w:val="nil"/>
              <w:left w:val="single" w:color="auto" w:sz="4" w:space="0"/>
              <w:bottom w:val="single" w:color="auto" w:sz="4" w:space="0"/>
              <w:right w:val="single" w:color="auto" w:sz="4" w:space="0"/>
            </w:tcBorders>
            <w:noWrap w:val="0"/>
            <w:vAlign w:val="center"/>
          </w:tcPr>
          <w:p w14:paraId="4297347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7" w:type="pct"/>
            <w:vMerge w:val="restart"/>
            <w:tcBorders>
              <w:top w:val="nil"/>
              <w:left w:val="single" w:color="auto" w:sz="4" w:space="0"/>
              <w:bottom w:val="single" w:color="auto" w:sz="4" w:space="0"/>
              <w:right w:val="single" w:color="auto" w:sz="4" w:space="0"/>
            </w:tcBorders>
            <w:noWrap w:val="0"/>
            <w:vAlign w:val="center"/>
          </w:tcPr>
          <w:p w14:paraId="450698F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组织机构</w:t>
            </w:r>
          </w:p>
        </w:tc>
        <w:tc>
          <w:tcPr>
            <w:tcW w:w="458" w:type="pct"/>
            <w:vMerge w:val="restart"/>
            <w:tcBorders>
              <w:top w:val="nil"/>
              <w:left w:val="single" w:color="auto" w:sz="4" w:space="0"/>
              <w:bottom w:val="single" w:color="auto" w:sz="4" w:space="0"/>
              <w:right w:val="single" w:color="auto" w:sz="4" w:space="0"/>
            </w:tcBorders>
            <w:noWrap w:val="0"/>
            <w:vAlign w:val="center"/>
          </w:tcPr>
          <w:p w14:paraId="6CFFA7D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分支机构、</w:t>
            </w:r>
            <w:r>
              <w:rPr>
                <w:rFonts w:hint="eastAsia" w:ascii="宋体" w:hAnsi="宋体" w:cs="宋体"/>
                <w:kern w:val="0"/>
                <w:sz w:val="22"/>
                <w:szCs w:val="22"/>
                <w:highlight w:val="none"/>
              </w:rPr>
              <w:br w:type="page"/>
            </w:r>
            <w:r>
              <w:rPr>
                <w:rFonts w:hint="eastAsia" w:ascii="宋体" w:hAnsi="宋体" w:cs="宋体"/>
                <w:kern w:val="0"/>
                <w:sz w:val="22"/>
                <w:szCs w:val="22"/>
                <w:highlight w:val="none"/>
              </w:rPr>
              <w:t xml:space="preserve">代表机构  </w:t>
            </w:r>
          </w:p>
        </w:tc>
        <w:tc>
          <w:tcPr>
            <w:tcW w:w="489" w:type="pct"/>
            <w:vMerge w:val="restart"/>
            <w:tcBorders>
              <w:top w:val="nil"/>
              <w:left w:val="single" w:color="auto" w:sz="4" w:space="0"/>
              <w:bottom w:val="single" w:color="auto" w:sz="4" w:space="0"/>
              <w:right w:val="single" w:color="auto" w:sz="4" w:space="0"/>
            </w:tcBorders>
            <w:noWrap w:val="0"/>
            <w:vAlign w:val="center"/>
          </w:tcPr>
          <w:p w14:paraId="4DD813D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分支、代表机构的</w:t>
            </w:r>
            <w:r>
              <w:rPr>
                <w:rFonts w:hint="eastAsia" w:ascii="宋体" w:hAnsi="宋体" w:cs="宋体"/>
                <w:kern w:val="0"/>
                <w:sz w:val="22"/>
                <w:szCs w:val="22"/>
                <w:highlight w:val="none"/>
              </w:rPr>
              <w:br w:type="page"/>
            </w:r>
            <w:r>
              <w:rPr>
                <w:rFonts w:hint="eastAsia" w:ascii="宋体" w:hAnsi="宋体" w:cs="宋体"/>
                <w:kern w:val="0"/>
                <w:sz w:val="22"/>
                <w:szCs w:val="22"/>
                <w:highlight w:val="none"/>
              </w:rPr>
              <w:t>设置程序</w:t>
            </w:r>
          </w:p>
        </w:tc>
        <w:tc>
          <w:tcPr>
            <w:tcW w:w="2868" w:type="pct"/>
            <w:tcBorders>
              <w:top w:val="nil"/>
              <w:left w:val="nil"/>
              <w:bottom w:val="single" w:color="auto" w:sz="4" w:space="0"/>
              <w:right w:val="single" w:color="auto" w:sz="4" w:space="0"/>
            </w:tcBorders>
            <w:noWrap w:val="0"/>
            <w:vAlign w:val="center"/>
          </w:tcPr>
          <w:p w14:paraId="5900D7FC">
            <w:pPr>
              <w:widowControl/>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□未设立分支、代表机构，得0.5分</w:t>
            </w:r>
            <w:r>
              <w:rPr>
                <w:rFonts w:hint="eastAsia" w:ascii="宋体" w:hAnsi="宋体" w:cs="宋体"/>
                <w:kern w:val="0"/>
                <w:sz w:val="22"/>
                <w:szCs w:val="22"/>
                <w:highlight w:val="none"/>
                <w:lang w:eastAsia="zh-CN"/>
              </w:rPr>
              <w:t>，设立分支、代表机构的，按照下列</w:t>
            </w:r>
            <w:r>
              <w:rPr>
                <w:rFonts w:hint="eastAsia" w:ascii="宋体" w:hAnsi="宋体" w:cs="宋体"/>
                <w:kern w:val="0"/>
                <w:sz w:val="22"/>
                <w:szCs w:val="22"/>
                <w:highlight w:val="none"/>
                <w:lang w:val="en-US" w:eastAsia="zh-CN"/>
              </w:rPr>
              <w:t>指标进行得分</w:t>
            </w:r>
          </w:p>
        </w:tc>
        <w:tc>
          <w:tcPr>
            <w:tcW w:w="283" w:type="pct"/>
            <w:vMerge w:val="restart"/>
            <w:tcBorders>
              <w:top w:val="nil"/>
              <w:left w:val="single" w:color="auto" w:sz="4" w:space="0"/>
              <w:bottom w:val="single" w:color="000000" w:sz="4" w:space="0"/>
              <w:right w:val="single" w:color="auto" w:sz="4" w:space="0"/>
            </w:tcBorders>
            <w:noWrap/>
            <w:vAlign w:val="center"/>
          </w:tcPr>
          <w:p w14:paraId="11F6ED8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04DFF182">
        <w:tblPrEx>
          <w:tblCellMar>
            <w:top w:w="0" w:type="dxa"/>
            <w:left w:w="108" w:type="dxa"/>
            <w:bottom w:w="0" w:type="dxa"/>
            <w:right w:w="108" w:type="dxa"/>
          </w:tblCellMar>
        </w:tblPrEx>
        <w:trPr>
          <w:trHeight w:val="2041" w:hRule="exact"/>
        </w:trPr>
        <w:tc>
          <w:tcPr>
            <w:tcW w:w="445" w:type="pct"/>
            <w:vMerge w:val="continue"/>
            <w:tcBorders>
              <w:top w:val="nil"/>
              <w:left w:val="single" w:color="auto" w:sz="4" w:space="0"/>
              <w:bottom w:val="single" w:color="auto" w:sz="4" w:space="0"/>
              <w:right w:val="single" w:color="auto" w:sz="4" w:space="0"/>
            </w:tcBorders>
            <w:noWrap w:val="0"/>
            <w:vAlign w:val="center"/>
          </w:tcPr>
          <w:p w14:paraId="7F3A1998">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4EF490A6">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5B4C4357">
            <w:pPr>
              <w:widowControl/>
              <w:jc w:val="left"/>
              <w:rPr>
                <w:rFonts w:ascii="宋体" w:hAnsi="宋体" w:cs="宋体"/>
                <w:kern w:val="0"/>
                <w:sz w:val="22"/>
                <w:szCs w:val="22"/>
                <w:highlight w:val="none"/>
              </w:rPr>
            </w:pPr>
          </w:p>
        </w:tc>
        <w:tc>
          <w:tcPr>
            <w:tcW w:w="489" w:type="pct"/>
            <w:vMerge w:val="continue"/>
            <w:tcBorders>
              <w:top w:val="nil"/>
              <w:left w:val="single" w:color="auto" w:sz="4" w:space="0"/>
              <w:bottom w:val="single" w:color="auto" w:sz="4" w:space="0"/>
              <w:right w:val="single" w:color="auto" w:sz="4" w:space="0"/>
            </w:tcBorders>
            <w:noWrap w:val="0"/>
            <w:vAlign w:val="center"/>
          </w:tcPr>
          <w:p w14:paraId="54806604">
            <w:pPr>
              <w:widowControl/>
              <w:jc w:val="left"/>
              <w:rPr>
                <w:rFonts w:ascii="宋体" w:hAnsi="宋体" w:cs="宋体"/>
                <w:kern w:val="0"/>
                <w:sz w:val="22"/>
                <w:szCs w:val="22"/>
                <w:highlight w:val="none"/>
              </w:rPr>
            </w:pPr>
          </w:p>
        </w:tc>
        <w:tc>
          <w:tcPr>
            <w:tcW w:w="2868" w:type="pct"/>
            <w:tcBorders>
              <w:top w:val="nil"/>
              <w:left w:val="nil"/>
              <w:bottom w:val="single" w:color="auto" w:sz="4" w:space="0"/>
              <w:right w:val="single" w:color="auto" w:sz="4" w:space="0"/>
            </w:tcBorders>
            <w:noWrap w:val="0"/>
            <w:vAlign w:val="center"/>
          </w:tcPr>
          <w:p w14:paraId="08964263">
            <w:pPr>
              <w:widowControl/>
              <w:jc w:val="left"/>
              <w:rPr>
                <w:rFonts w:ascii="宋体" w:hAnsi="宋体" w:cs="宋体"/>
                <w:kern w:val="0"/>
                <w:sz w:val="22"/>
                <w:szCs w:val="22"/>
                <w:highlight w:val="none"/>
              </w:rPr>
            </w:pPr>
            <w:r>
              <w:rPr>
                <w:rFonts w:hint="eastAsia" w:ascii="宋体" w:hAnsi="宋体" w:cs="宋体"/>
                <w:kern w:val="0"/>
                <w:sz w:val="22"/>
                <w:szCs w:val="22"/>
                <w:highlight w:val="none"/>
              </w:rPr>
              <w:t>□分支机构、代表机构的设立，符合章程规定的宗旨和业务范围，经理事会或者常务理事会讨论通过，制作会议纪要的，得0.1分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□不符合章程规定的宗旨和业务范围，或者未经理事会或者常务理事会讨论通过，或者设立地域性分支机构，得0分</w:t>
            </w:r>
          </w:p>
        </w:tc>
        <w:tc>
          <w:tcPr>
            <w:tcW w:w="283" w:type="pct"/>
            <w:vMerge w:val="continue"/>
            <w:tcBorders>
              <w:top w:val="nil"/>
              <w:left w:val="single" w:color="auto" w:sz="4" w:space="0"/>
              <w:bottom w:val="single" w:color="000000" w:sz="4" w:space="0"/>
              <w:right w:val="single" w:color="auto" w:sz="4" w:space="0"/>
            </w:tcBorders>
            <w:noWrap w:val="0"/>
            <w:vAlign w:val="center"/>
          </w:tcPr>
          <w:p w14:paraId="74476A02">
            <w:pPr>
              <w:widowControl/>
              <w:jc w:val="left"/>
              <w:rPr>
                <w:rFonts w:ascii="宋体" w:hAnsi="宋体" w:cs="宋体"/>
                <w:kern w:val="0"/>
                <w:sz w:val="22"/>
                <w:szCs w:val="22"/>
                <w:highlight w:val="none"/>
              </w:rPr>
            </w:pPr>
          </w:p>
        </w:tc>
      </w:tr>
      <w:tr w14:paraId="1A934EFB">
        <w:tblPrEx>
          <w:tblCellMar>
            <w:top w:w="0" w:type="dxa"/>
            <w:left w:w="108" w:type="dxa"/>
            <w:bottom w:w="0" w:type="dxa"/>
            <w:right w:w="108" w:type="dxa"/>
          </w:tblCellMar>
        </w:tblPrEx>
        <w:trPr>
          <w:trHeight w:val="2041" w:hRule="exact"/>
        </w:trPr>
        <w:tc>
          <w:tcPr>
            <w:tcW w:w="445" w:type="pct"/>
            <w:vMerge w:val="continue"/>
            <w:tcBorders>
              <w:top w:val="nil"/>
              <w:left w:val="single" w:color="auto" w:sz="4" w:space="0"/>
              <w:bottom w:val="single" w:color="auto" w:sz="4" w:space="0"/>
              <w:right w:val="single" w:color="auto" w:sz="4" w:space="0"/>
            </w:tcBorders>
            <w:noWrap w:val="0"/>
            <w:vAlign w:val="center"/>
          </w:tcPr>
          <w:p w14:paraId="6BABBFA1">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7B39E8CC">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11AB0944">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05322D7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分支机构、代表机构管理</w:t>
            </w:r>
          </w:p>
        </w:tc>
        <w:tc>
          <w:tcPr>
            <w:tcW w:w="2868" w:type="pct"/>
            <w:tcBorders>
              <w:top w:val="nil"/>
              <w:left w:val="nil"/>
              <w:bottom w:val="single" w:color="auto" w:sz="4" w:space="0"/>
              <w:right w:val="single" w:color="auto" w:sz="4" w:space="0"/>
            </w:tcBorders>
            <w:noWrap w:val="0"/>
            <w:vAlign w:val="center"/>
          </w:tcPr>
          <w:p w14:paraId="3A05EEA3">
            <w:pPr>
              <w:widowControl/>
              <w:jc w:val="left"/>
              <w:rPr>
                <w:rFonts w:ascii="宋体" w:hAnsi="宋体" w:cs="宋体"/>
                <w:kern w:val="0"/>
                <w:sz w:val="22"/>
                <w:szCs w:val="22"/>
                <w:highlight w:val="none"/>
              </w:rPr>
            </w:pPr>
            <w:r>
              <w:rPr>
                <w:rFonts w:hint="eastAsia" w:ascii="宋体" w:hAnsi="宋体" w:cs="宋体"/>
                <w:kern w:val="0"/>
                <w:sz w:val="22"/>
                <w:szCs w:val="22"/>
                <w:highlight w:val="none"/>
              </w:rPr>
              <w:t>□制定管理制度并落实，规范使用名称，及时撤销完成宗旨任务的分支机构、代表机构，得0.2分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□未制定管理制度，或者未在分支机构、代表机构前冠以行业协会商会全称，或者将分支机构、代表机构委托其他组织运营，或者向分支机构、代表机构收取管理费用的，得0分</w:t>
            </w:r>
          </w:p>
        </w:tc>
        <w:tc>
          <w:tcPr>
            <w:tcW w:w="283" w:type="pct"/>
            <w:vMerge w:val="continue"/>
            <w:tcBorders>
              <w:top w:val="nil"/>
              <w:left w:val="single" w:color="auto" w:sz="4" w:space="0"/>
              <w:bottom w:val="single" w:color="000000" w:sz="4" w:space="0"/>
              <w:right w:val="single" w:color="auto" w:sz="4" w:space="0"/>
            </w:tcBorders>
            <w:noWrap w:val="0"/>
            <w:vAlign w:val="center"/>
          </w:tcPr>
          <w:p w14:paraId="4F9B10F1">
            <w:pPr>
              <w:widowControl/>
              <w:jc w:val="left"/>
              <w:rPr>
                <w:rFonts w:ascii="宋体" w:hAnsi="宋体" w:cs="宋体"/>
                <w:kern w:val="0"/>
                <w:sz w:val="22"/>
                <w:szCs w:val="22"/>
                <w:highlight w:val="none"/>
              </w:rPr>
            </w:pPr>
          </w:p>
        </w:tc>
      </w:tr>
      <w:tr w14:paraId="00ED4CB4">
        <w:tblPrEx>
          <w:tblCellMar>
            <w:top w:w="0" w:type="dxa"/>
            <w:left w:w="108" w:type="dxa"/>
            <w:bottom w:w="0" w:type="dxa"/>
            <w:right w:w="108" w:type="dxa"/>
          </w:tblCellMar>
        </w:tblPrEx>
        <w:trPr>
          <w:trHeight w:val="2041" w:hRule="exact"/>
        </w:trPr>
        <w:tc>
          <w:tcPr>
            <w:tcW w:w="445" w:type="pct"/>
            <w:vMerge w:val="continue"/>
            <w:tcBorders>
              <w:top w:val="nil"/>
              <w:left w:val="single" w:color="auto" w:sz="4" w:space="0"/>
              <w:bottom w:val="single" w:color="auto" w:sz="4" w:space="0"/>
              <w:right w:val="single" w:color="auto" w:sz="4" w:space="0"/>
            </w:tcBorders>
            <w:noWrap w:val="0"/>
            <w:vAlign w:val="center"/>
          </w:tcPr>
          <w:p w14:paraId="568AD679">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34E05A28">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69C4309A">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4EF09C6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分支机构、代表机构开展活动情况</w:t>
            </w:r>
          </w:p>
        </w:tc>
        <w:tc>
          <w:tcPr>
            <w:tcW w:w="2868" w:type="pct"/>
            <w:tcBorders>
              <w:top w:val="nil"/>
              <w:left w:val="nil"/>
              <w:bottom w:val="single" w:color="auto" w:sz="4" w:space="0"/>
              <w:right w:val="single" w:color="auto" w:sz="4" w:space="0"/>
            </w:tcBorders>
            <w:noWrap w:val="0"/>
            <w:vAlign w:val="center"/>
          </w:tcPr>
          <w:p w14:paraId="63E9DBBA">
            <w:pPr>
              <w:widowControl/>
              <w:jc w:val="left"/>
              <w:rPr>
                <w:rFonts w:ascii="宋体" w:hAnsi="宋体" w:cs="宋体"/>
                <w:kern w:val="0"/>
                <w:sz w:val="22"/>
                <w:szCs w:val="22"/>
                <w:highlight w:val="none"/>
              </w:rPr>
            </w:pPr>
            <w:r>
              <w:rPr>
                <w:rFonts w:hint="eastAsia" w:ascii="宋体" w:hAnsi="宋体" w:cs="宋体"/>
                <w:kern w:val="0"/>
                <w:sz w:val="22"/>
                <w:szCs w:val="22"/>
                <w:highlight w:val="none"/>
              </w:rPr>
              <w:t>□分支机构根据协会商会授权发展会员、开展活动，得0.2分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□分支机构未经授权发展会员，或者开展活动，得0分</w:t>
            </w:r>
          </w:p>
        </w:tc>
        <w:tc>
          <w:tcPr>
            <w:tcW w:w="283" w:type="pct"/>
            <w:vMerge w:val="continue"/>
            <w:tcBorders>
              <w:top w:val="nil"/>
              <w:left w:val="single" w:color="auto" w:sz="4" w:space="0"/>
              <w:bottom w:val="single" w:color="000000" w:sz="4" w:space="0"/>
              <w:right w:val="single" w:color="auto" w:sz="4" w:space="0"/>
            </w:tcBorders>
            <w:noWrap w:val="0"/>
            <w:vAlign w:val="center"/>
          </w:tcPr>
          <w:p w14:paraId="0903468C">
            <w:pPr>
              <w:widowControl/>
              <w:jc w:val="left"/>
              <w:rPr>
                <w:rFonts w:ascii="宋体" w:hAnsi="宋体" w:cs="宋体"/>
                <w:kern w:val="0"/>
                <w:sz w:val="22"/>
                <w:szCs w:val="22"/>
                <w:highlight w:val="none"/>
              </w:rPr>
            </w:pPr>
          </w:p>
        </w:tc>
      </w:tr>
      <w:tr w14:paraId="6665EB46">
        <w:tblPrEx>
          <w:tblCellMar>
            <w:top w:w="0" w:type="dxa"/>
            <w:left w:w="108" w:type="dxa"/>
            <w:bottom w:w="0" w:type="dxa"/>
            <w:right w:w="108" w:type="dxa"/>
          </w:tblCellMar>
        </w:tblPrEx>
        <w:trPr>
          <w:trHeight w:val="1777" w:hRule="atLeast"/>
        </w:trPr>
        <w:tc>
          <w:tcPr>
            <w:tcW w:w="445" w:type="pct"/>
            <w:vMerge w:val="restart"/>
            <w:tcBorders>
              <w:top w:val="nil"/>
              <w:left w:val="single" w:color="auto" w:sz="4" w:space="0"/>
              <w:bottom w:val="single" w:color="auto" w:sz="4" w:space="0"/>
              <w:right w:val="single" w:color="auto" w:sz="4" w:space="0"/>
            </w:tcBorders>
            <w:noWrap w:val="0"/>
            <w:vAlign w:val="center"/>
          </w:tcPr>
          <w:p w14:paraId="45D2411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7" w:type="pct"/>
            <w:vMerge w:val="restart"/>
            <w:tcBorders>
              <w:top w:val="nil"/>
              <w:left w:val="single" w:color="auto" w:sz="4" w:space="0"/>
              <w:bottom w:val="single" w:color="auto" w:sz="4" w:space="0"/>
              <w:right w:val="single" w:color="auto" w:sz="4" w:space="0"/>
            </w:tcBorders>
            <w:noWrap w:val="0"/>
            <w:vAlign w:val="center"/>
          </w:tcPr>
          <w:p w14:paraId="0ECF390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领导班子</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建设</w:t>
            </w:r>
          </w:p>
        </w:tc>
        <w:tc>
          <w:tcPr>
            <w:tcW w:w="458" w:type="pct"/>
            <w:vMerge w:val="restart"/>
            <w:tcBorders>
              <w:top w:val="nil"/>
              <w:left w:val="single" w:color="auto" w:sz="4" w:space="0"/>
              <w:bottom w:val="single" w:color="auto" w:sz="4" w:space="0"/>
              <w:right w:val="single" w:color="auto" w:sz="4" w:space="0"/>
            </w:tcBorders>
            <w:noWrap w:val="0"/>
            <w:vAlign w:val="center"/>
          </w:tcPr>
          <w:p w14:paraId="02C0EE3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负责人</w:t>
            </w:r>
          </w:p>
        </w:tc>
        <w:tc>
          <w:tcPr>
            <w:tcW w:w="489" w:type="pct"/>
            <w:tcBorders>
              <w:top w:val="nil"/>
              <w:left w:val="nil"/>
              <w:bottom w:val="single" w:color="auto" w:sz="4" w:space="0"/>
              <w:right w:val="single" w:color="auto" w:sz="4" w:space="0"/>
            </w:tcBorders>
            <w:noWrap w:val="0"/>
            <w:vAlign w:val="center"/>
          </w:tcPr>
          <w:p w14:paraId="46F194B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职数要求</w:t>
            </w:r>
          </w:p>
        </w:tc>
        <w:tc>
          <w:tcPr>
            <w:tcW w:w="2868" w:type="pct"/>
            <w:tcBorders>
              <w:top w:val="nil"/>
              <w:left w:val="nil"/>
              <w:bottom w:val="single" w:color="auto" w:sz="4" w:space="0"/>
              <w:right w:val="single" w:color="auto" w:sz="4" w:space="0"/>
            </w:tcBorders>
            <w:noWrap w:val="0"/>
            <w:vAlign w:val="center"/>
          </w:tcPr>
          <w:p w14:paraId="00E75C33">
            <w:pPr>
              <w:widowControl/>
              <w:jc w:val="left"/>
              <w:rPr>
                <w:rFonts w:ascii="宋体" w:hAnsi="宋体" w:cs="宋体"/>
                <w:kern w:val="0"/>
                <w:sz w:val="22"/>
                <w:szCs w:val="22"/>
                <w:highlight w:val="none"/>
              </w:rPr>
            </w:pPr>
            <w:r>
              <w:rPr>
                <w:rFonts w:hint="eastAsia" w:ascii="宋体" w:hAnsi="宋体" w:cs="宋体"/>
                <w:kern w:val="0"/>
                <w:sz w:val="22"/>
                <w:szCs w:val="22"/>
                <w:highlight w:val="none"/>
              </w:rPr>
              <w:t>□设立常务理事会的，负责人总数不超过常务理事人数的二分之一，未设立常务理事会的，总数不超过理事人数的三分之一。负责人职数最多不超过20人。以上要求均符合的，得2分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□以上两项要求有一项不符合的，得1分；均不符合的，得0分</w:t>
            </w:r>
          </w:p>
        </w:tc>
        <w:tc>
          <w:tcPr>
            <w:tcW w:w="283" w:type="pct"/>
            <w:tcBorders>
              <w:top w:val="nil"/>
              <w:left w:val="nil"/>
              <w:bottom w:val="single" w:color="auto" w:sz="4" w:space="0"/>
              <w:right w:val="single" w:color="auto" w:sz="4" w:space="0"/>
            </w:tcBorders>
            <w:noWrap/>
            <w:vAlign w:val="center"/>
          </w:tcPr>
          <w:p w14:paraId="6930E03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w:t>
            </w:r>
          </w:p>
        </w:tc>
      </w:tr>
      <w:tr w14:paraId="29CFA129">
        <w:tblPrEx>
          <w:tblCellMar>
            <w:top w:w="0" w:type="dxa"/>
            <w:left w:w="108" w:type="dxa"/>
            <w:bottom w:w="0" w:type="dxa"/>
            <w:right w:w="108" w:type="dxa"/>
          </w:tblCellMar>
        </w:tblPrEx>
        <w:trPr>
          <w:trHeight w:val="1391"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1E181D90">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0942CF1B">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75A4F6F9">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1751A64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公务员、退休领导干部兼任情况</w:t>
            </w:r>
          </w:p>
        </w:tc>
        <w:tc>
          <w:tcPr>
            <w:tcW w:w="2868" w:type="pct"/>
            <w:tcBorders>
              <w:top w:val="nil"/>
              <w:left w:val="nil"/>
              <w:bottom w:val="single" w:color="auto" w:sz="4" w:space="0"/>
              <w:right w:val="single" w:color="auto" w:sz="4" w:space="0"/>
            </w:tcBorders>
            <w:noWrap w:val="0"/>
            <w:vAlign w:val="center"/>
          </w:tcPr>
          <w:p w14:paraId="380D0E33">
            <w:pPr>
              <w:widowControl/>
              <w:jc w:val="left"/>
              <w:rPr>
                <w:rFonts w:ascii="宋体" w:hAnsi="宋体" w:cs="宋体"/>
                <w:kern w:val="0"/>
                <w:sz w:val="22"/>
                <w:szCs w:val="22"/>
                <w:highlight w:val="none"/>
              </w:rPr>
            </w:pPr>
            <w:r>
              <w:rPr>
                <w:rFonts w:hint="eastAsia" w:ascii="宋体" w:hAnsi="宋体" w:cs="宋体"/>
                <w:kern w:val="0"/>
                <w:sz w:val="22"/>
                <w:szCs w:val="22"/>
                <w:highlight w:val="none"/>
              </w:rPr>
              <w:t>□负责人无现职公务员、退休领导干部兼职，或兼职按规定履行了报批手续，得2分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□负责人有现职公务员或者退休领导干部兼职但未按规定履行报批手续，得0分</w:t>
            </w:r>
          </w:p>
        </w:tc>
        <w:tc>
          <w:tcPr>
            <w:tcW w:w="283" w:type="pct"/>
            <w:tcBorders>
              <w:top w:val="nil"/>
              <w:left w:val="nil"/>
              <w:bottom w:val="single" w:color="auto" w:sz="4" w:space="0"/>
              <w:right w:val="single" w:color="auto" w:sz="4" w:space="0"/>
            </w:tcBorders>
            <w:noWrap/>
            <w:vAlign w:val="center"/>
          </w:tcPr>
          <w:p w14:paraId="4E45DA0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w:t>
            </w:r>
          </w:p>
        </w:tc>
      </w:tr>
      <w:tr w14:paraId="09D8FB39">
        <w:tblPrEx>
          <w:tblCellMar>
            <w:top w:w="0" w:type="dxa"/>
            <w:left w:w="108" w:type="dxa"/>
            <w:bottom w:w="0" w:type="dxa"/>
            <w:right w:w="108" w:type="dxa"/>
          </w:tblCellMar>
        </w:tblPrEx>
        <w:trPr>
          <w:trHeight w:val="1139"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21E129ED">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46624D21">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13AD474A">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0CB10E4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负责人年龄</w:t>
            </w:r>
          </w:p>
        </w:tc>
        <w:tc>
          <w:tcPr>
            <w:tcW w:w="2868" w:type="pct"/>
            <w:tcBorders>
              <w:top w:val="nil"/>
              <w:left w:val="nil"/>
              <w:bottom w:val="single" w:color="auto" w:sz="4" w:space="0"/>
              <w:right w:val="single" w:color="auto" w:sz="4" w:space="0"/>
            </w:tcBorders>
            <w:noWrap w:val="0"/>
            <w:vAlign w:val="center"/>
          </w:tcPr>
          <w:p w14:paraId="489478D4">
            <w:pPr>
              <w:widowControl/>
              <w:jc w:val="left"/>
              <w:rPr>
                <w:rFonts w:ascii="宋体" w:hAnsi="宋体" w:cs="宋体"/>
                <w:kern w:val="0"/>
                <w:sz w:val="22"/>
                <w:szCs w:val="22"/>
                <w:highlight w:val="none"/>
              </w:rPr>
            </w:pPr>
            <w:r>
              <w:rPr>
                <w:rFonts w:hint="eastAsia" w:ascii="宋体" w:hAnsi="宋体" w:cs="宋体"/>
                <w:kern w:val="0"/>
                <w:sz w:val="22"/>
                <w:szCs w:val="22"/>
                <w:highlight w:val="none"/>
              </w:rPr>
              <w:t>□无负责人超龄任职情况，得0.2分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□存在负责人超龄任职情况，得0分</w:t>
            </w:r>
          </w:p>
        </w:tc>
        <w:tc>
          <w:tcPr>
            <w:tcW w:w="283" w:type="pct"/>
            <w:tcBorders>
              <w:top w:val="nil"/>
              <w:left w:val="nil"/>
              <w:bottom w:val="single" w:color="auto" w:sz="4" w:space="0"/>
              <w:right w:val="single" w:color="auto" w:sz="4" w:space="0"/>
            </w:tcBorders>
            <w:noWrap/>
            <w:vAlign w:val="center"/>
          </w:tcPr>
          <w:p w14:paraId="24AAB80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0.2</w:t>
            </w:r>
          </w:p>
        </w:tc>
      </w:tr>
      <w:tr w14:paraId="4DCCC50F">
        <w:tblPrEx>
          <w:tblCellMar>
            <w:top w:w="0" w:type="dxa"/>
            <w:left w:w="108" w:type="dxa"/>
            <w:bottom w:w="0" w:type="dxa"/>
            <w:right w:w="108" w:type="dxa"/>
          </w:tblCellMar>
        </w:tblPrEx>
        <w:trPr>
          <w:trHeight w:val="2273"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111E195E">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75AAA611">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2E6ED480">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6639FDE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负责人学历和</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影响力</w:t>
            </w:r>
          </w:p>
        </w:tc>
        <w:tc>
          <w:tcPr>
            <w:tcW w:w="2868" w:type="pct"/>
            <w:tcBorders>
              <w:top w:val="nil"/>
              <w:left w:val="nil"/>
              <w:bottom w:val="single" w:color="auto" w:sz="4" w:space="0"/>
              <w:right w:val="single" w:color="auto" w:sz="4" w:space="0"/>
            </w:tcBorders>
            <w:noWrap w:val="0"/>
            <w:vAlign w:val="center"/>
          </w:tcPr>
          <w:p w14:paraId="12A1DCD3">
            <w:pPr>
              <w:widowControl/>
              <w:jc w:val="left"/>
              <w:rPr>
                <w:rFonts w:ascii="宋体" w:hAnsi="宋体" w:cs="宋体"/>
                <w:kern w:val="0"/>
                <w:sz w:val="22"/>
                <w:szCs w:val="22"/>
                <w:highlight w:val="none"/>
              </w:rPr>
            </w:pPr>
            <w:r>
              <w:rPr>
                <w:rFonts w:hint="eastAsia" w:ascii="宋体" w:hAnsi="宋体" w:cs="宋体"/>
                <w:kern w:val="0"/>
                <w:sz w:val="22"/>
                <w:szCs w:val="22"/>
                <w:highlight w:val="none"/>
              </w:rPr>
              <w:t>负责人学历情况：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□全部具有本科以上学历，得0.2分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□有1名（含）以上负责人不具有本科以上学历，得0.1分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负责人影响力情况：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□负责人在本领域内有较大影响力，对领域有突出贡献，得0.2分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□负责人在本领域内有一定影响力，得0.1分</w:t>
            </w:r>
          </w:p>
        </w:tc>
        <w:tc>
          <w:tcPr>
            <w:tcW w:w="283" w:type="pct"/>
            <w:tcBorders>
              <w:top w:val="nil"/>
              <w:left w:val="nil"/>
              <w:bottom w:val="single" w:color="auto" w:sz="4" w:space="0"/>
              <w:right w:val="single" w:color="auto" w:sz="4" w:space="0"/>
            </w:tcBorders>
            <w:noWrap/>
            <w:vAlign w:val="center"/>
          </w:tcPr>
          <w:p w14:paraId="76075E7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0.4</w:t>
            </w:r>
          </w:p>
        </w:tc>
      </w:tr>
      <w:tr w14:paraId="00C7EF07">
        <w:tblPrEx>
          <w:tblCellMar>
            <w:top w:w="0" w:type="dxa"/>
            <w:left w:w="108" w:type="dxa"/>
            <w:bottom w:w="0" w:type="dxa"/>
            <w:right w:w="108" w:type="dxa"/>
          </w:tblCellMar>
        </w:tblPrEx>
        <w:trPr>
          <w:trHeight w:val="1397"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6E439320">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2D6F3A65">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6B08205F">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6353A62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秘书长专兼职</w:t>
            </w:r>
          </w:p>
        </w:tc>
        <w:tc>
          <w:tcPr>
            <w:tcW w:w="2868" w:type="pct"/>
            <w:tcBorders>
              <w:top w:val="nil"/>
              <w:left w:val="nil"/>
              <w:bottom w:val="single" w:color="auto" w:sz="4" w:space="0"/>
              <w:right w:val="single" w:color="auto" w:sz="4" w:space="0"/>
            </w:tcBorders>
            <w:noWrap w:val="0"/>
            <w:vAlign w:val="center"/>
          </w:tcPr>
          <w:p w14:paraId="44DE8945">
            <w:pPr>
              <w:widowControl/>
              <w:jc w:val="left"/>
              <w:rPr>
                <w:rFonts w:ascii="宋体" w:hAnsi="宋体" w:cs="宋体"/>
                <w:kern w:val="0"/>
                <w:sz w:val="22"/>
                <w:szCs w:val="22"/>
                <w:highlight w:val="none"/>
              </w:rPr>
            </w:pPr>
            <w:r>
              <w:rPr>
                <w:rFonts w:hint="eastAsia" w:ascii="宋体" w:hAnsi="宋体" w:cs="宋体"/>
                <w:kern w:val="0"/>
                <w:sz w:val="22"/>
                <w:szCs w:val="22"/>
                <w:highlight w:val="none"/>
              </w:rPr>
              <w:t>□设有专职秘书长，得1分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□秘书长为兼职，得0.5分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□秘书长为理事长（会长）、副理事长（副会长）兼任，得0.1分</w:t>
            </w:r>
          </w:p>
        </w:tc>
        <w:tc>
          <w:tcPr>
            <w:tcW w:w="283" w:type="pct"/>
            <w:tcBorders>
              <w:top w:val="nil"/>
              <w:left w:val="nil"/>
              <w:bottom w:val="single" w:color="auto" w:sz="4" w:space="0"/>
              <w:right w:val="single" w:color="auto" w:sz="4" w:space="0"/>
            </w:tcBorders>
            <w:noWrap/>
            <w:vAlign w:val="center"/>
          </w:tcPr>
          <w:p w14:paraId="2947E7A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03ABE1BB">
        <w:tblPrEx>
          <w:tblCellMar>
            <w:top w:w="0" w:type="dxa"/>
            <w:left w:w="108" w:type="dxa"/>
            <w:bottom w:w="0" w:type="dxa"/>
            <w:right w:w="108" w:type="dxa"/>
          </w:tblCellMar>
        </w:tblPrEx>
        <w:trPr>
          <w:trHeight w:val="1636" w:hRule="atLeast"/>
        </w:trPr>
        <w:tc>
          <w:tcPr>
            <w:tcW w:w="445" w:type="pct"/>
            <w:vMerge w:val="restart"/>
            <w:tcBorders>
              <w:top w:val="nil"/>
              <w:left w:val="single" w:color="auto" w:sz="4" w:space="0"/>
              <w:right w:val="single" w:color="auto" w:sz="4" w:space="0"/>
            </w:tcBorders>
            <w:noWrap w:val="0"/>
            <w:vAlign w:val="center"/>
          </w:tcPr>
          <w:p w14:paraId="2EA7FAA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7" w:type="pct"/>
            <w:tcBorders>
              <w:top w:val="nil"/>
              <w:left w:val="nil"/>
              <w:bottom w:val="single" w:color="auto" w:sz="4" w:space="0"/>
              <w:right w:val="single" w:color="auto" w:sz="4" w:space="0"/>
            </w:tcBorders>
            <w:noWrap w:val="0"/>
            <w:vAlign w:val="center"/>
          </w:tcPr>
          <w:p w14:paraId="02F115D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领导班子</w:t>
            </w:r>
            <w:r>
              <w:rPr>
                <w:rFonts w:hint="eastAsia" w:ascii="宋体" w:hAnsi="宋体" w:cs="宋体"/>
                <w:kern w:val="0"/>
                <w:sz w:val="22"/>
                <w:szCs w:val="22"/>
                <w:highlight w:val="none"/>
              </w:rPr>
              <w:br w:type="page"/>
            </w:r>
            <w:r>
              <w:rPr>
                <w:rFonts w:hint="eastAsia" w:ascii="宋体" w:hAnsi="宋体" w:cs="宋体"/>
                <w:kern w:val="0"/>
                <w:sz w:val="22"/>
                <w:szCs w:val="22"/>
                <w:highlight w:val="none"/>
              </w:rPr>
              <w:t>建设</w:t>
            </w:r>
          </w:p>
        </w:tc>
        <w:tc>
          <w:tcPr>
            <w:tcW w:w="458" w:type="pct"/>
            <w:tcBorders>
              <w:top w:val="nil"/>
              <w:left w:val="nil"/>
              <w:bottom w:val="single" w:color="auto" w:sz="4" w:space="0"/>
              <w:right w:val="single" w:color="auto" w:sz="4" w:space="0"/>
            </w:tcBorders>
            <w:noWrap w:val="0"/>
            <w:vAlign w:val="center"/>
          </w:tcPr>
          <w:p w14:paraId="03ED4A5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负责人</w:t>
            </w:r>
          </w:p>
        </w:tc>
        <w:tc>
          <w:tcPr>
            <w:tcW w:w="489" w:type="pct"/>
            <w:tcBorders>
              <w:top w:val="nil"/>
              <w:left w:val="nil"/>
              <w:bottom w:val="single" w:color="auto" w:sz="4" w:space="0"/>
              <w:right w:val="single" w:color="auto" w:sz="4" w:space="0"/>
            </w:tcBorders>
            <w:noWrap w:val="0"/>
            <w:vAlign w:val="center"/>
          </w:tcPr>
          <w:p w14:paraId="178D838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秘书长年度绩效考核</w:t>
            </w:r>
          </w:p>
        </w:tc>
        <w:tc>
          <w:tcPr>
            <w:tcW w:w="2868" w:type="pct"/>
            <w:tcBorders>
              <w:top w:val="nil"/>
              <w:left w:val="nil"/>
              <w:bottom w:val="single" w:color="auto" w:sz="4" w:space="0"/>
              <w:right w:val="single" w:color="auto" w:sz="4" w:space="0"/>
            </w:tcBorders>
            <w:noWrap w:val="0"/>
            <w:vAlign w:val="center"/>
          </w:tcPr>
          <w:p w14:paraId="485FA2DD">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□制定并执行秘书长年度绩效考核制度，且考核结果良好，得0.5分</w:t>
            </w:r>
          </w:p>
          <w:p w14:paraId="454C00D3">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□制定并执行秘书长年度绩效考核制度，考核结果一般，得0.1分</w:t>
            </w:r>
          </w:p>
          <w:p w14:paraId="6F2F0DA4">
            <w:pPr>
              <w:widowControl/>
              <w:jc w:val="left"/>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□未制定秘书长年度绩效考核制度，得0分</w:t>
            </w:r>
          </w:p>
        </w:tc>
        <w:tc>
          <w:tcPr>
            <w:tcW w:w="283" w:type="pct"/>
            <w:tcBorders>
              <w:top w:val="nil"/>
              <w:left w:val="nil"/>
              <w:bottom w:val="single" w:color="auto" w:sz="4" w:space="0"/>
              <w:right w:val="single" w:color="auto" w:sz="4" w:space="0"/>
            </w:tcBorders>
            <w:noWrap/>
            <w:vAlign w:val="center"/>
          </w:tcPr>
          <w:p w14:paraId="10162A3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395F0DC2">
        <w:tblPrEx>
          <w:tblCellMar>
            <w:top w:w="0" w:type="dxa"/>
            <w:left w:w="108" w:type="dxa"/>
            <w:bottom w:w="0" w:type="dxa"/>
            <w:right w:w="108" w:type="dxa"/>
          </w:tblCellMar>
        </w:tblPrEx>
        <w:trPr>
          <w:trHeight w:val="2676" w:hRule="atLeast"/>
        </w:trPr>
        <w:tc>
          <w:tcPr>
            <w:tcW w:w="445" w:type="pct"/>
            <w:vMerge w:val="continue"/>
            <w:tcBorders>
              <w:left w:val="single" w:color="auto" w:sz="4" w:space="0"/>
              <w:right w:val="single" w:color="auto" w:sz="4" w:space="0"/>
            </w:tcBorders>
            <w:noWrap w:val="0"/>
            <w:vAlign w:val="center"/>
          </w:tcPr>
          <w:p w14:paraId="60F55FA2">
            <w:pPr>
              <w:widowControl/>
              <w:jc w:val="left"/>
              <w:rPr>
                <w:rFonts w:ascii="宋体" w:hAnsi="宋体" w:cs="宋体"/>
                <w:kern w:val="0"/>
                <w:sz w:val="22"/>
                <w:szCs w:val="22"/>
                <w:highlight w:val="none"/>
              </w:rPr>
            </w:pPr>
          </w:p>
        </w:tc>
        <w:tc>
          <w:tcPr>
            <w:tcW w:w="457" w:type="pct"/>
            <w:vMerge w:val="restart"/>
            <w:tcBorders>
              <w:top w:val="nil"/>
              <w:left w:val="single" w:color="auto" w:sz="4" w:space="0"/>
              <w:right w:val="single" w:color="auto" w:sz="4" w:space="0"/>
            </w:tcBorders>
            <w:noWrap w:val="0"/>
            <w:vAlign w:val="center"/>
          </w:tcPr>
          <w:p w14:paraId="7AD3B0E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人力资源</w:t>
            </w:r>
          </w:p>
        </w:tc>
        <w:tc>
          <w:tcPr>
            <w:tcW w:w="458" w:type="pct"/>
            <w:vMerge w:val="restart"/>
            <w:tcBorders>
              <w:top w:val="nil"/>
              <w:left w:val="single" w:color="auto" w:sz="4" w:space="0"/>
              <w:bottom w:val="single" w:color="auto" w:sz="4" w:space="0"/>
              <w:right w:val="single" w:color="auto" w:sz="4" w:space="0"/>
            </w:tcBorders>
            <w:noWrap w:val="0"/>
            <w:vAlign w:val="center"/>
          </w:tcPr>
          <w:p w14:paraId="29B45E8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人才队伍</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建设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（15分）</w:t>
            </w:r>
          </w:p>
        </w:tc>
        <w:tc>
          <w:tcPr>
            <w:tcW w:w="489" w:type="pct"/>
            <w:tcBorders>
              <w:top w:val="nil"/>
              <w:left w:val="nil"/>
              <w:bottom w:val="single" w:color="auto" w:sz="4" w:space="0"/>
              <w:right w:val="single" w:color="auto" w:sz="4" w:space="0"/>
            </w:tcBorders>
            <w:noWrap w:val="0"/>
            <w:vAlign w:val="center"/>
          </w:tcPr>
          <w:p w14:paraId="44985F5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工作人员数</w:t>
            </w:r>
          </w:p>
        </w:tc>
        <w:tc>
          <w:tcPr>
            <w:tcW w:w="2868" w:type="pct"/>
            <w:tcBorders>
              <w:top w:val="nil"/>
              <w:left w:val="nil"/>
              <w:bottom w:val="single" w:color="auto" w:sz="4" w:space="0"/>
              <w:right w:val="single" w:color="auto" w:sz="4" w:space="0"/>
            </w:tcBorders>
            <w:noWrap w:val="0"/>
            <w:vAlign w:val="center"/>
          </w:tcPr>
          <w:p w14:paraId="0E18F10E">
            <w:pPr>
              <w:widowControl/>
              <w:jc w:val="left"/>
              <w:rPr>
                <w:rFonts w:ascii="宋体" w:hAnsi="宋体" w:cs="宋体"/>
                <w:kern w:val="0"/>
                <w:sz w:val="22"/>
                <w:szCs w:val="22"/>
                <w:highlight w:val="none"/>
              </w:rPr>
            </w:pPr>
            <w:r>
              <w:rPr>
                <w:rFonts w:hint="eastAsia" w:ascii="宋体" w:hAnsi="宋体" w:cs="宋体"/>
                <w:kern w:val="0"/>
                <w:sz w:val="22"/>
                <w:szCs w:val="22"/>
                <w:highlight w:val="none"/>
              </w:rPr>
              <w:t>□专职工作人员达到5人以上（含5人），得0.5分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□专职工作人员3～5人（含3人），得0.3分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□专职工作人员少于3人，得0.1分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□无专职工作人员，得0分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注：专职工作人员指在协会商会领取薪酬并建立劳动关系的工作人员。返聘、劳动关系在其他单位的工作人员，按50%赋分。</w:t>
            </w:r>
          </w:p>
        </w:tc>
        <w:tc>
          <w:tcPr>
            <w:tcW w:w="283" w:type="pct"/>
            <w:tcBorders>
              <w:top w:val="nil"/>
              <w:left w:val="nil"/>
              <w:bottom w:val="single" w:color="auto" w:sz="4" w:space="0"/>
              <w:right w:val="single" w:color="auto" w:sz="4" w:space="0"/>
            </w:tcBorders>
            <w:noWrap/>
            <w:vAlign w:val="center"/>
          </w:tcPr>
          <w:p w14:paraId="7EA4963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14308FD2">
        <w:tblPrEx>
          <w:tblCellMar>
            <w:top w:w="0" w:type="dxa"/>
            <w:left w:w="108" w:type="dxa"/>
            <w:bottom w:w="0" w:type="dxa"/>
            <w:right w:w="108" w:type="dxa"/>
          </w:tblCellMar>
        </w:tblPrEx>
        <w:trPr>
          <w:trHeight w:val="1691" w:hRule="atLeast"/>
        </w:trPr>
        <w:tc>
          <w:tcPr>
            <w:tcW w:w="445" w:type="pct"/>
            <w:vMerge w:val="continue"/>
            <w:tcBorders>
              <w:left w:val="single" w:color="auto" w:sz="4" w:space="0"/>
              <w:right w:val="single" w:color="auto" w:sz="4" w:space="0"/>
            </w:tcBorders>
            <w:noWrap w:val="0"/>
            <w:vAlign w:val="center"/>
          </w:tcPr>
          <w:p w14:paraId="563B1FC6">
            <w:pPr>
              <w:widowControl/>
              <w:jc w:val="left"/>
              <w:rPr>
                <w:rFonts w:ascii="宋体" w:hAnsi="宋体" w:cs="宋体"/>
                <w:kern w:val="0"/>
                <w:sz w:val="22"/>
                <w:szCs w:val="22"/>
                <w:highlight w:val="none"/>
              </w:rPr>
            </w:pPr>
          </w:p>
        </w:tc>
        <w:tc>
          <w:tcPr>
            <w:tcW w:w="457" w:type="pct"/>
            <w:vMerge w:val="continue"/>
            <w:tcBorders>
              <w:left w:val="single" w:color="auto" w:sz="4" w:space="0"/>
              <w:right w:val="single" w:color="auto" w:sz="4" w:space="0"/>
            </w:tcBorders>
            <w:noWrap w:val="0"/>
            <w:vAlign w:val="center"/>
          </w:tcPr>
          <w:p w14:paraId="4869F65A">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731D938A">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3984ECA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工作人员学历</w:t>
            </w:r>
          </w:p>
        </w:tc>
        <w:tc>
          <w:tcPr>
            <w:tcW w:w="2868" w:type="pct"/>
            <w:tcBorders>
              <w:top w:val="nil"/>
              <w:left w:val="nil"/>
              <w:bottom w:val="single" w:color="auto" w:sz="4" w:space="0"/>
              <w:right w:val="single" w:color="auto" w:sz="4" w:space="0"/>
            </w:tcBorders>
            <w:noWrap w:val="0"/>
            <w:vAlign w:val="center"/>
          </w:tcPr>
          <w:p w14:paraId="4258A9BC">
            <w:pPr>
              <w:widowControl/>
              <w:jc w:val="left"/>
              <w:rPr>
                <w:rFonts w:ascii="宋体" w:hAnsi="宋体" w:cs="宋体"/>
                <w:kern w:val="0"/>
                <w:sz w:val="22"/>
                <w:szCs w:val="22"/>
                <w:highlight w:val="none"/>
              </w:rPr>
            </w:pPr>
            <w:r>
              <w:rPr>
                <w:rFonts w:hint="eastAsia" w:ascii="宋体" w:hAnsi="宋体" w:cs="宋体"/>
                <w:kern w:val="0"/>
                <w:sz w:val="22"/>
                <w:szCs w:val="22"/>
                <w:highlight w:val="none"/>
              </w:rPr>
              <w:t>□本科以上学历达到70%，得0.4分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□本科以上学历达到50%，得0.2分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□本科以上学历低于50%，得0.1分</w:t>
            </w:r>
          </w:p>
        </w:tc>
        <w:tc>
          <w:tcPr>
            <w:tcW w:w="283" w:type="pct"/>
            <w:tcBorders>
              <w:top w:val="nil"/>
              <w:left w:val="nil"/>
              <w:bottom w:val="single" w:color="auto" w:sz="4" w:space="0"/>
              <w:right w:val="single" w:color="auto" w:sz="4" w:space="0"/>
            </w:tcBorders>
            <w:noWrap/>
            <w:vAlign w:val="center"/>
          </w:tcPr>
          <w:p w14:paraId="18C421A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0.4</w:t>
            </w:r>
          </w:p>
        </w:tc>
      </w:tr>
      <w:tr w14:paraId="03B0B0CD">
        <w:tblPrEx>
          <w:tblCellMar>
            <w:top w:w="0" w:type="dxa"/>
            <w:left w:w="108" w:type="dxa"/>
            <w:bottom w:w="0" w:type="dxa"/>
            <w:right w:w="108" w:type="dxa"/>
          </w:tblCellMar>
        </w:tblPrEx>
        <w:trPr>
          <w:trHeight w:val="1984" w:hRule="atLeast"/>
        </w:trPr>
        <w:tc>
          <w:tcPr>
            <w:tcW w:w="445" w:type="pct"/>
            <w:vMerge w:val="continue"/>
            <w:tcBorders>
              <w:left w:val="single" w:color="auto" w:sz="4" w:space="0"/>
              <w:bottom w:val="single" w:color="auto" w:sz="4" w:space="0"/>
              <w:right w:val="single" w:color="auto" w:sz="4" w:space="0"/>
            </w:tcBorders>
            <w:noWrap w:val="0"/>
            <w:vAlign w:val="center"/>
          </w:tcPr>
          <w:p w14:paraId="3CCEB5BC">
            <w:pPr>
              <w:widowControl/>
              <w:jc w:val="left"/>
              <w:rPr>
                <w:rFonts w:ascii="宋体" w:hAnsi="宋体" w:cs="宋体"/>
                <w:kern w:val="0"/>
                <w:sz w:val="22"/>
                <w:szCs w:val="22"/>
                <w:highlight w:val="none"/>
              </w:rPr>
            </w:pPr>
          </w:p>
        </w:tc>
        <w:tc>
          <w:tcPr>
            <w:tcW w:w="457" w:type="pct"/>
            <w:vMerge w:val="continue"/>
            <w:tcBorders>
              <w:left w:val="single" w:color="auto" w:sz="4" w:space="0"/>
              <w:bottom w:val="single" w:color="auto" w:sz="4" w:space="0"/>
              <w:right w:val="single" w:color="auto" w:sz="4" w:space="0"/>
            </w:tcBorders>
            <w:noWrap w:val="0"/>
            <w:vAlign w:val="center"/>
          </w:tcPr>
          <w:p w14:paraId="21AAAC0D">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7C093281">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4135086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人员培训</w:t>
            </w:r>
          </w:p>
        </w:tc>
        <w:tc>
          <w:tcPr>
            <w:tcW w:w="2868" w:type="pct"/>
            <w:tcBorders>
              <w:top w:val="nil"/>
              <w:left w:val="nil"/>
              <w:bottom w:val="single" w:color="auto" w:sz="4" w:space="0"/>
              <w:right w:val="single" w:color="auto" w:sz="4" w:space="0"/>
            </w:tcBorders>
            <w:noWrap w:val="0"/>
            <w:vAlign w:val="center"/>
          </w:tcPr>
          <w:p w14:paraId="59E0F58B">
            <w:pPr>
              <w:widowControl/>
              <w:jc w:val="left"/>
              <w:rPr>
                <w:rFonts w:ascii="宋体" w:hAnsi="宋体" w:cs="宋体"/>
                <w:kern w:val="0"/>
                <w:sz w:val="22"/>
                <w:szCs w:val="22"/>
                <w:highlight w:val="none"/>
              </w:rPr>
            </w:pPr>
            <w:r>
              <w:rPr>
                <w:rFonts w:hint="eastAsia" w:ascii="宋体" w:hAnsi="宋体" w:cs="宋体"/>
                <w:kern w:val="0"/>
                <w:sz w:val="22"/>
                <w:szCs w:val="22"/>
                <w:highlight w:val="none"/>
              </w:rPr>
              <w:t>上两个年度参加相关政府部门组织的业务培训：</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□10人次以上，得0.5分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□5人次以上，得0.3分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□3人次以上，得0.1分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□3人次以下，得0分</w:t>
            </w:r>
          </w:p>
        </w:tc>
        <w:tc>
          <w:tcPr>
            <w:tcW w:w="283" w:type="pct"/>
            <w:tcBorders>
              <w:top w:val="nil"/>
              <w:left w:val="nil"/>
              <w:bottom w:val="single" w:color="auto" w:sz="4" w:space="0"/>
              <w:right w:val="single" w:color="auto" w:sz="4" w:space="0"/>
            </w:tcBorders>
            <w:noWrap/>
            <w:vAlign w:val="center"/>
          </w:tcPr>
          <w:p w14:paraId="710D4BB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1EDB73BF">
        <w:tblPrEx>
          <w:tblCellMar>
            <w:top w:w="0" w:type="dxa"/>
            <w:left w:w="108" w:type="dxa"/>
            <w:bottom w:w="0" w:type="dxa"/>
            <w:right w:w="108" w:type="dxa"/>
          </w:tblCellMar>
        </w:tblPrEx>
        <w:trPr>
          <w:trHeight w:val="1099" w:hRule="atLeast"/>
        </w:trPr>
        <w:tc>
          <w:tcPr>
            <w:tcW w:w="445" w:type="pct"/>
            <w:vMerge w:val="restart"/>
            <w:tcBorders>
              <w:top w:val="single" w:color="auto" w:sz="4" w:space="0"/>
              <w:left w:val="single" w:color="auto" w:sz="4" w:space="0"/>
              <w:bottom w:val="single" w:color="auto" w:sz="4" w:space="0"/>
              <w:right w:val="single" w:color="auto" w:sz="4" w:space="0"/>
            </w:tcBorders>
            <w:noWrap w:val="0"/>
            <w:vAlign w:val="center"/>
          </w:tcPr>
          <w:p w14:paraId="02B6D198">
            <w:pPr>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7" w:type="pct"/>
            <w:vMerge w:val="restart"/>
            <w:tcBorders>
              <w:top w:val="single" w:color="auto" w:sz="4" w:space="0"/>
              <w:left w:val="single" w:color="auto" w:sz="4" w:space="0"/>
              <w:bottom w:val="single" w:color="auto" w:sz="4" w:space="0"/>
              <w:right w:val="single" w:color="auto" w:sz="4" w:space="0"/>
            </w:tcBorders>
            <w:noWrap w:val="0"/>
            <w:vAlign w:val="center"/>
          </w:tcPr>
          <w:p w14:paraId="5C8BD761">
            <w:pPr>
              <w:jc w:val="center"/>
              <w:rPr>
                <w:rFonts w:ascii="宋体" w:hAnsi="宋体" w:cs="宋体"/>
                <w:kern w:val="0"/>
                <w:sz w:val="22"/>
                <w:szCs w:val="22"/>
                <w:highlight w:val="none"/>
              </w:rPr>
            </w:pPr>
            <w:r>
              <w:rPr>
                <w:rFonts w:hint="eastAsia" w:ascii="宋体" w:hAnsi="宋体" w:cs="宋体"/>
                <w:kern w:val="0"/>
                <w:sz w:val="22"/>
                <w:szCs w:val="22"/>
                <w:highlight w:val="none"/>
              </w:rPr>
              <w:t>人力资源</w:t>
            </w:r>
          </w:p>
        </w:tc>
        <w:tc>
          <w:tcPr>
            <w:tcW w:w="458" w:type="pct"/>
            <w:vMerge w:val="restart"/>
            <w:tcBorders>
              <w:top w:val="single" w:color="auto" w:sz="4" w:space="0"/>
              <w:left w:val="single" w:color="auto" w:sz="4" w:space="0"/>
              <w:bottom w:val="single" w:color="auto" w:sz="4" w:space="0"/>
              <w:right w:val="single" w:color="auto" w:sz="4" w:space="0"/>
            </w:tcBorders>
            <w:noWrap w:val="0"/>
            <w:vAlign w:val="center"/>
          </w:tcPr>
          <w:p w14:paraId="55880B2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人事管理</w:t>
            </w:r>
          </w:p>
        </w:tc>
        <w:tc>
          <w:tcPr>
            <w:tcW w:w="489" w:type="pct"/>
            <w:tcBorders>
              <w:top w:val="nil"/>
              <w:left w:val="nil"/>
              <w:bottom w:val="single" w:color="auto" w:sz="4" w:space="0"/>
              <w:right w:val="single" w:color="auto" w:sz="4" w:space="0"/>
            </w:tcBorders>
            <w:noWrap w:val="0"/>
            <w:vAlign w:val="center"/>
          </w:tcPr>
          <w:p w14:paraId="49F7B4B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聘用制度</w:t>
            </w:r>
          </w:p>
        </w:tc>
        <w:tc>
          <w:tcPr>
            <w:tcW w:w="2868" w:type="pct"/>
            <w:tcBorders>
              <w:top w:val="nil"/>
              <w:left w:val="nil"/>
              <w:bottom w:val="single" w:color="auto" w:sz="4" w:space="0"/>
              <w:right w:val="single" w:color="auto" w:sz="4" w:space="0"/>
            </w:tcBorders>
            <w:noWrap w:val="0"/>
            <w:vAlign w:val="center"/>
          </w:tcPr>
          <w:p w14:paraId="3082E6BB">
            <w:pPr>
              <w:widowControl/>
              <w:jc w:val="left"/>
              <w:rPr>
                <w:rFonts w:ascii="宋体" w:hAnsi="宋体" w:cs="宋体"/>
                <w:kern w:val="0"/>
                <w:sz w:val="22"/>
                <w:szCs w:val="22"/>
                <w:highlight w:val="none"/>
              </w:rPr>
            </w:pPr>
            <w:r>
              <w:rPr>
                <w:rFonts w:hint="eastAsia" w:ascii="宋体" w:hAnsi="宋体" w:cs="宋体"/>
                <w:kern w:val="0"/>
                <w:sz w:val="22"/>
                <w:szCs w:val="22"/>
                <w:highlight w:val="none"/>
              </w:rPr>
              <w:t>□工作人员聘用管理制度详细，得0.5分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□工作人员聘用管理制度较为详细，得0.3分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□未制定工作人员聘用管理制度，得0分</w:t>
            </w:r>
          </w:p>
        </w:tc>
        <w:tc>
          <w:tcPr>
            <w:tcW w:w="283" w:type="pct"/>
            <w:tcBorders>
              <w:top w:val="nil"/>
              <w:left w:val="nil"/>
              <w:bottom w:val="single" w:color="auto" w:sz="4" w:space="0"/>
              <w:right w:val="single" w:color="auto" w:sz="4" w:space="0"/>
            </w:tcBorders>
            <w:noWrap/>
            <w:vAlign w:val="center"/>
          </w:tcPr>
          <w:p w14:paraId="6031717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529DC8AF">
        <w:tblPrEx>
          <w:tblCellMar>
            <w:top w:w="0" w:type="dxa"/>
            <w:left w:w="108" w:type="dxa"/>
            <w:bottom w:w="0" w:type="dxa"/>
            <w:right w:w="108" w:type="dxa"/>
          </w:tblCellMar>
        </w:tblPrEx>
        <w:trPr>
          <w:trHeight w:val="1080" w:hRule="atLeast"/>
        </w:trPr>
        <w:tc>
          <w:tcPr>
            <w:tcW w:w="445" w:type="pct"/>
            <w:vMerge w:val="continue"/>
            <w:tcBorders>
              <w:top w:val="single" w:color="auto" w:sz="4" w:space="0"/>
              <w:left w:val="single" w:color="auto" w:sz="4" w:space="0"/>
              <w:bottom w:val="single" w:color="auto" w:sz="4" w:space="0"/>
              <w:right w:val="single" w:color="auto" w:sz="4" w:space="0"/>
            </w:tcBorders>
            <w:noWrap w:val="0"/>
            <w:vAlign w:val="center"/>
          </w:tcPr>
          <w:p w14:paraId="51026C50">
            <w:pPr>
              <w:jc w:val="center"/>
              <w:rPr>
                <w:rFonts w:ascii="宋体" w:hAnsi="宋体" w:cs="宋体"/>
                <w:kern w:val="0"/>
                <w:sz w:val="22"/>
                <w:szCs w:val="22"/>
                <w:highlight w:val="none"/>
              </w:rPr>
            </w:pPr>
          </w:p>
        </w:tc>
        <w:tc>
          <w:tcPr>
            <w:tcW w:w="457" w:type="pct"/>
            <w:vMerge w:val="continue"/>
            <w:tcBorders>
              <w:top w:val="single" w:color="auto" w:sz="4" w:space="0"/>
              <w:left w:val="single" w:color="auto" w:sz="4" w:space="0"/>
              <w:bottom w:val="single" w:color="auto" w:sz="4" w:space="0"/>
              <w:right w:val="single" w:color="auto" w:sz="4" w:space="0"/>
            </w:tcBorders>
            <w:noWrap w:val="0"/>
            <w:vAlign w:val="center"/>
          </w:tcPr>
          <w:p w14:paraId="3759CEEF">
            <w:pPr>
              <w:jc w:val="center"/>
              <w:rPr>
                <w:rFonts w:ascii="宋体" w:hAnsi="宋体" w:cs="宋体"/>
                <w:kern w:val="0"/>
                <w:sz w:val="22"/>
                <w:szCs w:val="22"/>
                <w:highlight w:val="none"/>
              </w:rPr>
            </w:pPr>
          </w:p>
        </w:tc>
        <w:tc>
          <w:tcPr>
            <w:tcW w:w="458" w:type="pct"/>
            <w:vMerge w:val="continue"/>
            <w:tcBorders>
              <w:top w:val="single" w:color="auto" w:sz="4" w:space="0"/>
              <w:left w:val="single" w:color="auto" w:sz="4" w:space="0"/>
              <w:bottom w:val="single" w:color="auto" w:sz="4" w:space="0"/>
              <w:right w:val="single" w:color="auto" w:sz="4" w:space="0"/>
            </w:tcBorders>
            <w:noWrap w:val="0"/>
            <w:vAlign w:val="center"/>
          </w:tcPr>
          <w:p w14:paraId="19788C87">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62C1528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奖惩制度</w:t>
            </w:r>
          </w:p>
        </w:tc>
        <w:tc>
          <w:tcPr>
            <w:tcW w:w="2868" w:type="pct"/>
            <w:tcBorders>
              <w:top w:val="nil"/>
              <w:left w:val="nil"/>
              <w:bottom w:val="single" w:color="auto" w:sz="4" w:space="0"/>
              <w:right w:val="single" w:color="auto" w:sz="4" w:space="0"/>
            </w:tcBorders>
            <w:noWrap w:val="0"/>
            <w:vAlign w:val="center"/>
          </w:tcPr>
          <w:p w14:paraId="612C1884">
            <w:pPr>
              <w:widowControl/>
              <w:jc w:val="left"/>
              <w:rPr>
                <w:rFonts w:ascii="宋体" w:hAnsi="宋体" w:cs="宋体"/>
                <w:kern w:val="0"/>
                <w:sz w:val="22"/>
                <w:szCs w:val="22"/>
                <w:highlight w:val="none"/>
              </w:rPr>
            </w:pPr>
            <w:r>
              <w:rPr>
                <w:rFonts w:hint="eastAsia" w:ascii="宋体" w:hAnsi="宋体" w:cs="宋体"/>
                <w:kern w:val="0"/>
                <w:sz w:val="22"/>
                <w:szCs w:val="22"/>
                <w:highlight w:val="none"/>
              </w:rPr>
              <w:t>□工作人员奖惩制度详细，得0.5分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□工作人员奖惩制度较为详细，得0.3分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□未制定工作人员奖惩制度，得0分</w:t>
            </w:r>
          </w:p>
        </w:tc>
        <w:tc>
          <w:tcPr>
            <w:tcW w:w="283" w:type="pct"/>
            <w:tcBorders>
              <w:top w:val="nil"/>
              <w:left w:val="nil"/>
              <w:bottom w:val="single" w:color="auto" w:sz="4" w:space="0"/>
              <w:right w:val="single" w:color="auto" w:sz="4" w:space="0"/>
            </w:tcBorders>
            <w:noWrap/>
            <w:vAlign w:val="center"/>
          </w:tcPr>
          <w:p w14:paraId="4680E31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2FCB6EE6">
        <w:tblPrEx>
          <w:tblCellMar>
            <w:top w:w="0" w:type="dxa"/>
            <w:left w:w="108" w:type="dxa"/>
            <w:bottom w:w="0" w:type="dxa"/>
            <w:right w:w="108" w:type="dxa"/>
          </w:tblCellMar>
        </w:tblPrEx>
        <w:trPr>
          <w:trHeight w:val="1200" w:hRule="atLeast"/>
        </w:trPr>
        <w:tc>
          <w:tcPr>
            <w:tcW w:w="445" w:type="pct"/>
            <w:vMerge w:val="continue"/>
            <w:tcBorders>
              <w:top w:val="single" w:color="auto" w:sz="4" w:space="0"/>
              <w:left w:val="single" w:color="auto" w:sz="4" w:space="0"/>
              <w:bottom w:val="single" w:color="auto" w:sz="4" w:space="0"/>
              <w:right w:val="single" w:color="auto" w:sz="4" w:space="0"/>
            </w:tcBorders>
            <w:noWrap w:val="0"/>
            <w:vAlign w:val="center"/>
          </w:tcPr>
          <w:p w14:paraId="109D8D23">
            <w:pPr>
              <w:jc w:val="center"/>
              <w:rPr>
                <w:rFonts w:ascii="宋体" w:hAnsi="宋体" w:cs="宋体"/>
                <w:kern w:val="0"/>
                <w:sz w:val="22"/>
                <w:szCs w:val="22"/>
                <w:highlight w:val="none"/>
              </w:rPr>
            </w:pPr>
          </w:p>
        </w:tc>
        <w:tc>
          <w:tcPr>
            <w:tcW w:w="457" w:type="pct"/>
            <w:vMerge w:val="continue"/>
            <w:tcBorders>
              <w:top w:val="single" w:color="auto" w:sz="4" w:space="0"/>
              <w:left w:val="single" w:color="auto" w:sz="4" w:space="0"/>
              <w:bottom w:val="single" w:color="auto" w:sz="4" w:space="0"/>
              <w:right w:val="single" w:color="auto" w:sz="4" w:space="0"/>
            </w:tcBorders>
            <w:noWrap w:val="0"/>
            <w:vAlign w:val="center"/>
          </w:tcPr>
          <w:p w14:paraId="75A6D424">
            <w:pPr>
              <w:jc w:val="center"/>
              <w:rPr>
                <w:rFonts w:ascii="宋体" w:hAnsi="宋体" w:cs="宋体"/>
                <w:kern w:val="0"/>
                <w:sz w:val="22"/>
                <w:szCs w:val="22"/>
                <w:highlight w:val="none"/>
              </w:rPr>
            </w:pPr>
          </w:p>
        </w:tc>
        <w:tc>
          <w:tcPr>
            <w:tcW w:w="458" w:type="pct"/>
            <w:vMerge w:val="continue"/>
            <w:tcBorders>
              <w:top w:val="single" w:color="auto" w:sz="4" w:space="0"/>
              <w:left w:val="single" w:color="auto" w:sz="4" w:space="0"/>
              <w:bottom w:val="single" w:color="auto" w:sz="4" w:space="0"/>
              <w:right w:val="single" w:color="auto" w:sz="4" w:space="0"/>
            </w:tcBorders>
            <w:noWrap w:val="0"/>
            <w:vAlign w:val="center"/>
          </w:tcPr>
          <w:p w14:paraId="2E2E23E2">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61F22B6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薪酬制度</w:t>
            </w:r>
          </w:p>
        </w:tc>
        <w:tc>
          <w:tcPr>
            <w:tcW w:w="2868" w:type="pct"/>
            <w:tcBorders>
              <w:top w:val="nil"/>
              <w:left w:val="nil"/>
              <w:bottom w:val="single" w:color="auto" w:sz="4" w:space="0"/>
              <w:right w:val="single" w:color="auto" w:sz="4" w:space="0"/>
            </w:tcBorders>
            <w:noWrap w:val="0"/>
            <w:vAlign w:val="center"/>
          </w:tcPr>
          <w:p w14:paraId="331377C8">
            <w:pPr>
              <w:widowControl/>
              <w:jc w:val="left"/>
              <w:rPr>
                <w:rFonts w:ascii="宋体" w:hAnsi="宋体" w:cs="宋体"/>
                <w:kern w:val="0"/>
                <w:sz w:val="22"/>
                <w:szCs w:val="22"/>
                <w:highlight w:val="none"/>
              </w:rPr>
            </w:pPr>
            <w:r>
              <w:rPr>
                <w:rFonts w:hint="eastAsia" w:ascii="宋体" w:hAnsi="宋体" w:cs="宋体"/>
                <w:kern w:val="0"/>
                <w:sz w:val="22"/>
                <w:szCs w:val="22"/>
                <w:highlight w:val="none"/>
              </w:rPr>
              <w:t>□建立完善、合理的薪酬管理制度，得0.5分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□薪酬管理制度较为简单，得0.3分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□未建立薪酬管理制度，得0分</w:t>
            </w:r>
          </w:p>
        </w:tc>
        <w:tc>
          <w:tcPr>
            <w:tcW w:w="283" w:type="pct"/>
            <w:tcBorders>
              <w:top w:val="nil"/>
              <w:left w:val="nil"/>
              <w:bottom w:val="single" w:color="auto" w:sz="4" w:space="0"/>
              <w:right w:val="single" w:color="auto" w:sz="4" w:space="0"/>
            </w:tcBorders>
            <w:noWrap/>
            <w:vAlign w:val="center"/>
          </w:tcPr>
          <w:p w14:paraId="76BA598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7C3EF2E4">
        <w:tblPrEx>
          <w:tblCellMar>
            <w:top w:w="0" w:type="dxa"/>
            <w:left w:w="108" w:type="dxa"/>
            <w:bottom w:w="0" w:type="dxa"/>
            <w:right w:w="108" w:type="dxa"/>
          </w:tblCellMar>
        </w:tblPrEx>
        <w:trPr>
          <w:trHeight w:val="1320" w:hRule="atLeast"/>
        </w:trPr>
        <w:tc>
          <w:tcPr>
            <w:tcW w:w="445" w:type="pct"/>
            <w:vMerge w:val="continue"/>
            <w:tcBorders>
              <w:top w:val="single" w:color="auto" w:sz="4" w:space="0"/>
              <w:left w:val="single" w:color="auto" w:sz="4" w:space="0"/>
              <w:bottom w:val="single" w:color="auto" w:sz="4" w:space="0"/>
              <w:right w:val="single" w:color="auto" w:sz="4" w:space="0"/>
            </w:tcBorders>
            <w:noWrap w:val="0"/>
            <w:vAlign w:val="center"/>
          </w:tcPr>
          <w:p w14:paraId="35A8DADE">
            <w:pPr>
              <w:widowControl/>
              <w:jc w:val="center"/>
              <w:rPr>
                <w:rFonts w:ascii="宋体" w:hAnsi="宋体" w:cs="宋体"/>
                <w:kern w:val="0"/>
                <w:sz w:val="22"/>
                <w:szCs w:val="22"/>
                <w:highlight w:val="none"/>
              </w:rPr>
            </w:pPr>
          </w:p>
        </w:tc>
        <w:tc>
          <w:tcPr>
            <w:tcW w:w="457" w:type="pct"/>
            <w:vMerge w:val="continue"/>
            <w:tcBorders>
              <w:top w:val="single" w:color="auto" w:sz="4" w:space="0"/>
              <w:left w:val="single" w:color="auto" w:sz="4" w:space="0"/>
              <w:bottom w:val="single" w:color="auto" w:sz="4" w:space="0"/>
              <w:right w:val="single" w:color="auto" w:sz="4" w:space="0"/>
            </w:tcBorders>
            <w:noWrap w:val="0"/>
            <w:vAlign w:val="center"/>
          </w:tcPr>
          <w:p w14:paraId="7E83C5C4">
            <w:pPr>
              <w:widowControl/>
              <w:jc w:val="center"/>
              <w:rPr>
                <w:rFonts w:ascii="宋体" w:hAnsi="宋体" w:cs="宋体"/>
                <w:kern w:val="0"/>
                <w:sz w:val="22"/>
                <w:szCs w:val="22"/>
                <w:highlight w:val="none"/>
              </w:rPr>
            </w:pPr>
          </w:p>
        </w:tc>
        <w:tc>
          <w:tcPr>
            <w:tcW w:w="458" w:type="pct"/>
            <w:vMerge w:val="restart"/>
            <w:tcBorders>
              <w:top w:val="single" w:color="auto" w:sz="4" w:space="0"/>
              <w:left w:val="single" w:color="auto" w:sz="4" w:space="0"/>
              <w:bottom w:val="single" w:color="auto" w:sz="4" w:space="0"/>
              <w:right w:val="single" w:color="auto" w:sz="4" w:space="0"/>
            </w:tcBorders>
            <w:noWrap w:val="0"/>
            <w:vAlign w:val="center"/>
          </w:tcPr>
          <w:p w14:paraId="20AB338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人事管理</w:t>
            </w:r>
          </w:p>
        </w:tc>
        <w:tc>
          <w:tcPr>
            <w:tcW w:w="489" w:type="pct"/>
            <w:tcBorders>
              <w:top w:val="nil"/>
              <w:left w:val="nil"/>
              <w:bottom w:val="single" w:color="auto" w:sz="4" w:space="0"/>
              <w:right w:val="single" w:color="auto" w:sz="4" w:space="0"/>
            </w:tcBorders>
            <w:noWrap w:val="0"/>
            <w:vAlign w:val="center"/>
          </w:tcPr>
          <w:p w14:paraId="5A2BFD8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劳动合同</w:t>
            </w:r>
          </w:p>
        </w:tc>
        <w:tc>
          <w:tcPr>
            <w:tcW w:w="2868" w:type="pct"/>
            <w:tcBorders>
              <w:top w:val="nil"/>
              <w:left w:val="nil"/>
              <w:bottom w:val="single" w:color="auto" w:sz="4" w:space="0"/>
              <w:right w:val="single" w:color="auto" w:sz="4" w:space="0"/>
            </w:tcBorders>
            <w:noWrap w:val="0"/>
            <w:vAlign w:val="center"/>
          </w:tcPr>
          <w:p w14:paraId="5A144AC9">
            <w:pPr>
              <w:widowControl/>
              <w:jc w:val="left"/>
              <w:rPr>
                <w:rFonts w:ascii="宋体" w:hAnsi="宋体" w:cs="宋体"/>
                <w:kern w:val="0"/>
                <w:sz w:val="22"/>
                <w:szCs w:val="22"/>
                <w:highlight w:val="none"/>
              </w:rPr>
            </w:pPr>
            <w:r>
              <w:rPr>
                <w:rFonts w:hint="eastAsia" w:ascii="宋体" w:hAnsi="宋体" w:cs="宋体"/>
                <w:kern w:val="0"/>
                <w:sz w:val="22"/>
                <w:szCs w:val="22"/>
                <w:highlight w:val="none"/>
              </w:rPr>
              <w:t>□与全部专职工作人员签订劳动合同，得0.5分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□与部分专职工作人员签订劳动合同，得0.3分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□未与专职工作人员签订劳动合同，得0分</w:t>
            </w:r>
          </w:p>
        </w:tc>
        <w:tc>
          <w:tcPr>
            <w:tcW w:w="283" w:type="pct"/>
            <w:tcBorders>
              <w:top w:val="nil"/>
              <w:left w:val="nil"/>
              <w:bottom w:val="single" w:color="auto" w:sz="4" w:space="0"/>
              <w:right w:val="single" w:color="auto" w:sz="4" w:space="0"/>
            </w:tcBorders>
            <w:noWrap/>
            <w:vAlign w:val="center"/>
          </w:tcPr>
          <w:p w14:paraId="512F3BB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4E4FBE58">
        <w:tblPrEx>
          <w:tblCellMar>
            <w:top w:w="0" w:type="dxa"/>
            <w:left w:w="108" w:type="dxa"/>
            <w:bottom w:w="0" w:type="dxa"/>
            <w:right w:w="108" w:type="dxa"/>
          </w:tblCellMar>
        </w:tblPrEx>
        <w:trPr>
          <w:trHeight w:val="1620" w:hRule="atLeast"/>
        </w:trPr>
        <w:tc>
          <w:tcPr>
            <w:tcW w:w="445" w:type="pct"/>
            <w:vMerge w:val="continue"/>
            <w:tcBorders>
              <w:top w:val="single" w:color="auto" w:sz="4" w:space="0"/>
              <w:left w:val="single" w:color="auto" w:sz="4" w:space="0"/>
              <w:bottom w:val="single" w:color="auto" w:sz="4" w:space="0"/>
              <w:right w:val="single" w:color="auto" w:sz="4" w:space="0"/>
            </w:tcBorders>
            <w:noWrap w:val="0"/>
            <w:vAlign w:val="center"/>
          </w:tcPr>
          <w:p w14:paraId="48E40EA7">
            <w:pPr>
              <w:widowControl/>
              <w:jc w:val="left"/>
              <w:rPr>
                <w:rFonts w:ascii="宋体" w:hAnsi="宋体" w:cs="宋体"/>
                <w:kern w:val="0"/>
                <w:sz w:val="22"/>
                <w:szCs w:val="22"/>
                <w:highlight w:val="none"/>
              </w:rPr>
            </w:pPr>
          </w:p>
        </w:tc>
        <w:tc>
          <w:tcPr>
            <w:tcW w:w="457" w:type="pct"/>
            <w:vMerge w:val="continue"/>
            <w:tcBorders>
              <w:top w:val="single" w:color="auto" w:sz="4" w:space="0"/>
              <w:left w:val="single" w:color="auto" w:sz="4" w:space="0"/>
              <w:bottom w:val="single" w:color="auto" w:sz="4" w:space="0"/>
              <w:right w:val="single" w:color="auto" w:sz="4" w:space="0"/>
            </w:tcBorders>
            <w:noWrap w:val="0"/>
            <w:vAlign w:val="center"/>
          </w:tcPr>
          <w:p w14:paraId="46BEEFD9">
            <w:pPr>
              <w:widowControl/>
              <w:jc w:val="left"/>
              <w:rPr>
                <w:rFonts w:ascii="宋体" w:hAnsi="宋体" w:cs="宋体"/>
                <w:kern w:val="0"/>
                <w:sz w:val="22"/>
                <w:szCs w:val="22"/>
                <w:highlight w:val="none"/>
              </w:rPr>
            </w:pPr>
          </w:p>
        </w:tc>
        <w:tc>
          <w:tcPr>
            <w:tcW w:w="458" w:type="pct"/>
            <w:vMerge w:val="continue"/>
            <w:tcBorders>
              <w:top w:val="single" w:color="auto" w:sz="4" w:space="0"/>
              <w:left w:val="single" w:color="auto" w:sz="4" w:space="0"/>
              <w:bottom w:val="single" w:color="auto" w:sz="4" w:space="0"/>
              <w:right w:val="single" w:color="auto" w:sz="4" w:space="0"/>
            </w:tcBorders>
            <w:noWrap w:val="0"/>
            <w:vAlign w:val="center"/>
          </w:tcPr>
          <w:p w14:paraId="0CA27742">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6F80BDC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社会保险和住房公积金</w:t>
            </w:r>
          </w:p>
        </w:tc>
        <w:tc>
          <w:tcPr>
            <w:tcW w:w="2868" w:type="pct"/>
            <w:tcBorders>
              <w:top w:val="nil"/>
              <w:left w:val="nil"/>
              <w:bottom w:val="single" w:color="auto" w:sz="4" w:space="0"/>
              <w:right w:val="single" w:color="auto" w:sz="4" w:space="0"/>
            </w:tcBorders>
            <w:noWrap w:val="0"/>
            <w:vAlign w:val="center"/>
          </w:tcPr>
          <w:p w14:paraId="180A49D8">
            <w:pPr>
              <w:widowControl/>
              <w:jc w:val="left"/>
              <w:rPr>
                <w:rFonts w:ascii="宋体" w:hAnsi="宋体" w:cs="宋体"/>
                <w:kern w:val="0"/>
                <w:sz w:val="22"/>
                <w:szCs w:val="22"/>
                <w:highlight w:val="none"/>
              </w:rPr>
            </w:pPr>
            <w:r>
              <w:rPr>
                <w:rFonts w:hint="eastAsia" w:ascii="宋体" w:hAnsi="宋体" w:cs="宋体"/>
                <w:kern w:val="0"/>
                <w:sz w:val="22"/>
                <w:szCs w:val="22"/>
                <w:highlight w:val="none"/>
              </w:rPr>
              <w:t>□为全部专职工作人员缴纳五险一金，得0.5分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□为部分专职工作人员缴纳五险一金，或险种缴纳不全，得0.3分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□未开立五险一金账户，得0分</w:t>
            </w:r>
          </w:p>
        </w:tc>
        <w:tc>
          <w:tcPr>
            <w:tcW w:w="283" w:type="pct"/>
            <w:tcBorders>
              <w:top w:val="nil"/>
              <w:left w:val="nil"/>
              <w:bottom w:val="single" w:color="auto" w:sz="4" w:space="0"/>
              <w:right w:val="single" w:color="auto" w:sz="4" w:space="0"/>
            </w:tcBorders>
            <w:noWrap/>
            <w:vAlign w:val="center"/>
          </w:tcPr>
          <w:p w14:paraId="3243973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7DC93589">
        <w:tblPrEx>
          <w:tblCellMar>
            <w:top w:w="0" w:type="dxa"/>
            <w:left w:w="108" w:type="dxa"/>
            <w:bottom w:w="0" w:type="dxa"/>
            <w:right w:w="108" w:type="dxa"/>
          </w:tblCellMar>
        </w:tblPrEx>
        <w:trPr>
          <w:trHeight w:val="1800" w:hRule="atLeast"/>
        </w:trPr>
        <w:tc>
          <w:tcPr>
            <w:tcW w:w="445" w:type="pct"/>
            <w:vMerge w:val="continue"/>
            <w:tcBorders>
              <w:top w:val="single" w:color="auto" w:sz="4" w:space="0"/>
              <w:left w:val="single" w:color="auto" w:sz="4" w:space="0"/>
              <w:bottom w:val="single" w:color="auto" w:sz="4" w:space="0"/>
              <w:right w:val="single" w:color="auto" w:sz="4" w:space="0"/>
            </w:tcBorders>
            <w:noWrap w:val="0"/>
            <w:vAlign w:val="center"/>
          </w:tcPr>
          <w:p w14:paraId="6086578C">
            <w:pPr>
              <w:widowControl/>
              <w:jc w:val="left"/>
              <w:rPr>
                <w:rFonts w:ascii="宋体" w:hAnsi="宋体" w:cs="宋体"/>
                <w:kern w:val="0"/>
                <w:sz w:val="22"/>
                <w:szCs w:val="22"/>
                <w:highlight w:val="none"/>
              </w:rPr>
            </w:pPr>
          </w:p>
        </w:tc>
        <w:tc>
          <w:tcPr>
            <w:tcW w:w="457" w:type="pct"/>
            <w:tcBorders>
              <w:top w:val="single" w:color="auto" w:sz="4" w:space="0"/>
              <w:left w:val="single" w:color="auto" w:sz="4" w:space="0"/>
              <w:bottom w:val="single" w:color="auto" w:sz="4" w:space="0"/>
              <w:right w:val="single" w:color="auto" w:sz="4" w:space="0"/>
            </w:tcBorders>
            <w:noWrap w:val="0"/>
            <w:vAlign w:val="center"/>
          </w:tcPr>
          <w:p w14:paraId="1085A3E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58" w:type="pct"/>
            <w:tcBorders>
              <w:top w:val="single" w:color="auto" w:sz="4" w:space="0"/>
              <w:left w:val="single" w:color="auto" w:sz="4" w:space="0"/>
              <w:bottom w:val="single" w:color="auto" w:sz="4" w:space="0"/>
              <w:right w:val="single" w:color="auto" w:sz="4" w:space="0"/>
            </w:tcBorders>
            <w:noWrap w:val="0"/>
            <w:vAlign w:val="center"/>
          </w:tcPr>
          <w:p w14:paraId="29A31BA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会计人员和会计机构</w:t>
            </w:r>
          </w:p>
        </w:tc>
        <w:tc>
          <w:tcPr>
            <w:tcW w:w="489" w:type="pct"/>
            <w:tcBorders>
              <w:top w:val="nil"/>
              <w:left w:val="nil"/>
              <w:bottom w:val="single" w:color="auto" w:sz="4" w:space="0"/>
              <w:right w:val="single" w:color="auto" w:sz="4" w:space="0"/>
            </w:tcBorders>
            <w:noWrap w:val="0"/>
            <w:vAlign w:val="center"/>
          </w:tcPr>
          <w:p w14:paraId="0120173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会计人员配备</w:t>
            </w:r>
          </w:p>
        </w:tc>
        <w:tc>
          <w:tcPr>
            <w:tcW w:w="2868" w:type="pct"/>
            <w:tcBorders>
              <w:top w:val="nil"/>
              <w:left w:val="nil"/>
              <w:bottom w:val="single" w:color="auto" w:sz="4" w:space="0"/>
              <w:right w:val="single" w:color="auto" w:sz="4" w:space="0"/>
            </w:tcBorders>
            <w:noWrap w:val="0"/>
            <w:vAlign w:val="center"/>
          </w:tcPr>
          <w:p w14:paraId="09A30A83">
            <w:pPr>
              <w:widowControl/>
              <w:jc w:val="left"/>
              <w:rPr>
                <w:rFonts w:ascii="宋体" w:hAnsi="宋体" w:cs="宋体"/>
                <w:kern w:val="0"/>
                <w:sz w:val="22"/>
                <w:szCs w:val="22"/>
                <w:highlight w:val="none"/>
              </w:rPr>
            </w:pPr>
            <w:r>
              <w:rPr>
                <w:rFonts w:hint="eastAsia" w:ascii="宋体" w:hAnsi="宋体" w:cs="宋体"/>
                <w:kern w:val="0"/>
                <w:sz w:val="22"/>
                <w:szCs w:val="22"/>
                <w:highlight w:val="none"/>
              </w:rPr>
              <w:t>□配备2名以上具有会计证的专职工作人员担任会计，得0.2分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□会计人员未全部具有会计证，得0.1分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□由主管（挂靠）、代理记账公司等代理记账、或外单位人员兼任会计，得0分</w:t>
            </w:r>
          </w:p>
        </w:tc>
        <w:tc>
          <w:tcPr>
            <w:tcW w:w="283" w:type="pct"/>
            <w:tcBorders>
              <w:top w:val="nil"/>
              <w:left w:val="nil"/>
              <w:bottom w:val="single" w:color="auto" w:sz="4" w:space="0"/>
              <w:right w:val="single" w:color="auto" w:sz="4" w:space="0"/>
            </w:tcBorders>
            <w:noWrap/>
            <w:vAlign w:val="center"/>
          </w:tcPr>
          <w:p w14:paraId="24033E8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0.2</w:t>
            </w:r>
          </w:p>
        </w:tc>
      </w:tr>
      <w:tr w14:paraId="2802F0D7">
        <w:tblPrEx>
          <w:tblCellMar>
            <w:top w:w="0" w:type="dxa"/>
            <w:left w:w="108" w:type="dxa"/>
            <w:bottom w:w="0" w:type="dxa"/>
            <w:right w:w="108" w:type="dxa"/>
          </w:tblCellMar>
        </w:tblPrEx>
        <w:trPr>
          <w:trHeight w:val="8165" w:hRule="atLeast"/>
        </w:trPr>
        <w:tc>
          <w:tcPr>
            <w:tcW w:w="445" w:type="pct"/>
            <w:tcBorders>
              <w:top w:val="single" w:color="auto" w:sz="4" w:space="0"/>
              <w:left w:val="single" w:color="auto" w:sz="4" w:space="0"/>
              <w:bottom w:val="single" w:color="auto" w:sz="4" w:space="0"/>
              <w:right w:val="single" w:color="auto" w:sz="4" w:space="0"/>
            </w:tcBorders>
            <w:noWrap w:val="0"/>
            <w:vAlign w:val="center"/>
          </w:tcPr>
          <w:p w14:paraId="773577B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7" w:type="pct"/>
            <w:tcBorders>
              <w:top w:val="single" w:color="auto" w:sz="4" w:space="0"/>
              <w:left w:val="single" w:color="auto" w:sz="4" w:space="0"/>
              <w:bottom w:val="single" w:color="auto" w:sz="4" w:space="0"/>
              <w:right w:val="single" w:color="auto" w:sz="4" w:space="0"/>
            </w:tcBorders>
            <w:noWrap w:val="0"/>
            <w:vAlign w:val="center"/>
          </w:tcPr>
          <w:p w14:paraId="170EB7A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58" w:type="pct"/>
            <w:tcBorders>
              <w:top w:val="single" w:color="auto" w:sz="4" w:space="0"/>
              <w:left w:val="single" w:color="auto" w:sz="4" w:space="0"/>
              <w:bottom w:val="single" w:color="auto" w:sz="4" w:space="0"/>
              <w:right w:val="single" w:color="auto" w:sz="4" w:space="0"/>
            </w:tcBorders>
            <w:noWrap w:val="0"/>
            <w:vAlign w:val="center"/>
          </w:tcPr>
          <w:p w14:paraId="668E7F4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会计人员和会计机构</w:t>
            </w:r>
          </w:p>
        </w:tc>
        <w:tc>
          <w:tcPr>
            <w:tcW w:w="489" w:type="pct"/>
            <w:tcBorders>
              <w:top w:val="nil"/>
              <w:left w:val="nil"/>
              <w:bottom w:val="single" w:color="auto" w:sz="4" w:space="0"/>
              <w:right w:val="single" w:color="auto" w:sz="4" w:space="0"/>
            </w:tcBorders>
            <w:noWrap w:val="0"/>
            <w:vAlign w:val="center"/>
          </w:tcPr>
          <w:p w14:paraId="572981A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会计人员岗位职责和会计机构负责人</w:t>
            </w:r>
          </w:p>
        </w:tc>
        <w:tc>
          <w:tcPr>
            <w:tcW w:w="2868" w:type="pct"/>
            <w:tcBorders>
              <w:top w:val="nil"/>
              <w:left w:val="nil"/>
              <w:bottom w:val="single" w:color="auto" w:sz="4" w:space="0"/>
              <w:right w:val="single" w:color="auto" w:sz="4" w:space="0"/>
            </w:tcBorders>
            <w:noWrap w:val="0"/>
            <w:vAlign w:val="center"/>
          </w:tcPr>
          <w:p w14:paraId="1721651E">
            <w:pPr>
              <w:widowControl/>
              <w:jc w:val="left"/>
              <w:rPr>
                <w:rFonts w:ascii="宋体" w:hAnsi="宋体" w:cs="宋体"/>
                <w:kern w:val="0"/>
                <w:sz w:val="22"/>
                <w:szCs w:val="22"/>
                <w:highlight w:val="none"/>
              </w:rPr>
            </w:pPr>
            <w:r>
              <w:rPr>
                <w:rFonts w:hint="eastAsia" w:ascii="宋体" w:hAnsi="宋体" w:cs="宋体"/>
                <w:kern w:val="0"/>
                <w:sz w:val="22"/>
                <w:szCs w:val="22"/>
                <w:highlight w:val="none"/>
              </w:rPr>
              <w:t>会计人员岗位职责落实情况：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□会计岗位设置合理且各个岗位会计人员的职责明确，得0.1分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□会计岗位设置不合理或岗位职责不明确，得0分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□会计、出纳岗位由不同人员担任，分工明确，得0.1分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□会计、出纳岗位未分设，分工不明确，得0分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□上两个年度及本年度发生会计人员变动的，交接手续齐全或上两个年度及本年度未发生会计人员变动的，得0.1分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□上两个年度及本年度发生会计人员变动的，交接手续不全，得0分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会计负责人职称情况：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□会计负责人（或主管会计）具有会计师（或审计师）以上职称，得0.2分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□会计负责人（或主管会计）具有助理会计师（或助理审计师）以上职称，得0.1分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□会计负责人（或主管会计）无职称，得0分</w:t>
            </w:r>
          </w:p>
        </w:tc>
        <w:tc>
          <w:tcPr>
            <w:tcW w:w="283" w:type="pct"/>
            <w:tcBorders>
              <w:top w:val="nil"/>
              <w:left w:val="nil"/>
              <w:bottom w:val="single" w:color="auto" w:sz="4" w:space="0"/>
              <w:right w:val="single" w:color="auto" w:sz="4" w:space="0"/>
            </w:tcBorders>
            <w:noWrap/>
            <w:vAlign w:val="center"/>
          </w:tcPr>
          <w:p w14:paraId="3CE91AE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0988659F">
        <w:tblPrEx>
          <w:tblCellMar>
            <w:top w:w="0" w:type="dxa"/>
            <w:left w:w="108" w:type="dxa"/>
            <w:bottom w:w="0" w:type="dxa"/>
            <w:right w:w="108" w:type="dxa"/>
          </w:tblCellMar>
        </w:tblPrEx>
        <w:trPr>
          <w:trHeight w:val="8190" w:hRule="atLeast"/>
        </w:trPr>
        <w:tc>
          <w:tcPr>
            <w:tcW w:w="445" w:type="pct"/>
            <w:tcBorders>
              <w:top w:val="nil"/>
              <w:left w:val="single" w:color="auto" w:sz="4" w:space="0"/>
              <w:bottom w:val="single" w:color="auto" w:sz="4" w:space="0"/>
              <w:right w:val="single" w:color="auto" w:sz="4" w:space="0"/>
            </w:tcBorders>
            <w:noWrap w:val="0"/>
            <w:vAlign w:val="center"/>
          </w:tcPr>
          <w:p w14:paraId="516F3A6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7" w:type="pct"/>
            <w:tcBorders>
              <w:top w:val="nil"/>
              <w:left w:val="single" w:color="auto" w:sz="4" w:space="0"/>
              <w:bottom w:val="single" w:color="auto" w:sz="4" w:space="0"/>
              <w:right w:val="single" w:color="auto" w:sz="4" w:space="0"/>
            </w:tcBorders>
            <w:noWrap w:val="0"/>
            <w:vAlign w:val="center"/>
          </w:tcPr>
          <w:p w14:paraId="4DE2C79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58" w:type="pct"/>
            <w:tcBorders>
              <w:top w:val="nil"/>
              <w:left w:val="single" w:color="auto" w:sz="4" w:space="0"/>
              <w:bottom w:val="single" w:color="auto" w:sz="4" w:space="0"/>
              <w:right w:val="single" w:color="auto" w:sz="4" w:space="0"/>
            </w:tcBorders>
            <w:noWrap w:val="0"/>
            <w:vAlign w:val="center"/>
          </w:tcPr>
          <w:p w14:paraId="274C81F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会计核算</w:t>
            </w:r>
          </w:p>
        </w:tc>
        <w:tc>
          <w:tcPr>
            <w:tcW w:w="489" w:type="pct"/>
            <w:tcBorders>
              <w:top w:val="nil"/>
              <w:left w:val="single" w:color="auto" w:sz="4" w:space="0"/>
              <w:bottom w:val="single" w:color="auto" w:sz="4" w:space="0"/>
              <w:right w:val="single" w:color="auto" w:sz="4" w:space="0"/>
            </w:tcBorders>
            <w:noWrap w:val="0"/>
            <w:vAlign w:val="center"/>
          </w:tcPr>
          <w:p w14:paraId="1E7013E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执行《民间非营利组织会计制度》情况</w:t>
            </w:r>
          </w:p>
        </w:tc>
        <w:tc>
          <w:tcPr>
            <w:tcW w:w="2868" w:type="pct"/>
            <w:tcBorders>
              <w:top w:val="nil"/>
              <w:left w:val="single" w:color="auto" w:sz="4" w:space="0"/>
              <w:bottom w:val="single" w:color="auto" w:sz="4" w:space="0"/>
              <w:right w:val="single" w:color="auto" w:sz="4" w:space="0"/>
            </w:tcBorders>
            <w:noWrap w:val="0"/>
            <w:vAlign w:val="center"/>
          </w:tcPr>
          <w:p w14:paraId="5AAFD931">
            <w:pPr>
              <w:widowControl/>
              <w:rPr>
                <w:rFonts w:hint="eastAsia" w:ascii="宋体" w:hAnsi="宋体" w:cs="宋体"/>
                <w:kern w:val="0"/>
                <w:sz w:val="22"/>
                <w:szCs w:val="22"/>
                <w:highlight w:val="none"/>
              </w:rPr>
            </w:pPr>
            <w:r>
              <w:rPr>
                <w:rFonts w:hint="eastAsia" w:ascii="宋体" w:hAnsi="宋体" w:cs="宋体"/>
                <w:kern w:val="0"/>
                <w:sz w:val="22"/>
                <w:szCs w:val="22"/>
                <w:highlight w:val="none"/>
              </w:rPr>
              <w:t>□未执行《民间非营利组织会计制度》，得0分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□执行《民间非营利组织会计制度》单位，在会计核算方面无明显问题或不足，得3分；</w:t>
            </w:r>
          </w:p>
          <w:p w14:paraId="3AF98F1E">
            <w:pPr>
              <w:widowControl/>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会计核算方面存在以下问题或不足（包括但不限于），在2分基础上，</w:t>
            </w:r>
            <w:r>
              <w:rPr>
                <w:rFonts w:hint="eastAsia" w:ascii="宋体" w:hAnsi="宋体" w:cs="宋体"/>
                <w:kern w:val="0"/>
                <w:sz w:val="22"/>
                <w:szCs w:val="22"/>
                <w:highlight w:val="none"/>
              </w:rPr>
              <w:br w:type="page"/>
            </w:r>
            <w:r>
              <w:rPr>
                <w:rFonts w:hint="eastAsia" w:ascii="宋体" w:hAnsi="宋体" w:cs="宋体"/>
                <w:kern w:val="0"/>
                <w:sz w:val="22"/>
                <w:szCs w:val="22"/>
                <w:highlight w:val="none"/>
              </w:rPr>
              <w:t>出现第（1）项，扣0.5分；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出现第（2）至（7）项，每项扣0.2分；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出现第（8）至（23）项，每项扣0.1分，扣完为止：</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（1）过分依赖挂靠单位，会计核算独立性较差；</w:t>
            </w:r>
            <w:r>
              <w:rPr>
                <w:rFonts w:hint="eastAsia" w:ascii="宋体" w:hAnsi="宋体" w:cs="宋体"/>
                <w:kern w:val="0"/>
                <w:sz w:val="22"/>
                <w:szCs w:val="22"/>
                <w:highlight w:val="none"/>
              </w:rPr>
              <w:br w:type="page"/>
            </w:r>
            <w:r>
              <w:rPr>
                <w:rFonts w:hint="eastAsia" w:ascii="宋体" w:hAnsi="宋体" w:cs="宋体"/>
                <w:kern w:val="0"/>
                <w:sz w:val="22"/>
                <w:szCs w:val="22"/>
                <w:highlight w:val="none"/>
              </w:rPr>
              <w:t>（2）未将独立核算的部门及分支机构的财务报表纳入汇总报表；</w:t>
            </w:r>
            <w:r>
              <w:rPr>
                <w:rFonts w:hint="eastAsia" w:ascii="宋体" w:hAnsi="宋体" w:cs="宋体"/>
                <w:kern w:val="0"/>
                <w:sz w:val="22"/>
                <w:szCs w:val="22"/>
                <w:highlight w:val="none"/>
              </w:rPr>
              <w:br w:type="page"/>
            </w:r>
            <w:r>
              <w:rPr>
                <w:rFonts w:hint="eastAsia" w:ascii="宋体" w:hAnsi="宋体" w:cs="宋体"/>
                <w:kern w:val="0"/>
                <w:sz w:val="22"/>
                <w:szCs w:val="22"/>
                <w:highlight w:val="none"/>
              </w:rPr>
              <w:t>（3）收支在往来科目中核算，余额结转净资产，或收入长期挂账；</w:t>
            </w:r>
            <w:r>
              <w:rPr>
                <w:rFonts w:hint="eastAsia" w:ascii="宋体" w:hAnsi="宋体" w:cs="宋体"/>
                <w:kern w:val="0"/>
                <w:sz w:val="22"/>
                <w:szCs w:val="22"/>
                <w:highlight w:val="none"/>
              </w:rPr>
              <w:br w:type="page"/>
            </w:r>
            <w:r>
              <w:rPr>
                <w:rFonts w:hint="eastAsia" w:ascii="宋体" w:hAnsi="宋体" w:cs="宋体"/>
                <w:kern w:val="0"/>
                <w:sz w:val="22"/>
                <w:szCs w:val="22"/>
                <w:highlight w:val="none"/>
              </w:rPr>
              <w:t>（4）虚列费用或预提费用计提依据不足（或附件不齐备）；</w:t>
            </w:r>
            <w:r>
              <w:rPr>
                <w:rFonts w:hint="eastAsia" w:ascii="宋体" w:hAnsi="宋体" w:cs="宋体"/>
                <w:kern w:val="0"/>
                <w:sz w:val="22"/>
                <w:szCs w:val="22"/>
                <w:highlight w:val="none"/>
              </w:rPr>
              <w:br w:type="page"/>
            </w:r>
            <w:r>
              <w:rPr>
                <w:rFonts w:hint="eastAsia" w:ascii="宋体" w:hAnsi="宋体" w:cs="宋体"/>
                <w:kern w:val="0"/>
                <w:sz w:val="22"/>
                <w:szCs w:val="22"/>
                <w:highlight w:val="none"/>
              </w:rPr>
              <w:t>（5）使用不合规票据作为报销凭证；</w:t>
            </w:r>
            <w:r>
              <w:rPr>
                <w:rFonts w:hint="eastAsia" w:ascii="宋体" w:hAnsi="宋体" w:cs="宋体"/>
                <w:kern w:val="0"/>
                <w:sz w:val="22"/>
                <w:szCs w:val="22"/>
                <w:highlight w:val="none"/>
              </w:rPr>
              <w:br w:type="page"/>
            </w:r>
            <w:r>
              <w:rPr>
                <w:rFonts w:hint="eastAsia" w:ascii="宋体" w:hAnsi="宋体" w:cs="宋体"/>
                <w:kern w:val="0"/>
                <w:sz w:val="22"/>
                <w:szCs w:val="22"/>
                <w:highlight w:val="none"/>
              </w:rPr>
              <w:t>（6）未按规定缴纳各项税费；</w:t>
            </w:r>
            <w:r>
              <w:rPr>
                <w:rFonts w:hint="eastAsia" w:ascii="宋体" w:hAnsi="宋体" w:cs="宋体"/>
                <w:kern w:val="0"/>
                <w:sz w:val="22"/>
                <w:szCs w:val="22"/>
                <w:highlight w:val="none"/>
              </w:rPr>
              <w:br w:type="page"/>
            </w:r>
            <w:r>
              <w:rPr>
                <w:rFonts w:hint="eastAsia" w:ascii="宋体" w:hAnsi="宋体" w:cs="宋体"/>
                <w:kern w:val="0"/>
                <w:sz w:val="22"/>
                <w:szCs w:val="22"/>
                <w:highlight w:val="none"/>
              </w:rPr>
              <w:t>（7）账账、账表不符；</w:t>
            </w:r>
            <w:r>
              <w:rPr>
                <w:rFonts w:hint="eastAsia" w:ascii="宋体" w:hAnsi="宋体" w:cs="宋体"/>
                <w:kern w:val="0"/>
                <w:sz w:val="22"/>
                <w:szCs w:val="22"/>
                <w:highlight w:val="none"/>
              </w:rPr>
              <w:br w:type="page"/>
            </w:r>
            <w:r>
              <w:rPr>
                <w:rFonts w:hint="eastAsia" w:ascii="宋体" w:hAnsi="宋体" w:cs="宋体"/>
                <w:kern w:val="0"/>
                <w:sz w:val="22"/>
                <w:szCs w:val="22"/>
                <w:highlight w:val="none"/>
              </w:rPr>
              <w:t>（8）未严格按《民间非营利组织会计制度》设置会计科目；</w:t>
            </w:r>
            <w:r>
              <w:rPr>
                <w:rFonts w:hint="eastAsia" w:ascii="宋体" w:hAnsi="宋体" w:cs="宋体"/>
                <w:kern w:val="0"/>
                <w:sz w:val="22"/>
                <w:szCs w:val="22"/>
                <w:highlight w:val="none"/>
              </w:rPr>
              <w:br w:type="page"/>
            </w:r>
            <w:r>
              <w:rPr>
                <w:rFonts w:hint="eastAsia" w:ascii="宋体" w:hAnsi="宋体" w:cs="宋体"/>
                <w:kern w:val="0"/>
                <w:sz w:val="22"/>
                <w:szCs w:val="22"/>
                <w:highlight w:val="none"/>
              </w:rPr>
              <w:t>（9）未严格按《民间非营利组织会计制度》要求编制财务报表；</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（10）银行存款利息收入（含定期存款）未在其他收入科目核算；</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（11）投资及投资收益核算不准确；</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（12）费用科目使用不规范，如成本与管理费用界限不明、科目使用有误；</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（13）固定资产未按规定计提折旧或计提不准确；</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（14）未按规定提取各项减值准备；</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（15）已形成的资产损失未及时清理；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（16）往来科目使用不规范，如：往来科目使用混淆、往来科目中核算长期投资等；</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（17）库存现金余额大或经常使用大额现金；</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（18）未按月编制银行存款余额调节表；</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（19）原始凭证不齐全或内容不完整；</w:t>
            </w:r>
            <w:r>
              <w:rPr>
                <w:rFonts w:hint="eastAsia" w:ascii="宋体" w:hAnsi="宋体" w:cs="宋体"/>
                <w:kern w:val="0"/>
                <w:sz w:val="22"/>
                <w:szCs w:val="22"/>
                <w:highlight w:val="none"/>
              </w:rPr>
              <w:br w:type="page"/>
            </w:r>
            <w:r>
              <w:rPr>
                <w:rFonts w:hint="eastAsia" w:ascii="宋体" w:hAnsi="宋体" w:cs="宋体"/>
                <w:kern w:val="0"/>
                <w:sz w:val="22"/>
                <w:szCs w:val="22"/>
                <w:highlight w:val="none"/>
              </w:rPr>
              <w:t>（20）记账凭证内容不完整或填制不规范；</w:t>
            </w:r>
            <w:r>
              <w:rPr>
                <w:rFonts w:hint="eastAsia" w:ascii="宋体" w:hAnsi="宋体" w:cs="宋体"/>
                <w:kern w:val="0"/>
                <w:sz w:val="22"/>
                <w:szCs w:val="22"/>
                <w:highlight w:val="none"/>
              </w:rPr>
              <w:br w:type="page"/>
            </w:r>
            <w:r>
              <w:rPr>
                <w:rFonts w:hint="eastAsia" w:ascii="宋体" w:hAnsi="宋体" w:cs="宋体"/>
                <w:kern w:val="0"/>
                <w:sz w:val="22"/>
                <w:szCs w:val="22"/>
                <w:highlight w:val="none"/>
              </w:rPr>
              <w:t>（21）凭证签字或签章不齐全；</w:t>
            </w:r>
            <w:r>
              <w:rPr>
                <w:rFonts w:hint="eastAsia" w:ascii="宋体" w:hAnsi="宋体" w:cs="宋体"/>
                <w:kern w:val="0"/>
                <w:sz w:val="22"/>
                <w:szCs w:val="22"/>
                <w:highlight w:val="none"/>
              </w:rPr>
              <w:br w:type="page"/>
            </w:r>
            <w:r>
              <w:rPr>
                <w:rFonts w:hint="eastAsia" w:ascii="宋体" w:hAnsi="宋体" w:cs="宋体"/>
                <w:kern w:val="0"/>
                <w:sz w:val="22"/>
                <w:szCs w:val="22"/>
                <w:highlight w:val="none"/>
              </w:rPr>
              <w:t>（22）账簿登记不及时或未及时打印电脑账页；</w:t>
            </w:r>
            <w:r>
              <w:rPr>
                <w:rFonts w:hint="eastAsia" w:ascii="宋体" w:hAnsi="宋体" w:cs="宋体"/>
                <w:kern w:val="0"/>
                <w:sz w:val="22"/>
                <w:szCs w:val="22"/>
                <w:highlight w:val="none"/>
              </w:rPr>
              <w:br w:type="page"/>
            </w:r>
            <w:r>
              <w:rPr>
                <w:rFonts w:hint="eastAsia" w:ascii="宋体" w:hAnsi="宋体" w:cs="宋体"/>
                <w:kern w:val="0"/>
                <w:sz w:val="22"/>
                <w:szCs w:val="22"/>
                <w:highlight w:val="none"/>
              </w:rPr>
              <w:t>（23）其他不符合《民间非营利组织会计制度》或核算不规范的情况。</w:t>
            </w:r>
            <w:r>
              <w:rPr>
                <w:rFonts w:hint="eastAsia" w:ascii="宋体" w:hAnsi="宋体" w:cs="宋体"/>
                <w:kern w:val="0"/>
                <w:sz w:val="22"/>
                <w:szCs w:val="22"/>
                <w:highlight w:val="none"/>
              </w:rPr>
              <w:br w:type="page"/>
            </w:r>
          </w:p>
        </w:tc>
        <w:tc>
          <w:tcPr>
            <w:tcW w:w="283" w:type="pct"/>
            <w:tcBorders>
              <w:top w:val="nil"/>
              <w:left w:val="single" w:color="auto" w:sz="4" w:space="0"/>
              <w:bottom w:val="single" w:color="auto" w:sz="4" w:space="0"/>
              <w:right w:val="single" w:color="auto" w:sz="4" w:space="0"/>
            </w:tcBorders>
            <w:noWrap/>
            <w:vAlign w:val="center"/>
          </w:tcPr>
          <w:p w14:paraId="4FC83A8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w:t>
            </w:r>
          </w:p>
        </w:tc>
      </w:tr>
      <w:tr w14:paraId="3D69255C">
        <w:tblPrEx>
          <w:tblCellMar>
            <w:top w:w="0" w:type="dxa"/>
            <w:left w:w="108" w:type="dxa"/>
            <w:bottom w:w="0" w:type="dxa"/>
            <w:right w:w="108" w:type="dxa"/>
          </w:tblCellMar>
        </w:tblPrEx>
        <w:trPr>
          <w:trHeight w:val="1352" w:hRule="atLeast"/>
        </w:trPr>
        <w:tc>
          <w:tcPr>
            <w:tcW w:w="445" w:type="pct"/>
            <w:vMerge w:val="restart"/>
            <w:tcBorders>
              <w:top w:val="nil"/>
              <w:left w:val="single" w:color="auto" w:sz="4" w:space="0"/>
              <w:bottom w:val="single" w:color="auto" w:sz="4" w:space="0"/>
              <w:right w:val="single" w:color="auto" w:sz="4" w:space="0"/>
            </w:tcBorders>
            <w:noWrap w:val="0"/>
            <w:vAlign w:val="center"/>
          </w:tcPr>
          <w:p w14:paraId="015B3FF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7" w:type="pct"/>
            <w:vMerge w:val="restart"/>
            <w:tcBorders>
              <w:top w:val="nil"/>
              <w:left w:val="single" w:color="auto" w:sz="4" w:space="0"/>
              <w:bottom w:val="single" w:color="auto" w:sz="4" w:space="0"/>
              <w:right w:val="single" w:color="auto" w:sz="4" w:space="0"/>
            </w:tcBorders>
            <w:noWrap w:val="0"/>
            <w:vAlign w:val="center"/>
          </w:tcPr>
          <w:p w14:paraId="6FE6522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58" w:type="pct"/>
            <w:vMerge w:val="restart"/>
            <w:tcBorders>
              <w:top w:val="nil"/>
              <w:left w:val="single" w:color="auto" w:sz="4" w:space="0"/>
              <w:bottom w:val="single" w:color="auto" w:sz="4" w:space="0"/>
              <w:right w:val="single" w:color="auto" w:sz="4" w:space="0"/>
            </w:tcBorders>
            <w:noWrap w:val="0"/>
            <w:vAlign w:val="center"/>
          </w:tcPr>
          <w:p w14:paraId="520BEAA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会计核算</w:t>
            </w:r>
          </w:p>
        </w:tc>
        <w:tc>
          <w:tcPr>
            <w:tcW w:w="489" w:type="pct"/>
            <w:tcBorders>
              <w:top w:val="nil"/>
              <w:left w:val="nil"/>
              <w:bottom w:val="single" w:color="auto" w:sz="4" w:space="0"/>
              <w:right w:val="single" w:color="auto" w:sz="4" w:space="0"/>
            </w:tcBorders>
            <w:noWrap w:val="0"/>
            <w:vAlign w:val="center"/>
          </w:tcPr>
          <w:p w14:paraId="5886070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会计电算化</w:t>
            </w:r>
          </w:p>
        </w:tc>
        <w:tc>
          <w:tcPr>
            <w:tcW w:w="2868" w:type="pct"/>
            <w:tcBorders>
              <w:top w:val="nil"/>
              <w:left w:val="nil"/>
              <w:bottom w:val="single" w:color="auto" w:sz="4" w:space="0"/>
              <w:right w:val="single" w:color="auto" w:sz="4" w:space="0"/>
            </w:tcBorders>
            <w:noWrap w:val="0"/>
            <w:vAlign w:val="center"/>
          </w:tcPr>
          <w:p w14:paraId="45371D9F">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□会计核算实行电算化且使用民间组织财务管理软件，得0.2分</w:t>
            </w:r>
          </w:p>
          <w:p w14:paraId="76DC3FE5">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lang w:eastAsia="zh-CN"/>
              </w:rPr>
              <w:t>□</w:t>
            </w:r>
            <w:r>
              <w:rPr>
                <w:rFonts w:hint="eastAsia" w:ascii="宋体" w:hAnsi="宋体" w:cs="宋体"/>
                <w:kern w:val="0"/>
                <w:sz w:val="22"/>
                <w:szCs w:val="22"/>
                <w:highlight w:val="none"/>
              </w:rPr>
              <w:t>会计核算实行电算化未使用民间组织财务管理软件，得0.1分</w:t>
            </w:r>
          </w:p>
          <w:p w14:paraId="04E3A147">
            <w:pPr>
              <w:widowControl/>
              <w:jc w:val="left"/>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□会计核算未实行电算化，得0分</w:t>
            </w:r>
          </w:p>
        </w:tc>
        <w:tc>
          <w:tcPr>
            <w:tcW w:w="283" w:type="pct"/>
            <w:tcBorders>
              <w:top w:val="nil"/>
              <w:left w:val="nil"/>
              <w:bottom w:val="single" w:color="auto" w:sz="4" w:space="0"/>
              <w:right w:val="single" w:color="auto" w:sz="4" w:space="0"/>
            </w:tcBorders>
            <w:noWrap/>
            <w:vAlign w:val="center"/>
          </w:tcPr>
          <w:p w14:paraId="21B3724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0.2</w:t>
            </w:r>
          </w:p>
        </w:tc>
      </w:tr>
      <w:tr w14:paraId="1FDC411D">
        <w:tblPrEx>
          <w:tblCellMar>
            <w:top w:w="0" w:type="dxa"/>
            <w:left w:w="108" w:type="dxa"/>
            <w:bottom w:w="0" w:type="dxa"/>
            <w:right w:w="108" w:type="dxa"/>
          </w:tblCellMar>
        </w:tblPrEx>
        <w:trPr>
          <w:trHeight w:val="3242"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46EAAB10">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58BE7EC9">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21D81BD7">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52A4192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会计档案管理</w:t>
            </w:r>
          </w:p>
        </w:tc>
        <w:tc>
          <w:tcPr>
            <w:tcW w:w="2868" w:type="pct"/>
            <w:tcBorders>
              <w:top w:val="nil"/>
              <w:left w:val="nil"/>
              <w:bottom w:val="single" w:color="auto" w:sz="4" w:space="0"/>
              <w:right w:val="single" w:color="auto" w:sz="4" w:space="0"/>
            </w:tcBorders>
            <w:noWrap w:val="0"/>
            <w:vAlign w:val="center"/>
          </w:tcPr>
          <w:p w14:paraId="5DC7A1CA">
            <w:pPr>
              <w:widowControl/>
              <w:jc w:val="left"/>
              <w:rPr>
                <w:rFonts w:ascii="宋体" w:hAnsi="宋体" w:cs="宋体"/>
                <w:kern w:val="0"/>
                <w:sz w:val="22"/>
                <w:szCs w:val="22"/>
                <w:highlight w:val="none"/>
              </w:rPr>
            </w:pPr>
            <w:r>
              <w:rPr>
                <w:rFonts w:hint="eastAsia" w:ascii="宋体" w:hAnsi="宋体" w:cs="宋体"/>
                <w:kern w:val="0"/>
                <w:sz w:val="22"/>
                <w:szCs w:val="22"/>
                <w:highlight w:val="none"/>
              </w:rPr>
              <w:t>（1）</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□会计档案有专人管理，存放有序、查阅方便，且建立会计档案保管清册（有立卷、归档、查阅、保管、销毁和移交等记录），得0.5分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□未做到会计档案有专人管理，存放有序、查阅方便，或未建立会计档案保管清册（有立卷、归档、查阅、保管、销毁和移交等记录），得0分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□会计凭证、账本、报表及其他会计资料装订整齐，顺序编号，签章齐全，得0.5分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□未做到会计凭证、账本、报表及其他会计资料装订整齐，顺序编号，签章齐全，得0分</w:t>
            </w:r>
          </w:p>
        </w:tc>
        <w:tc>
          <w:tcPr>
            <w:tcW w:w="283" w:type="pct"/>
            <w:tcBorders>
              <w:top w:val="nil"/>
              <w:left w:val="nil"/>
              <w:bottom w:val="single" w:color="auto" w:sz="4" w:space="0"/>
              <w:right w:val="single" w:color="auto" w:sz="4" w:space="0"/>
            </w:tcBorders>
            <w:noWrap/>
            <w:vAlign w:val="center"/>
          </w:tcPr>
          <w:p w14:paraId="0CB04E0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5DECEED8">
        <w:tblPrEx>
          <w:tblCellMar>
            <w:top w:w="0" w:type="dxa"/>
            <w:left w:w="108" w:type="dxa"/>
            <w:bottom w:w="0" w:type="dxa"/>
            <w:right w:w="108" w:type="dxa"/>
          </w:tblCellMar>
        </w:tblPrEx>
        <w:trPr>
          <w:trHeight w:val="3479"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7549EC6B">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7BF4993A">
            <w:pPr>
              <w:widowControl/>
              <w:jc w:val="left"/>
              <w:rPr>
                <w:rFonts w:ascii="宋体" w:hAnsi="宋体" w:cs="宋体"/>
                <w:kern w:val="0"/>
                <w:sz w:val="22"/>
                <w:szCs w:val="22"/>
                <w:highlight w:val="none"/>
              </w:rPr>
            </w:pPr>
          </w:p>
        </w:tc>
        <w:tc>
          <w:tcPr>
            <w:tcW w:w="458" w:type="pct"/>
            <w:tcBorders>
              <w:top w:val="nil"/>
              <w:left w:val="nil"/>
              <w:bottom w:val="single" w:color="auto" w:sz="4" w:space="0"/>
              <w:right w:val="single" w:color="auto" w:sz="4" w:space="0"/>
            </w:tcBorders>
            <w:noWrap w:val="0"/>
            <w:vAlign w:val="center"/>
          </w:tcPr>
          <w:p w14:paraId="146B25C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财务管理</w:t>
            </w:r>
          </w:p>
        </w:tc>
        <w:tc>
          <w:tcPr>
            <w:tcW w:w="489" w:type="pct"/>
            <w:tcBorders>
              <w:top w:val="nil"/>
              <w:left w:val="nil"/>
              <w:bottom w:val="single" w:color="auto" w:sz="4" w:space="0"/>
              <w:right w:val="single" w:color="auto" w:sz="4" w:space="0"/>
            </w:tcBorders>
            <w:noWrap w:val="0"/>
            <w:vAlign w:val="center"/>
          </w:tcPr>
          <w:p w14:paraId="1D2BD2F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经费来源和资金使用</w:t>
            </w:r>
          </w:p>
        </w:tc>
        <w:tc>
          <w:tcPr>
            <w:tcW w:w="2868" w:type="pct"/>
            <w:tcBorders>
              <w:top w:val="nil"/>
              <w:left w:val="nil"/>
              <w:bottom w:val="single" w:color="auto" w:sz="4" w:space="0"/>
              <w:right w:val="single" w:color="auto" w:sz="4" w:space="0"/>
            </w:tcBorders>
            <w:noWrap w:val="0"/>
            <w:vAlign w:val="center"/>
          </w:tcPr>
          <w:p w14:paraId="3EA7EB81">
            <w:pPr>
              <w:widowControl/>
              <w:jc w:val="left"/>
              <w:rPr>
                <w:rFonts w:ascii="宋体" w:hAnsi="宋体" w:cs="宋体"/>
                <w:kern w:val="0"/>
                <w:sz w:val="22"/>
                <w:szCs w:val="22"/>
                <w:highlight w:val="none"/>
              </w:rPr>
            </w:pPr>
            <w:r>
              <w:rPr>
                <w:rFonts w:hint="eastAsia" w:ascii="宋体" w:hAnsi="宋体" w:cs="宋体"/>
                <w:kern w:val="0"/>
                <w:sz w:val="22"/>
                <w:szCs w:val="22"/>
                <w:highlight w:val="none"/>
              </w:rPr>
              <w:t>□未发现违反国家政策法规、章程规定的事项发生，得2分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□发现以下事项1项，得1分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□发现以下事项2项以上，得0分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（1）存在侵占、私分、挪用资产、发生有失公允的关联交易、违规支付佣金或回扣、违规进行资金拆借等；</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（2）存在账外资金或小金库的；</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（3）存在违规收费行为，包括违反规定接受和使用捐赠、资助，违规使用会费收据、捐赠专用收据；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（4）存在使用不合规凭证或票据列支费用的。</w:t>
            </w:r>
          </w:p>
        </w:tc>
        <w:tc>
          <w:tcPr>
            <w:tcW w:w="283" w:type="pct"/>
            <w:tcBorders>
              <w:top w:val="nil"/>
              <w:left w:val="nil"/>
              <w:bottom w:val="single" w:color="auto" w:sz="4" w:space="0"/>
              <w:right w:val="single" w:color="auto" w:sz="4" w:space="0"/>
            </w:tcBorders>
            <w:noWrap/>
            <w:vAlign w:val="center"/>
          </w:tcPr>
          <w:p w14:paraId="3912205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w:t>
            </w:r>
          </w:p>
        </w:tc>
      </w:tr>
      <w:tr w14:paraId="1C717AC8">
        <w:tblPrEx>
          <w:tblCellMar>
            <w:top w:w="0" w:type="dxa"/>
            <w:left w:w="108" w:type="dxa"/>
            <w:bottom w:w="0" w:type="dxa"/>
            <w:right w:w="108" w:type="dxa"/>
          </w:tblCellMar>
        </w:tblPrEx>
        <w:trPr>
          <w:trHeight w:val="8165" w:hRule="atLeast"/>
        </w:trPr>
        <w:tc>
          <w:tcPr>
            <w:tcW w:w="445" w:type="pct"/>
            <w:tcBorders>
              <w:top w:val="nil"/>
              <w:left w:val="single" w:color="auto" w:sz="4" w:space="0"/>
              <w:bottom w:val="single" w:color="auto" w:sz="4" w:space="0"/>
              <w:right w:val="single" w:color="auto" w:sz="4" w:space="0"/>
            </w:tcBorders>
            <w:noWrap w:val="0"/>
            <w:vAlign w:val="center"/>
          </w:tcPr>
          <w:p w14:paraId="3F9D8AF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7" w:type="pct"/>
            <w:tcBorders>
              <w:top w:val="nil"/>
              <w:left w:val="single" w:color="auto" w:sz="4" w:space="0"/>
              <w:bottom w:val="single" w:color="auto" w:sz="4" w:space="0"/>
              <w:right w:val="single" w:color="auto" w:sz="4" w:space="0"/>
            </w:tcBorders>
            <w:noWrap w:val="0"/>
            <w:vAlign w:val="center"/>
          </w:tcPr>
          <w:p w14:paraId="2BC373B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58" w:type="pct"/>
            <w:tcBorders>
              <w:top w:val="nil"/>
              <w:left w:val="single" w:color="auto" w:sz="4" w:space="0"/>
              <w:bottom w:val="single" w:color="auto" w:sz="4" w:space="0"/>
              <w:right w:val="single" w:color="auto" w:sz="4" w:space="0"/>
            </w:tcBorders>
            <w:noWrap w:val="0"/>
            <w:vAlign w:val="center"/>
          </w:tcPr>
          <w:p w14:paraId="10A685F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财务管理</w:t>
            </w:r>
          </w:p>
        </w:tc>
        <w:tc>
          <w:tcPr>
            <w:tcW w:w="489" w:type="pct"/>
            <w:tcBorders>
              <w:top w:val="nil"/>
              <w:left w:val="nil"/>
              <w:bottom w:val="single" w:color="auto" w:sz="4" w:space="0"/>
              <w:right w:val="single" w:color="auto" w:sz="4" w:space="0"/>
            </w:tcBorders>
            <w:noWrap w:val="0"/>
            <w:vAlign w:val="center"/>
          </w:tcPr>
          <w:p w14:paraId="40DF4FC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财务管理制度建立及执行</w:t>
            </w:r>
          </w:p>
        </w:tc>
        <w:tc>
          <w:tcPr>
            <w:tcW w:w="2868" w:type="pct"/>
            <w:tcBorders>
              <w:top w:val="nil"/>
              <w:left w:val="nil"/>
              <w:bottom w:val="single" w:color="auto" w:sz="4" w:space="0"/>
              <w:right w:val="single" w:color="auto" w:sz="4" w:space="0"/>
            </w:tcBorders>
            <w:noWrap w:val="0"/>
            <w:vAlign w:val="center"/>
          </w:tcPr>
          <w:p w14:paraId="3AFA348C">
            <w:pPr>
              <w:widowControl/>
              <w:jc w:val="left"/>
              <w:rPr>
                <w:rFonts w:ascii="宋体" w:hAnsi="宋体" w:cs="宋体"/>
                <w:kern w:val="0"/>
                <w:sz w:val="22"/>
                <w:szCs w:val="22"/>
                <w:highlight w:val="none"/>
              </w:rPr>
            </w:pPr>
            <w:r>
              <w:rPr>
                <w:rFonts w:hint="eastAsia" w:ascii="宋体" w:hAnsi="宋体" w:cs="宋体"/>
                <w:kern w:val="0"/>
                <w:sz w:val="22"/>
                <w:szCs w:val="22"/>
                <w:highlight w:val="none"/>
              </w:rPr>
              <w:t>内部财务管理制度制定情况：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□制定了完善的内部财务管理制度，得0.8分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□制定的内部财务管理制度包括8个方面以上内容，得0.5分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□制定的内部财务管理制度包括6个方面以上内容，得0.2分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□制定的内部财务管理制度不足6个方面的内容，得0分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内部财务管理制度包括但不限于以下几方面的内容：</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（1）会计核算办法或规程；</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（2）财务会计人员岗位职责；</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（3）现金和银行存款管理；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（4）项目（业务活动）收支管理办法；</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（5）会费收支管理；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（6）费用支出标准和审批；</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（7）实物资产（包括固定资产、存货等）管理；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（8）投资（实体、刊物）管理；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（9）分支机构财务管理；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（10）预算管理；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（11）票据管理；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（12）财务报告编制与财务分析；</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（13）会计档案管理。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内部财务管理制度执行情况：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□严格执行各项内部财务管理制度，得0.2分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□各项内部财务管理制度执行一般，得0.1分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□各项内部财务管理制度执行较差，得0分</w:t>
            </w:r>
          </w:p>
        </w:tc>
        <w:tc>
          <w:tcPr>
            <w:tcW w:w="283" w:type="pct"/>
            <w:tcBorders>
              <w:top w:val="nil"/>
              <w:left w:val="nil"/>
              <w:bottom w:val="single" w:color="auto" w:sz="4" w:space="0"/>
              <w:right w:val="single" w:color="auto" w:sz="4" w:space="0"/>
            </w:tcBorders>
            <w:noWrap/>
            <w:vAlign w:val="center"/>
          </w:tcPr>
          <w:p w14:paraId="485D00B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0890C8D2">
        <w:tblPrEx>
          <w:tblCellMar>
            <w:top w:w="0" w:type="dxa"/>
            <w:left w:w="108" w:type="dxa"/>
            <w:bottom w:w="0" w:type="dxa"/>
            <w:right w:w="108" w:type="dxa"/>
          </w:tblCellMar>
        </w:tblPrEx>
        <w:trPr>
          <w:trHeight w:val="3470" w:hRule="atLeast"/>
        </w:trPr>
        <w:tc>
          <w:tcPr>
            <w:tcW w:w="445" w:type="pct"/>
            <w:vMerge w:val="restart"/>
            <w:tcBorders>
              <w:top w:val="single" w:color="auto" w:sz="4" w:space="0"/>
              <w:left w:val="single" w:color="auto" w:sz="4" w:space="0"/>
              <w:bottom w:val="single" w:color="auto" w:sz="4" w:space="0"/>
              <w:right w:val="single" w:color="auto" w:sz="4" w:space="0"/>
            </w:tcBorders>
            <w:noWrap w:val="0"/>
            <w:vAlign w:val="center"/>
          </w:tcPr>
          <w:p w14:paraId="26B52DA3">
            <w:pPr>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7" w:type="pct"/>
            <w:vMerge w:val="restart"/>
            <w:tcBorders>
              <w:top w:val="single" w:color="auto" w:sz="4" w:space="0"/>
              <w:left w:val="single" w:color="auto" w:sz="4" w:space="0"/>
              <w:bottom w:val="single" w:color="auto" w:sz="4" w:space="0"/>
              <w:right w:val="single" w:color="auto" w:sz="4" w:space="0"/>
            </w:tcBorders>
            <w:noWrap w:val="0"/>
            <w:vAlign w:val="center"/>
          </w:tcPr>
          <w:p w14:paraId="7095C184">
            <w:pPr>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58" w:type="pct"/>
            <w:vMerge w:val="restart"/>
            <w:tcBorders>
              <w:top w:val="single" w:color="auto" w:sz="4" w:space="0"/>
              <w:left w:val="single" w:color="auto" w:sz="4" w:space="0"/>
              <w:bottom w:val="single" w:color="auto" w:sz="4" w:space="0"/>
              <w:right w:val="single" w:color="auto" w:sz="4" w:space="0"/>
            </w:tcBorders>
            <w:noWrap w:val="0"/>
            <w:vAlign w:val="center"/>
          </w:tcPr>
          <w:p w14:paraId="203149B6">
            <w:pPr>
              <w:jc w:val="center"/>
              <w:rPr>
                <w:rFonts w:ascii="宋体" w:hAnsi="宋体" w:cs="宋体"/>
                <w:kern w:val="0"/>
                <w:sz w:val="22"/>
                <w:szCs w:val="22"/>
                <w:highlight w:val="none"/>
              </w:rPr>
            </w:pPr>
            <w:r>
              <w:rPr>
                <w:rFonts w:hint="eastAsia" w:ascii="宋体" w:hAnsi="宋体" w:cs="宋体"/>
                <w:kern w:val="0"/>
                <w:sz w:val="22"/>
                <w:szCs w:val="22"/>
                <w:highlight w:val="none"/>
              </w:rPr>
              <w:t>财务管理</w:t>
            </w:r>
          </w:p>
        </w:tc>
        <w:tc>
          <w:tcPr>
            <w:tcW w:w="489" w:type="pct"/>
            <w:tcBorders>
              <w:top w:val="single" w:color="auto" w:sz="4" w:space="0"/>
              <w:left w:val="nil"/>
              <w:bottom w:val="single" w:color="auto" w:sz="4" w:space="0"/>
              <w:right w:val="single" w:color="auto" w:sz="4" w:space="0"/>
            </w:tcBorders>
            <w:noWrap w:val="0"/>
            <w:vAlign w:val="center"/>
          </w:tcPr>
          <w:p w14:paraId="307169F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支出审批</w:t>
            </w:r>
          </w:p>
        </w:tc>
        <w:tc>
          <w:tcPr>
            <w:tcW w:w="2868" w:type="pct"/>
            <w:tcBorders>
              <w:top w:val="nil"/>
              <w:left w:val="nil"/>
              <w:bottom w:val="single" w:color="auto" w:sz="4" w:space="0"/>
              <w:right w:val="single" w:color="auto" w:sz="4" w:space="0"/>
            </w:tcBorders>
            <w:noWrap w:val="0"/>
            <w:vAlign w:val="center"/>
          </w:tcPr>
          <w:p w14:paraId="7D9444C4">
            <w:pPr>
              <w:widowControl/>
              <w:jc w:val="left"/>
              <w:rPr>
                <w:rFonts w:ascii="宋体" w:hAnsi="宋体" w:cs="宋体"/>
                <w:kern w:val="0"/>
                <w:sz w:val="22"/>
                <w:szCs w:val="22"/>
                <w:highlight w:val="none"/>
              </w:rPr>
            </w:pPr>
            <w:r>
              <w:rPr>
                <w:rFonts w:hint="eastAsia" w:ascii="宋体" w:hAnsi="宋体" w:cs="宋体"/>
                <w:kern w:val="0"/>
                <w:sz w:val="22"/>
                <w:szCs w:val="22"/>
                <w:highlight w:val="none"/>
              </w:rPr>
              <w:t>制度中对支出标准、审批权限规定情况：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□有明确规定，得0.2分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□没有明确规定，得0分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支出审批手续情况：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□手续齐全，符合制度要求，得0.2分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□手续不齐全，不符合制度要求，得0分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负责人经手开支的监督情况：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□单位负责人经手的开支，经其他领导签章，且未发现单位领导人的支出由其他人做经手人单位负责人自行审批的情况，得0.6分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□单位负责人经手的开支，发现存在未经其他领导签章，或由其他人做经手人单位负责人自行审批的情况，得0分</w:t>
            </w:r>
          </w:p>
        </w:tc>
        <w:tc>
          <w:tcPr>
            <w:tcW w:w="283" w:type="pct"/>
            <w:tcBorders>
              <w:top w:val="nil"/>
              <w:left w:val="nil"/>
              <w:bottom w:val="single" w:color="auto" w:sz="4" w:space="0"/>
              <w:right w:val="single" w:color="auto" w:sz="4" w:space="0"/>
            </w:tcBorders>
            <w:noWrap/>
            <w:vAlign w:val="center"/>
          </w:tcPr>
          <w:p w14:paraId="4A3BC0A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0F0A2046">
        <w:tblPrEx>
          <w:tblCellMar>
            <w:top w:w="0" w:type="dxa"/>
            <w:left w:w="108" w:type="dxa"/>
            <w:bottom w:w="0" w:type="dxa"/>
            <w:right w:w="108" w:type="dxa"/>
          </w:tblCellMar>
        </w:tblPrEx>
        <w:trPr>
          <w:trHeight w:val="4632" w:hRule="atLeast"/>
        </w:trPr>
        <w:tc>
          <w:tcPr>
            <w:tcW w:w="445" w:type="pct"/>
            <w:vMerge w:val="continue"/>
            <w:tcBorders>
              <w:top w:val="single" w:color="auto" w:sz="4" w:space="0"/>
              <w:left w:val="single" w:color="auto" w:sz="4" w:space="0"/>
              <w:bottom w:val="single" w:color="auto" w:sz="4" w:space="0"/>
              <w:right w:val="single" w:color="auto" w:sz="4" w:space="0"/>
            </w:tcBorders>
            <w:noWrap w:val="0"/>
            <w:vAlign w:val="center"/>
          </w:tcPr>
          <w:p w14:paraId="1EC7F876">
            <w:pPr>
              <w:widowControl/>
              <w:jc w:val="center"/>
              <w:rPr>
                <w:rFonts w:ascii="宋体" w:hAnsi="宋体" w:cs="宋体"/>
                <w:kern w:val="0"/>
                <w:sz w:val="22"/>
                <w:szCs w:val="22"/>
                <w:highlight w:val="none"/>
              </w:rPr>
            </w:pPr>
          </w:p>
        </w:tc>
        <w:tc>
          <w:tcPr>
            <w:tcW w:w="457" w:type="pct"/>
            <w:vMerge w:val="continue"/>
            <w:tcBorders>
              <w:top w:val="single" w:color="auto" w:sz="4" w:space="0"/>
              <w:left w:val="single" w:color="auto" w:sz="4" w:space="0"/>
              <w:bottom w:val="single" w:color="auto" w:sz="4" w:space="0"/>
              <w:right w:val="single" w:color="auto" w:sz="4" w:space="0"/>
            </w:tcBorders>
            <w:noWrap w:val="0"/>
            <w:vAlign w:val="center"/>
          </w:tcPr>
          <w:p w14:paraId="698157E2">
            <w:pPr>
              <w:widowControl/>
              <w:jc w:val="center"/>
              <w:rPr>
                <w:rFonts w:ascii="宋体" w:hAnsi="宋体" w:cs="宋体"/>
                <w:kern w:val="0"/>
                <w:sz w:val="22"/>
                <w:szCs w:val="22"/>
                <w:highlight w:val="none"/>
              </w:rPr>
            </w:pPr>
          </w:p>
        </w:tc>
        <w:tc>
          <w:tcPr>
            <w:tcW w:w="458" w:type="pct"/>
            <w:vMerge w:val="continue"/>
            <w:tcBorders>
              <w:top w:val="single" w:color="auto" w:sz="4" w:space="0"/>
              <w:left w:val="single" w:color="auto" w:sz="4" w:space="0"/>
              <w:bottom w:val="single" w:color="auto" w:sz="4" w:space="0"/>
              <w:right w:val="single" w:color="auto" w:sz="4" w:space="0"/>
            </w:tcBorders>
            <w:noWrap w:val="0"/>
            <w:vAlign w:val="center"/>
          </w:tcPr>
          <w:p w14:paraId="3B3D8856">
            <w:pPr>
              <w:widowControl/>
              <w:jc w:val="center"/>
              <w:rPr>
                <w:rFonts w:ascii="宋体" w:hAnsi="宋体" w:cs="宋体"/>
                <w:kern w:val="0"/>
                <w:sz w:val="22"/>
                <w:szCs w:val="22"/>
                <w:highlight w:val="none"/>
              </w:rPr>
            </w:pPr>
          </w:p>
        </w:tc>
        <w:tc>
          <w:tcPr>
            <w:tcW w:w="489" w:type="pct"/>
            <w:tcBorders>
              <w:top w:val="single" w:color="auto" w:sz="4" w:space="0"/>
              <w:left w:val="nil"/>
              <w:bottom w:val="single" w:color="auto" w:sz="4" w:space="0"/>
              <w:right w:val="single" w:color="auto" w:sz="4" w:space="0"/>
            </w:tcBorders>
            <w:noWrap w:val="0"/>
            <w:vAlign w:val="center"/>
          </w:tcPr>
          <w:p w14:paraId="0BB3199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资产管理</w:t>
            </w:r>
          </w:p>
        </w:tc>
        <w:tc>
          <w:tcPr>
            <w:tcW w:w="2868" w:type="pct"/>
            <w:tcBorders>
              <w:top w:val="nil"/>
              <w:left w:val="nil"/>
              <w:bottom w:val="single" w:color="auto" w:sz="4" w:space="0"/>
              <w:right w:val="single" w:color="auto" w:sz="4" w:space="0"/>
            </w:tcBorders>
            <w:noWrap w:val="0"/>
            <w:vAlign w:val="center"/>
          </w:tcPr>
          <w:p w14:paraId="1924AADC">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实物资产管理情况：</w:t>
            </w:r>
          </w:p>
          <w:p w14:paraId="326A2EB0">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□实物资产购进、领用、保管、处置审批手续完善，定期盘点且对出现的盘亏、盘盈、毁损、减值情况及时进行处理，得0.4分</w:t>
            </w:r>
          </w:p>
          <w:p w14:paraId="105B04E5">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□实物资产购进、领用、保管、处置审批手续不完善，或未定期盘点及未对出现的盘亏、盘盈、毁损、减值情况及时进行处理，得0.2分</w:t>
            </w:r>
          </w:p>
          <w:p w14:paraId="678F0D7B">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□实物资产购进、领用、保管、处置审批手续不完善，且未定期盘点及未对出现的盘亏、盘盈、毁损、减值情况及时进行处理 ，得0分</w:t>
            </w:r>
          </w:p>
          <w:p w14:paraId="3AA29386">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固定资产标准及折旧年限确定情况：</w:t>
            </w:r>
          </w:p>
          <w:p w14:paraId="75ABCDDF">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□固定资产标准及折旧年限确定合理且折旧计提准确，得0.2分</w:t>
            </w:r>
          </w:p>
          <w:p w14:paraId="01FAD31D">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□固定资产标准及折旧年限确定不合理或折旧计提不准确，得0.1分</w:t>
            </w:r>
          </w:p>
          <w:p w14:paraId="7446DECD">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□固定资产标准及折旧年限确定不合理且折旧计提不准确，得0分</w:t>
            </w:r>
          </w:p>
          <w:p w14:paraId="64919A13">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对接受捐赠及捐出的资产管理情况：</w:t>
            </w:r>
          </w:p>
          <w:p w14:paraId="57368DA9">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□无接受捐赠及捐出的实物资产或对接受捐赠及捐出的资产按规定及时进行会计核算，手续齐全，未形成账外资产，得0.4分</w:t>
            </w:r>
          </w:p>
          <w:p w14:paraId="753C34F8">
            <w:pPr>
              <w:widowControl/>
              <w:jc w:val="left"/>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lang w:eastAsia="zh-CN"/>
              </w:rPr>
              <w:t>□</w:t>
            </w:r>
            <w:r>
              <w:rPr>
                <w:rFonts w:hint="eastAsia" w:ascii="宋体" w:hAnsi="宋体" w:cs="宋体"/>
                <w:kern w:val="0"/>
                <w:sz w:val="22"/>
                <w:szCs w:val="22"/>
                <w:highlight w:val="none"/>
              </w:rPr>
              <w:t>对接受捐赠及捐出的资产未按规定进行会计核算或形成账外资产，得0分</w:t>
            </w:r>
          </w:p>
        </w:tc>
        <w:tc>
          <w:tcPr>
            <w:tcW w:w="283" w:type="pct"/>
            <w:tcBorders>
              <w:top w:val="nil"/>
              <w:left w:val="nil"/>
              <w:bottom w:val="single" w:color="auto" w:sz="4" w:space="0"/>
              <w:right w:val="single" w:color="auto" w:sz="4" w:space="0"/>
            </w:tcBorders>
            <w:noWrap/>
            <w:vAlign w:val="center"/>
          </w:tcPr>
          <w:p w14:paraId="14A324E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77BFA51C">
        <w:tblPrEx>
          <w:tblCellMar>
            <w:top w:w="0" w:type="dxa"/>
            <w:left w:w="108" w:type="dxa"/>
            <w:bottom w:w="0" w:type="dxa"/>
            <w:right w:w="108" w:type="dxa"/>
          </w:tblCellMar>
        </w:tblPrEx>
        <w:trPr>
          <w:trHeight w:val="3762" w:hRule="atLeast"/>
        </w:trPr>
        <w:tc>
          <w:tcPr>
            <w:tcW w:w="445" w:type="pct"/>
            <w:vMerge w:val="restart"/>
            <w:tcBorders>
              <w:top w:val="single" w:color="auto" w:sz="4" w:space="0"/>
              <w:left w:val="single" w:color="auto" w:sz="4" w:space="0"/>
              <w:right w:val="single" w:color="auto" w:sz="4" w:space="0"/>
            </w:tcBorders>
            <w:noWrap w:val="0"/>
            <w:vAlign w:val="center"/>
          </w:tcPr>
          <w:p w14:paraId="594E3E1F">
            <w:pPr>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7" w:type="pct"/>
            <w:vMerge w:val="restart"/>
            <w:tcBorders>
              <w:top w:val="single" w:color="auto" w:sz="4" w:space="0"/>
              <w:left w:val="single" w:color="auto" w:sz="4" w:space="0"/>
              <w:right w:val="single" w:color="auto" w:sz="4" w:space="0"/>
            </w:tcBorders>
            <w:noWrap w:val="0"/>
            <w:vAlign w:val="center"/>
          </w:tcPr>
          <w:p w14:paraId="19EDB879">
            <w:pPr>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58" w:type="pct"/>
            <w:tcBorders>
              <w:top w:val="single" w:color="auto" w:sz="4" w:space="0"/>
              <w:left w:val="single" w:color="auto" w:sz="4" w:space="0"/>
              <w:bottom w:val="single" w:color="auto" w:sz="4" w:space="0"/>
              <w:right w:val="single" w:color="auto" w:sz="4" w:space="0"/>
            </w:tcBorders>
            <w:noWrap w:val="0"/>
            <w:vAlign w:val="center"/>
          </w:tcPr>
          <w:p w14:paraId="4F48D1F8">
            <w:pPr>
              <w:jc w:val="center"/>
              <w:rPr>
                <w:rFonts w:ascii="宋体" w:hAnsi="宋体" w:cs="宋体"/>
                <w:kern w:val="0"/>
                <w:sz w:val="22"/>
                <w:szCs w:val="22"/>
                <w:highlight w:val="none"/>
              </w:rPr>
            </w:pPr>
            <w:r>
              <w:rPr>
                <w:rFonts w:hint="eastAsia" w:ascii="宋体" w:hAnsi="宋体" w:cs="宋体"/>
                <w:kern w:val="0"/>
                <w:sz w:val="22"/>
                <w:szCs w:val="22"/>
                <w:highlight w:val="none"/>
              </w:rPr>
              <w:t>财务管理</w:t>
            </w:r>
          </w:p>
        </w:tc>
        <w:tc>
          <w:tcPr>
            <w:tcW w:w="489" w:type="pct"/>
            <w:tcBorders>
              <w:top w:val="single" w:color="auto" w:sz="4" w:space="0"/>
              <w:left w:val="nil"/>
              <w:bottom w:val="single" w:color="auto" w:sz="4" w:space="0"/>
              <w:right w:val="single" w:color="auto" w:sz="4" w:space="0"/>
            </w:tcBorders>
            <w:noWrap w:val="0"/>
            <w:vAlign w:val="center"/>
          </w:tcPr>
          <w:p w14:paraId="35B6D50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分支机构财务管理</w:t>
            </w:r>
          </w:p>
        </w:tc>
        <w:tc>
          <w:tcPr>
            <w:tcW w:w="2868" w:type="pct"/>
            <w:tcBorders>
              <w:top w:val="nil"/>
              <w:left w:val="nil"/>
              <w:bottom w:val="single" w:color="auto" w:sz="4" w:space="0"/>
              <w:right w:val="single" w:color="auto" w:sz="4" w:space="0"/>
            </w:tcBorders>
            <w:noWrap w:val="0"/>
            <w:vAlign w:val="center"/>
          </w:tcPr>
          <w:p w14:paraId="06F4CABC">
            <w:pPr>
              <w:widowControl/>
              <w:jc w:val="left"/>
              <w:rPr>
                <w:rFonts w:ascii="宋体" w:hAnsi="宋体" w:cs="宋体"/>
                <w:kern w:val="0"/>
                <w:sz w:val="22"/>
                <w:szCs w:val="22"/>
                <w:highlight w:val="none"/>
              </w:rPr>
            </w:pPr>
            <w:r>
              <w:rPr>
                <w:rFonts w:hint="eastAsia" w:ascii="宋体" w:hAnsi="宋体" w:cs="宋体"/>
                <w:kern w:val="0"/>
                <w:sz w:val="22"/>
                <w:szCs w:val="22"/>
                <w:highlight w:val="none"/>
              </w:rPr>
              <w:t>□未设立分支机构，得0.5分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分支机构的经济活动开展清况：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□分支机构的所有经济活动均在社团批准或授权的范围内开展，如未单独收取会费、无对外投资、经批准开立银行账号等，得0.2分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□分支机构的经济活动未全部在社团批准或授权的范围内开展，得0分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对分支机构的财务监管情况：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□履行了对分支机构的监督和管理职责，建立的分支机构的会计核算办法和财务管理制度得到有效执行，得0.3分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□未履行对分支机构的监督和管理职责，未建立分支机构的会计核算办法和财务管理制度，得0分</w:t>
            </w:r>
          </w:p>
        </w:tc>
        <w:tc>
          <w:tcPr>
            <w:tcW w:w="283" w:type="pct"/>
            <w:tcBorders>
              <w:top w:val="nil"/>
              <w:left w:val="nil"/>
              <w:bottom w:val="single" w:color="auto" w:sz="4" w:space="0"/>
              <w:right w:val="single" w:color="auto" w:sz="4" w:space="0"/>
            </w:tcBorders>
            <w:noWrap/>
            <w:vAlign w:val="center"/>
          </w:tcPr>
          <w:p w14:paraId="50436DD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70D49654">
        <w:tblPrEx>
          <w:tblCellMar>
            <w:top w:w="0" w:type="dxa"/>
            <w:left w:w="108" w:type="dxa"/>
            <w:bottom w:w="0" w:type="dxa"/>
            <w:right w:w="108" w:type="dxa"/>
          </w:tblCellMar>
        </w:tblPrEx>
        <w:trPr>
          <w:trHeight w:val="1954" w:hRule="atLeast"/>
        </w:trPr>
        <w:tc>
          <w:tcPr>
            <w:tcW w:w="445" w:type="pct"/>
            <w:vMerge w:val="continue"/>
            <w:tcBorders>
              <w:left w:val="single" w:color="auto" w:sz="4" w:space="0"/>
              <w:right w:val="single" w:color="auto" w:sz="4" w:space="0"/>
            </w:tcBorders>
            <w:noWrap w:val="0"/>
            <w:vAlign w:val="center"/>
          </w:tcPr>
          <w:p w14:paraId="4379E85D">
            <w:pPr>
              <w:widowControl/>
              <w:jc w:val="center"/>
              <w:rPr>
                <w:rFonts w:ascii="宋体" w:hAnsi="宋体" w:cs="宋体"/>
                <w:kern w:val="0"/>
                <w:sz w:val="22"/>
                <w:szCs w:val="22"/>
                <w:highlight w:val="none"/>
              </w:rPr>
            </w:pPr>
          </w:p>
        </w:tc>
        <w:tc>
          <w:tcPr>
            <w:tcW w:w="457" w:type="pct"/>
            <w:vMerge w:val="continue"/>
            <w:tcBorders>
              <w:left w:val="single" w:color="auto" w:sz="4" w:space="0"/>
              <w:right w:val="single" w:color="auto" w:sz="4" w:space="0"/>
            </w:tcBorders>
            <w:noWrap w:val="0"/>
            <w:vAlign w:val="center"/>
          </w:tcPr>
          <w:p w14:paraId="7EBC6E2A">
            <w:pPr>
              <w:widowControl/>
              <w:jc w:val="center"/>
              <w:rPr>
                <w:rFonts w:ascii="宋体" w:hAnsi="宋体" w:cs="宋体"/>
                <w:kern w:val="0"/>
                <w:sz w:val="22"/>
                <w:szCs w:val="22"/>
                <w:highlight w:val="none"/>
              </w:rPr>
            </w:pPr>
          </w:p>
        </w:tc>
        <w:tc>
          <w:tcPr>
            <w:tcW w:w="458" w:type="pct"/>
            <w:vMerge w:val="restart"/>
            <w:tcBorders>
              <w:top w:val="nil"/>
              <w:left w:val="single" w:color="auto" w:sz="4" w:space="0"/>
              <w:bottom w:val="single" w:color="auto" w:sz="4" w:space="0"/>
              <w:right w:val="single" w:color="auto" w:sz="4" w:space="0"/>
            </w:tcBorders>
            <w:noWrap w:val="0"/>
            <w:vAlign w:val="center"/>
          </w:tcPr>
          <w:p w14:paraId="18C0287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收费管理</w:t>
            </w:r>
          </w:p>
        </w:tc>
        <w:tc>
          <w:tcPr>
            <w:tcW w:w="489" w:type="pct"/>
            <w:tcBorders>
              <w:top w:val="nil"/>
              <w:left w:val="nil"/>
              <w:bottom w:val="single" w:color="auto" w:sz="4" w:space="0"/>
              <w:right w:val="single" w:color="auto" w:sz="4" w:space="0"/>
            </w:tcBorders>
            <w:noWrap w:val="0"/>
            <w:vAlign w:val="center"/>
          </w:tcPr>
          <w:p w14:paraId="3B5D640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会费标准制定</w:t>
            </w:r>
          </w:p>
        </w:tc>
        <w:tc>
          <w:tcPr>
            <w:tcW w:w="2868" w:type="pct"/>
            <w:tcBorders>
              <w:top w:val="nil"/>
              <w:left w:val="nil"/>
              <w:bottom w:val="single" w:color="auto" w:sz="4" w:space="0"/>
              <w:right w:val="single" w:color="auto" w:sz="4" w:space="0"/>
            </w:tcBorders>
            <w:noWrap w:val="0"/>
            <w:vAlign w:val="center"/>
          </w:tcPr>
          <w:p w14:paraId="42B26410">
            <w:pPr>
              <w:widowControl/>
              <w:jc w:val="left"/>
              <w:rPr>
                <w:rFonts w:ascii="宋体" w:hAnsi="宋体" w:cs="宋体"/>
                <w:kern w:val="0"/>
                <w:sz w:val="22"/>
                <w:szCs w:val="22"/>
                <w:highlight w:val="none"/>
              </w:rPr>
            </w:pPr>
            <w:r>
              <w:rPr>
                <w:rFonts w:hint="eastAsia" w:ascii="宋体" w:hAnsi="宋体" w:cs="宋体"/>
                <w:kern w:val="0"/>
                <w:sz w:val="22"/>
                <w:szCs w:val="22"/>
                <w:highlight w:val="none"/>
              </w:rPr>
              <w:t>□会费档次设置合理，会费标准额度有明确金额，会费标准经会员（代表）大会表决通过，且向全体会员公开，得1分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□以上要求任何一项不符合，得0分</w:t>
            </w:r>
          </w:p>
        </w:tc>
        <w:tc>
          <w:tcPr>
            <w:tcW w:w="283" w:type="pct"/>
            <w:tcBorders>
              <w:top w:val="nil"/>
              <w:left w:val="nil"/>
              <w:bottom w:val="single" w:color="auto" w:sz="4" w:space="0"/>
              <w:right w:val="single" w:color="auto" w:sz="4" w:space="0"/>
            </w:tcBorders>
            <w:noWrap/>
            <w:vAlign w:val="center"/>
          </w:tcPr>
          <w:p w14:paraId="41F6919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63443C9F">
        <w:tblPrEx>
          <w:tblCellMar>
            <w:top w:w="0" w:type="dxa"/>
            <w:left w:w="108" w:type="dxa"/>
            <w:bottom w:w="0" w:type="dxa"/>
            <w:right w:w="108" w:type="dxa"/>
          </w:tblCellMar>
        </w:tblPrEx>
        <w:trPr>
          <w:trHeight w:val="2269" w:hRule="atLeast"/>
        </w:trPr>
        <w:tc>
          <w:tcPr>
            <w:tcW w:w="445" w:type="pct"/>
            <w:vMerge w:val="continue"/>
            <w:tcBorders>
              <w:left w:val="single" w:color="auto" w:sz="4" w:space="0"/>
              <w:bottom w:val="single" w:color="auto" w:sz="4" w:space="0"/>
              <w:right w:val="single" w:color="auto" w:sz="4" w:space="0"/>
            </w:tcBorders>
            <w:noWrap w:val="0"/>
            <w:vAlign w:val="center"/>
          </w:tcPr>
          <w:p w14:paraId="13D2347A">
            <w:pPr>
              <w:widowControl/>
              <w:jc w:val="left"/>
              <w:rPr>
                <w:rFonts w:ascii="宋体" w:hAnsi="宋体" w:cs="宋体"/>
                <w:kern w:val="0"/>
                <w:sz w:val="22"/>
                <w:szCs w:val="22"/>
                <w:highlight w:val="none"/>
              </w:rPr>
            </w:pPr>
          </w:p>
        </w:tc>
        <w:tc>
          <w:tcPr>
            <w:tcW w:w="457" w:type="pct"/>
            <w:vMerge w:val="continue"/>
            <w:tcBorders>
              <w:left w:val="single" w:color="auto" w:sz="4" w:space="0"/>
              <w:bottom w:val="single" w:color="auto" w:sz="4" w:space="0"/>
              <w:right w:val="single" w:color="auto" w:sz="4" w:space="0"/>
            </w:tcBorders>
            <w:noWrap w:val="0"/>
            <w:vAlign w:val="center"/>
          </w:tcPr>
          <w:p w14:paraId="45124190">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0C8B099F">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0C953B1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会费收取和管理</w:t>
            </w:r>
          </w:p>
        </w:tc>
        <w:tc>
          <w:tcPr>
            <w:tcW w:w="2868" w:type="pct"/>
            <w:tcBorders>
              <w:top w:val="nil"/>
              <w:left w:val="nil"/>
              <w:bottom w:val="single" w:color="auto" w:sz="4" w:space="0"/>
              <w:right w:val="single" w:color="auto" w:sz="4" w:space="0"/>
            </w:tcBorders>
            <w:noWrap w:val="0"/>
            <w:vAlign w:val="center"/>
          </w:tcPr>
          <w:p w14:paraId="1C97F1B2">
            <w:pPr>
              <w:widowControl/>
              <w:jc w:val="left"/>
              <w:rPr>
                <w:rFonts w:ascii="宋体" w:hAnsi="宋体" w:cs="宋体"/>
                <w:kern w:val="0"/>
                <w:sz w:val="22"/>
                <w:szCs w:val="22"/>
                <w:highlight w:val="none"/>
              </w:rPr>
            </w:pPr>
            <w:r>
              <w:rPr>
                <w:rFonts w:hint="eastAsia" w:ascii="宋体" w:hAnsi="宋体" w:cs="宋体"/>
                <w:kern w:val="0"/>
                <w:sz w:val="22"/>
                <w:szCs w:val="22"/>
                <w:highlight w:val="none"/>
              </w:rPr>
              <w:t>□设立专账管理会费，向会员公布年度收支情况，不存在重复收费、分支机构单独制定会费标准情况，有各年度会费收取统计表（明细表和汇总表），得1分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□存在未设立专账管理、未向会员公布年度收支、重复收费、分支机构单独制定会费标准情况的，得0分；不存在上述情况，但年度会费收取统计表不完整的，得0.5分</w:t>
            </w:r>
          </w:p>
        </w:tc>
        <w:tc>
          <w:tcPr>
            <w:tcW w:w="283" w:type="pct"/>
            <w:tcBorders>
              <w:top w:val="nil"/>
              <w:left w:val="nil"/>
              <w:bottom w:val="single" w:color="auto" w:sz="4" w:space="0"/>
              <w:right w:val="single" w:color="auto" w:sz="4" w:space="0"/>
            </w:tcBorders>
            <w:noWrap/>
            <w:vAlign w:val="center"/>
          </w:tcPr>
          <w:p w14:paraId="1B8000F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2BC88A58">
        <w:tblPrEx>
          <w:tblCellMar>
            <w:top w:w="0" w:type="dxa"/>
            <w:left w:w="108" w:type="dxa"/>
            <w:bottom w:w="0" w:type="dxa"/>
            <w:right w:w="108" w:type="dxa"/>
          </w:tblCellMar>
        </w:tblPrEx>
        <w:trPr>
          <w:trHeight w:val="2722" w:hRule="exact"/>
        </w:trPr>
        <w:tc>
          <w:tcPr>
            <w:tcW w:w="445" w:type="pct"/>
            <w:vMerge w:val="restart"/>
            <w:tcBorders>
              <w:top w:val="nil"/>
              <w:left w:val="single" w:color="auto" w:sz="4" w:space="0"/>
              <w:right w:val="single" w:color="auto" w:sz="4" w:space="0"/>
            </w:tcBorders>
            <w:noWrap w:val="0"/>
            <w:vAlign w:val="center"/>
          </w:tcPr>
          <w:p w14:paraId="02D1B92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7" w:type="pct"/>
            <w:vMerge w:val="restart"/>
            <w:tcBorders>
              <w:top w:val="nil"/>
              <w:left w:val="single" w:color="auto" w:sz="4" w:space="0"/>
              <w:right w:val="single" w:color="auto" w:sz="4" w:space="0"/>
            </w:tcBorders>
            <w:noWrap w:val="0"/>
            <w:vAlign w:val="center"/>
          </w:tcPr>
          <w:p w14:paraId="2202921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58" w:type="pct"/>
            <w:vMerge w:val="restart"/>
            <w:tcBorders>
              <w:top w:val="nil"/>
              <w:left w:val="single" w:color="auto" w:sz="4" w:space="0"/>
              <w:bottom w:val="single" w:color="auto" w:sz="4" w:space="0"/>
              <w:right w:val="single" w:color="auto" w:sz="4" w:space="0"/>
            </w:tcBorders>
            <w:noWrap w:val="0"/>
            <w:vAlign w:val="center"/>
          </w:tcPr>
          <w:p w14:paraId="18981AF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收费管理</w:t>
            </w:r>
          </w:p>
        </w:tc>
        <w:tc>
          <w:tcPr>
            <w:tcW w:w="489" w:type="pct"/>
            <w:tcBorders>
              <w:top w:val="nil"/>
              <w:left w:val="nil"/>
              <w:bottom w:val="single" w:color="auto" w:sz="4" w:space="0"/>
              <w:right w:val="single" w:color="auto" w:sz="4" w:space="0"/>
            </w:tcBorders>
            <w:noWrap w:val="0"/>
            <w:vAlign w:val="center"/>
          </w:tcPr>
          <w:p w14:paraId="3517696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会费票据</w:t>
            </w:r>
          </w:p>
        </w:tc>
        <w:tc>
          <w:tcPr>
            <w:tcW w:w="2868" w:type="pct"/>
            <w:tcBorders>
              <w:top w:val="nil"/>
              <w:left w:val="nil"/>
              <w:bottom w:val="single" w:color="auto" w:sz="4" w:space="0"/>
              <w:right w:val="single" w:color="auto" w:sz="4" w:space="0"/>
            </w:tcBorders>
            <w:noWrap w:val="0"/>
            <w:vAlign w:val="center"/>
          </w:tcPr>
          <w:p w14:paraId="6F3A9E26">
            <w:pPr>
              <w:widowControl/>
              <w:jc w:val="left"/>
              <w:rPr>
                <w:rFonts w:ascii="宋体" w:hAnsi="宋体" w:cs="宋体"/>
                <w:kern w:val="0"/>
                <w:sz w:val="22"/>
                <w:szCs w:val="22"/>
                <w:highlight w:val="none"/>
              </w:rPr>
            </w:pPr>
            <w:r>
              <w:rPr>
                <w:rFonts w:hint="eastAsia" w:ascii="宋体" w:hAnsi="宋体" w:cs="宋体"/>
                <w:kern w:val="0"/>
                <w:sz w:val="22"/>
                <w:szCs w:val="22"/>
                <w:highlight w:val="none"/>
              </w:rPr>
              <w:t>□未发现使用会费票据收取其他业务收入（如：会议费、培训、展览、赞助、课题等）情况，得0.2分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□发现存在使用会费票据收取其他业务收入情况，得0分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□收取会费未使用会费票据，得0分</w:t>
            </w:r>
          </w:p>
        </w:tc>
        <w:tc>
          <w:tcPr>
            <w:tcW w:w="283" w:type="pct"/>
            <w:tcBorders>
              <w:top w:val="nil"/>
              <w:left w:val="nil"/>
              <w:bottom w:val="single" w:color="auto" w:sz="4" w:space="0"/>
              <w:right w:val="single" w:color="auto" w:sz="4" w:space="0"/>
            </w:tcBorders>
            <w:noWrap/>
            <w:vAlign w:val="center"/>
          </w:tcPr>
          <w:p w14:paraId="5BBDBCA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0.2</w:t>
            </w:r>
          </w:p>
        </w:tc>
      </w:tr>
      <w:tr w14:paraId="6F5C7638">
        <w:tblPrEx>
          <w:tblCellMar>
            <w:top w:w="0" w:type="dxa"/>
            <w:left w:w="108" w:type="dxa"/>
            <w:bottom w:w="0" w:type="dxa"/>
            <w:right w:w="108" w:type="dxa"/>
          </w:tblCellMar>
        </w:tblPrEx>
        <w:trPr>
          <w:trHeight w:val="2722" w:hRule="exact"/>
        </w:trPr>
        <w:tc>
          <w:tcPr>
            <w:tcW w:w="445" w:type="pct"/>
            <w:vMerge w:val="continue"/>
            <w:tcBorders>
              <w:left w:val="single" w:color="auto" w:sz="4" w:space="0"/>
              <w:right w:val="single" w:color="auto" w:sz="4" w:space="0"/>
            </w:tcBorders>
            <w:noWrap w:val="0"/>
            <w:vAlign w:val="center"/>
          </w:tcPr>
          <w:p w14:paraId="38AFB06E">
            <w:pPr>
              <w:widowControl/>
              <w:jc w:val="left"/>
              <w:rPr>
                <w:rFonts w:ascii="宋体" w:hAnsi="宋体" w:cs="宋体"/>
                <w:kern w:val="0"/>
                <w:sz w:val="22"/>
                <w:szCs w:val="22"/>
                <w:highlight w:val="none"/>
              </w:rPr>
            </w:pPr>
          </w:p>
        </w:tc>
        <w:tc>
          <w:tcPr>
            <w:tcW w:w="457" w:type="pct"/>
            <w:vMerge w:val="continue"/>
            <w:tcBorders>
              <w:left w:val="single" w:color="auto" w:sz="4" w:space="0"/>
              <w:right w:val="single" w:color="auto" w:sz="4" w:space="0"/>
            </w:tcBorders>
            <w:noWrap w:val="0"/>
            <w:vAlign w:val="center"/>
          </w:tcPr>
          <w:p w14:paraId="5DAA4733">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309C5BC3">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084EAC5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经营服务性</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收费</w:t>
            </w:r>
          </w:p>
        </w:tc>
        <w:tc>
          <w:tcPr>
            <w:tcW w:w="2868" w:type="pct"/>
            <w:tcBorders>
              <w:top w:val="nil"/>
              <w:left w:val="nil"/>
              <w:bottom w:val="single" w:color="auto" w:sz="4" w:space="0"/>
              <w:right w:val="single" w:color="auto" w:sz="4" w:space="0"/>
            </w:tcBorders>
            <w:noWrap w:val="0"/>
            <w:vAlign w:val="center"/>
          </w:tcPr>
          <w:p w14:paraId="4C7DF5BD">
            <w:pPr>
              <w:widowControl/>
              <w:jc w:val="left"/>
              <w:rPr>
                <w:rFonts w:ascii="宋体" w:hAnsi="宋体" w:cs="宋体"/>
                <w:kern w:val="0"/>
                <w:sz w:val="22"/>
                <w:szCs w:val="22"/>
                <w:highlight w:val="none"/>
              </w:rPr>
            </w:pPr>
            <w:r>
              <w:rPr>
                <w:rFonts w:hint="eastAsia" w:ascii="宋体" w:hAnsi="宋体" w:cs="宋体"/>
                <w:kern w:val="0"/>
                <w:sz w:val="22"/>
                <w:szCs w:val="22"/>
                <w:highlight w:val="none"/>
              </w:rPr>
              <w:t>□确定公允的价格并公开收费标准，提供质价相符的服务，得0.5分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□未公开收费标准，所提供的的服务质价基本相符，得0.2分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□未公开收费标准，提供质价明显不符的服务，得0分</w:t>
            </w:r>
          </w:p>
        </w:tc>
        <w:tc>
          <w:tcPr>
            <w:tcW w:w="283" w:type="pct"/>
            <w:tcBorders>
              <w:top w:val="nil"/>
              <w:left w:val="nil"/>
              <w:bottom w:val="single" w:color="auto" w:sz="4" w:space="0"/>
              <w:right w:val="single" w:color="auto" w:sz="4" w:space="0"/>
            </w:tcBorders>
            <w:noWrap/>
            <w:vAlign w:val="center"/>
          </w:tcPr>
          <w:p w14:paraId="0290AFD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7F5E02BD">
        <w:tblPrEx>
          <w:tblCellMar>
            <w:top w:w="0" w:type="dxa"/>
            <w:left w:w="108" w:type="dxa"/>
            <w:bottom w:w="0" w:type="dxa"/>
            <w:right w:w="108" w:type="dxa"/>
          </w:tblCellMar>
        </w:tblPrEx>
        <w:trPr>
          <w:trHeight w:val="2722" w:hRule="exact"/>
        </w:trPr>
        <w:tc>
          <w:tcPr>
            <w:tcW w:w="445" w:type="pct"/>
            <w:vMerge w:val="continue"/>
            <w:tcBorders>
              <w:left w:val="single" w:color="auto" w:sz="4" w:space="0"/>
              <w:bottom w:val="single" w:color="auto" w:sz="4" w:space="0"/>
              <w:right w:val="single" w:color="auto" w:sz="4" w:space="0"/>
            </w:tcBorders>
            <w:noWrap w:val="0"/>
            <w:vAlign w:val="center"/>
          </w:tcPr>
          <w:p w14:paraId="29AD7C69">
            <w:pPr>
              <w:widowControl/>
              <w:jc w:val="left"/>
              <w:rPr>
                <w:rFonts w:ascii="宋体" w:hAnsi="宋体" w:cs="宋体"/>
                <w:kern w:val="0"/>
                <w:sz w:val="22"/>
                <w:szCs w:val="22"/>
                <w:highlight w:val="none"/>
              </w:rPr>
            </w:pPr>
          </w:p>
        </w:tc>
        <w:tc>
          <w:tcPr>
            <w:tcW w:w="457" w:type="pct"/>
            <w:vMerge w:val="continue"/>
            <w:tcBorders>
              <w:left w:val="single" w:color="auto" w:sz="4" w:space="0"/>
              <w:bottom w:val="single" w:color="auto" w:sz="4" w:space="0"/>
              <w:right w:val="single" w:color="auto" w:sz="4" w:space="0"/>
            </w:tcBorders>
            <w:noWrap w:val="0"/>
            <w:vAlign w:val="center"/>
          </w:tcPr>
          <w:p w14:paraId="20704BA8">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17EA3855">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0B6A618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信息管理系统使用</w:t>
            </w:r>
          </w:p>
        </w:tc>
        <w:tc>
          <w:tcPr>
            <w:tcW w:w="2868" w:type="pct"/>
            <w:tcBorders>
              <w:top w:val="nil"/>
              <w:left w:val="nil"/>
              <w:bottom w:val="single" w:color="auto" w:sz="4" w:space="0"/>
              <w:right w:val="single" w:color="auto" w:sz="4" w:space="0"/>
            </w:tcBorders>
            <w:noWrap w:val="0"/>
            <w:vAlign w:val="center"/>
          </w:tcPr>
          <w:p w14:paraId="4028B911">
            <w:pPr>
              <w:widowControl/>
              <w:jc w:val="left"/>
              <w:rPr>
                <w:rFonts w:ascii="宋体" w:hAnsi="宋体" w:cs="宋体"/>
                <w:kern w:val="0"/>
                <w:sz w:val="22"/>
                <w:szCs w:val="22"/>
                <w:highlight w:val="none"/>
              </w:rPr>
            </w:pPr>
            <w:r>
              <w:rPr>
                <w:rFonts w:hint="eastAsia" w:ascii="宋体" w:hAnsi="宋体" w:cs="宋体"/>
                <w:kern w:val="0"/>
                <w:sz w:val="22"/>
                <w:szCs w:val="22"/>
                <w:highlight w:val="none"/>
              </w:rPr>
              <w:t>□使用山东省财政票据信息管理系统管理会费票据，且系统使用规范的，得0.2分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□使用山东省财政票据信息管理系统管理会费票据，但票据使用信息录入不完全的，得0.1分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□未使用山东省财政票据信息管理系统管理财政票据的，得0分</w:t>
            </w:r>
          </w:p>
        </w:tc>
        <w:tc>
          <w:tcPr>
            <w:tcW w:w="283" w:type="pct"/>
            <w:tcBorders>
              <w:top w:val="nil"/>
              <w:left w:val="nil"/>
              <w:bottom w:val="single" w:color="auto" w:sz="4" w:space="0"/>
              <w:right w:val="single" w:color="auto" w:sz="4" w:space="0"/>
            </w:tcBorders>
            <w:noWrap/>
            <w:vAlign w:val="center"/>
          </w:tcPr>
          <w:p w14:paraId="13C78BD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0.2</w:t>
            </w:r>
          </w:p>
        </w:tc>
      </w:tr>
      <w:tr w14:paraId="6D78D965">
        <w:tblPrEx>
          <w:tblCellMar>
            <w:top w:w="0" w:type="dxa"/>
            <w:left w:w="108" w:type="dxa"/>
            <w:bottom w:w="0" w:type="dxa"/>
            <w:right w:w="108" w:type="dxa"/>
          </w:tblCellMar>
        </w:tblPrEx>
        <w:trPr>
          <w:trHeight w:val="4082" w:hRule="exact"/>
        </w:trPr>
        <w:tc>
          <w:tcPr>
            <w:tcW w:w="445" w:type="pct"/>
            <w:vMerge w:val="restart"/>
            <w:tcBorders>
              <w:top w:val="nil"/>
              <w:left w:val="single" w:color="auto" w:sz="4" w:space="0"/>
              <w:right w:val="single" w:color="auto" w:sz="4" w:space="0"/>
            </w:tcBorders>
            <w:noWrap w:val="0"/>
            <w:vAlign w:val="center"/>
          </w:tcPr>
          <w:p w14:paraId="105B031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7" w:type="pct"/>
            <w:vMerge w:val="restart"/>
            <w:tcBorders>
              <w:top w:val="nil"/>
              <w:left w:val="single" w:color="auto" w:sz="4" w:space="0"/>
              <w:right w:val="single" w:color="auto" w:sz="4" w:space="0"/>
            </w:tcBorders>
            <w:noWrap w:val="0"/>
            <w:vAlign w:val="center"/>
          </w:tcPr>
          <w:p w14:paraId="615EBC5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58" w:type="pct"/>
            <w:vMerge w:val="restart"/>
            <w:tcBorders>
              <w:top w:val="nil"/>
              <w:left w:val="single" w:color="auto" w:sz="4" w:space="0"/>
              <w:bottom w:val="single" w:color="auto" w:sz="4" w:space="0"/>
              <w:right w:val="single" w:color="auto" w:sz="4" w:space="0"/>
            </w:tcBorders>
            <w:noWrap w:val="0"/>
            <w:vAlign w:val="center"/>
          </w:tcPr>
          <w:p w14:paraId="40F1332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税务及票据管理</w:t>
            </w:r>
          </w:p>
        </w:tc>
        <w:tc>
          <w:tcPr>
            <w:tcW w:w="489" w:type="pct"/>
            <w:tcBorders>
              <w:top w:val="nil"/>
              <w:left w:val="nil"/>
              <w:bottom w:val="single" w:color="auto" w:sz="4" w:space="0"/>
              <w:right w:val="single" w:color="auto" w:sz="4" w:space="0"/>
            </w:tcBorders>
            <w:noWrap w:val="0"/>
            <w:vAlign w:val="center"/>
          </w:tcPr>
          <w:p w14:paraId="0118A86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税务登记和纳税申报</w:t>
            </w:r>
          </w:p>
        </w:tc>
        <w:tc>
          <w:tcPr>
            <w:tcW w:w="2868" w:type="pct"/>
            <w:tcBorders>
              <w:top w:val="nil"/>
              <w:left w:val="nil"/>
              <w:bottom w:val="single" w:color="auto" w:sz="4" w:space="0"/>
              <w:right w:val="single" w:color="auto" w:sz="4" w:space="0"/>
            </w:tcBorders>
            <w:noWrap w:val="0"/>
            <w:vAlign w:val="center"/>
          </w:tcPr>
          <w:p w14:paraId="0558ECEE">
            <w:pPr>
              <w:widowControl/>
              <w:jc w:val="left"/>
              <w:rPr>
                <w:rFonts w:ascii="宋体" w:hAnsi="宋体" w:cs="宋体"/>
                <w:kern w:val="0"/>
                <w:sz w:val="22"/>
                <w:szCs w:val="22"/>
                <w:highlight w:val="none"/>
              </w:rPr>
            </w:pPr>
            <w:r>
              <w:rPr>
                <w:rFonts w:hint="eastAsia" w:ascii="宋体" w:hAnsi="宋体" w:cs="宋体"/>
                <w:kern w:val="0"/>
                <w:sz w:val="22"/>
                <w:szCs w:val="22"/>
                <w:highlight w:val="none"/>
              </w:rPr>
              <w:t>税务登记情况：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□按规定办理税务登记及备案、变更手续，得0.1分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□未按规定办理税务登记及备案、变更手续，得0分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各项税款申报、缴纳情况：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□按规定申报、缴纳个人所得税、增值税、企业所得税、房产税、印花税等，得0.4分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□存在1项未按规定申报、缴纳，得0.3分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□存在2项未按规定申报、缴纳，得0.2分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□存在3项未按规定申报、缴纳，得0分</w:t>
            </w:r>
          </w:p>
        </w:tc>
        <w:tc>
          <w:tcPr>
            <w:tcW w:w="283" w:type="pct"/>
            <w:tcBorders>
              <w:top w:val="nil"/>
              <w:left w:val="nil"/>
              <w:bottom w:val="single" w:color="auto" w:sz="4" w:space="0"/>
              <w:right w:val="single" w:color="auto" w:sz="4" w:space="0"/>
            </w:tcBorders>
            <w:noWrap/>
            <w:vAlign w:val="center"/>
          </w:tcPr>
          <w:p w14:paraId="4DAA1FA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0D92E729">
        <w:tblPrEx>
          <w:tblCellMar>
            <w:top w:w="0" w:type="dxa"/>
            <w:left w:w="108" w:type="dxa"/>
            <w:bottom w:w="0" w:type="dxa"/>
            <w:right w:w="108" w:type="dxa"/>
          </w:tblCellMar>
        </w:tblPrEx>
        <w:trPr>
          <w:trHeight w:val="4082" w:hRule="exact"/>
        </w:trPr>
        <w:tc>
          <w:tcPr>
            <w:tcW w:w="445" w:type="pct"/>
            <w:vMerge w:val="continue"/>
            <w:tcBorders>
              <w:left w:val="single" w:color="auto" w:sz="4" w:space="0"/>
              <w:bottom w:val="single" w:color="auto" w:sz="4" w:space="0"/>
              <w:right w:val="single" w:color="auto" w:sz="4" w:space="0"/>
            </w:tcBorders>
            <w:noWrap w:val="0"/>
            <w:vAlign w:val="center"/>
          </w:tcPr>
          <w:p w14:paraId="06C64315">
            <w:pPr>
              <w:widowControl/>
              <w:jc w:val="left"/>
              <w:rPr>
                <w:rFonts w:ascii="宋体" w:hAnsi="宋体" w:cs="宋体"/>
                <w:kern w:val="0"/>
                <w:sz w:val="22"/>
                <w:szCs w:val="22"/>
                <w:highlight w:val="none"/>
              </w:rPr>
            </w:pPr>
          </w:p>
        </w:tc>
        <w:tc>
          <w:tcPr>
            <w:tcW w:w="457" w:type="pct"/>
            <w:vMerge w:val="continue"/>
            <w:tcBorders>
              <w:left w:val="single" w:color="auto" w:sz="4" w:space="0"/>
              <w:bottom w:val="single" w:color="auto" w:sz="4" w:space="0"/>
              <w:right w:val="single" w:color="auto" w:sz="4" w:space="0"/>
            </w:tcBorders>
            <w:noWrap w:val="0"/>
            <w:vAlign w:val="center"/>
          </w:tcPr>
          <w:p w14:paraId="298700F3">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5EFDD64D">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7B5C7C5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票据使用和</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管理</w:t>
            </w:r>
          </w:p>
        </w:tc>
        <w:tc>
          <w:tcPr>
            <w:tcW w:w="2868" w:type="pct"/>
            <w:tcBorders>
              <w:top w:val="nil"/>
              <w:left w:val="nil"/>
              <w:bottom w:val="single" w:color="auto" w:sz="4" w:space="0"/>
              <w:right w:val="single" w:color="auto" w:sz="4" w:space="0"/>
            </w:tcBorders>
            <w:noWrap w:val="0"/>
            <w:vAlign w:val="center"/>
          </w:tcPr>
          <w:p w14:paraId="2F6DEAA1">
            <w:pPr>
              <w:widowControl/>
              <w:jc w:val="left"/>
              <w:rPr>
                <w:rFonts w:ascii="宋体" w:hAnsi="宋体" w:cs="宋体"/>
                <w:kern w:val="0"/>
                <w:sz w:val="22"/>
                <w:szCs w:val="22"/>
                <w:highlight w:val="none"/>
              </w:rPr>
            </w:pPr>
            <w:r>
              <w:rPr>
                <w:rFonts w:hint="eastAsia" w:ascii="宋体" w:hAnsi="宋体" w:cs="宋体"/>
                <w:kern w:val="0"/>
                <w:sz w:val="22"/>
                <w:szCs w:val="22"/>
                <w:highlight w:val="none"/>
              </w:rPr>
              <w:t>票据登记管理情况：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□有票据的购入、领用、开具、交回等保管和使用登记记录，得0.2分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□无票据的购入、领用、开具、交回等保管和使用登记记录，得0分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使用不合规票据作为报销凭证情况：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□未发现使用不合规票据作为报销凭证，得0.1分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□发现使用不合规票据作为报销凭证，得0分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违规开具票据情况：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□未发现违规开具会费收据、捐赠专用收据、银钱收据、发票的行为，得0.2分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□发现违规开具会费收据、捐赠专用收据、银钱收据、发票的行为，得0分</w:t>
            </w:r>
          </w:p>
        </w:tc>
        <w:tc>
          <w:tcPr>
            <w:tcW w:w="283" w:type="pct"/>
            <w:tcBorders>
              <w:top w:val="nil"/>
              <w:left w:val="nil"/>
              <w:bottom w:val="single" w:color="auto" w:sz="4" w:space="0"/>
              <w:right w:val="single" w:color="auto" w:sz="4" w:space="0"/>
            </w:tcBorders>
            <w:noWrap/>
            <w:vAlign w:val="center"/>
          </w:tcPr>
          <w:p w14:paraId="6E320EC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11D59820">
        <w:tblPrEx>
          <w:tblCellMar>
            <w:top w:w="0" w:type="dxa"/>
            <w:left w:w="108" w:type="dxa"/>
            <w:bottom w:w="0" w:type="dxa"/>
            <w:right w:w="108" w:type="dxa"/>
          </w:tblCellMar>
        </w:tblPrEx>
        <w:trPr>
          <w:trHeight w:val="4754" w:hRule="atLeast"/>
        </w:trPr>
        <w:tc>
          <w:tcPr>
            <w:tcW w:w="445" w:type="pct"/>
            <w:vMerge w:val="restart"/>
            <w:tcBorders>
              <w:top w:val="nil"/>
              <w:left w:val="single" w:color="auto" w:sz="4" w:space="0"/>
              <w:bottom w:val="single" w:color="auto" w:sz="4" w:space="0"/>
              <w:right w:val="single" w:color="auto" w:sz="4" w:space="0"/>
            </w:tcBorders>
            <w:noWrap w:val="0"/>
            <w:vAlign w:val="center"/>
          </w:tcPr>
          <w:p w14:paraId="524DAAE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7" w:type="pct"/>
            <w:vMerge w:val="restart"/>
            <w:tcBorders>
              <w:top w:val="nil"/>
              <w:left w:val="single" w:color="auto" w:sz="4" w:space="0"/>
              <w:bottom w:val="single" w:color="auto" w:sz="4" w:space="0"/>
              <w:right w:val="single" w:color="auto" w:sz="4" w:space="0"/>
            </w:tcBorders>
            <w:noWrap w:val="0"/>
            <w:vAlign w:val="center"/>
          </w:tcPr>
          <w:p w14:paraId="7486575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58" w:type="pct"/>
            <w:vMerge w:val="restart"/>
            <w:tcBorders>
              <w:top w:val="nil"/>
              <w:left w:val="single" w:color="auto" w:sz="4" w:space="0"/>
              <w:bottom w:val="single" w:color="auto" w:sz="4" w:space="0"/>
              <w:right w:val="single" w:color="auto" w:sz="4" w:space="0"/>
            </w:tcBorders>
            <w:noWrap w:val="0"/>
            <w:vAlign w:val="center"/>
          </w:tcPr>
          <w:p w14:paraId="3233906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财务报告和</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监督</w:t>
            </w:r>
          </w:p>
        </w:tc>
        <w:tc>
          <w:tcPr>
            <w:tcW w:w="489" w:type="pct"/>
            <w:tcBorders>
              <w:top w:val="nil"/>
              <w:left w:val="nil"/>
              <w:bottom w:val="single" w:color="auto" w:sz="4" w:space="0"/>
              <w:right w:val="single" w:color="auto" w:sz="4" w:space="0"/>
            </w:tcBorders>
            <w:noWrap w:val="0"/>
            <w:vAlign w:val="center"/>
          </w:tcPr>
          <w:p w14:paraId="0CBB675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财务报告</w:t>
            </w:r>
          </w:p>
        </w:tc>
        <w:tc>
          <w:tcPr>
            <w:tcW w:w="2868" w:type="pct"/>
            <w:tcBorders>
              <w:top w:val="nil"/>
              <w:left w:val="nil"/>
              <w:bottom w:val="single" w:color="auto" w:sz="4" w:space="0"/>
              <w:right w:val="single" w:color="auto" w:sz="4" w:space="0"/>
            </w:tcBorders>
            <w:noWrap w:val="0"/>
            <w:vAlign w:val="center"/>
          </w:tcPr>
          <w:p w14:paraId="5BAEBE75">
            <w:pPr>
              <w:widowControl/>
              <w:jc w:val="left"/>
              <w:rPr>
                <w:rFonts w:ascii="宋体" w:hAnsi="宋体" w:cs="宋体"/>
                <w:kern w:val="0"/>
                <w:sz w:val="22"/>
                <w:szCs w:val="22"/>
                <w:highlight w:val="none"/>
              </w:rPr>
            </w:pPr>
            <w:r>
              <w:rPr>
                <w:rFonts w:hint="eastAsia" w:ascii="宋体" w:hAnsi="宋体" w:cs="宋体"/>
                <w:kern w:val="0"/>
                <w:sz w:val="22"/>
                <w:szCs w:val="22"/>
                <w:highlight w:val="none"/>
              </w:rPr>
              <w:t>向理事会或会员大会上报财务报告：</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□按规定每年报告单位整体财务状况，得0.5分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□每年报告单位会费收取及使用情况，得0.3分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□未按规定报告单位财务状况，得0分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年度财务报告内容完备情况：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□年度财务报告内容完备，得0.3分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□年度财务报告内容不完备，得0.1分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□无年度财务报告，得0分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主动接受理事会财务监督情况：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□理事会或理事会授权的机构或个人对协会商会年度财务状况、预算及执行情况，重大业务活动的资金募集、管理和使用情况等进行审查并留有轨迹，得0.2分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□无理事会或理事会授权的机构或个人对协会商会年度财务状况、预算及执行情况，重大业务活动的资金募集、管理和使用情况等进行审查的轨迹，得0分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年度财务报告包括会计报表及附表、财务报表附注、财务情况说明书等内容。财务情况说明书应包括业务及财务活动基本情况，如：资产情况和财务收支情况，上一年度工作计划或预算完成情况及差异分析，下一年度计划及预算，财务管理状况及存在的问题、对单位有重大影响的其他事项等。</w:t>
            </w:r>
          </w:p>
        </w:tc>
        <w:tc>
          <w:tcPr>
            <w:tcW w:w="283" w:type="pct"/>
            <w:tcBorders>
              <w:top w:val="nil"/>
              <w:left w:val="nil"/>
              <w:bottom w:val="single" w:color="auto" w:sz="4" w:space="0"/>
              <w:right w:val="single" w:color="auto" w:sz="4" w:space="0"/>
            </w:tcBorders>
            <w:noWrap/>
            <w:vAlign w:val="center"/>
          </w:tcPr>
          <w:p w14:paraId="63777C1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1C5C6B20">
        <w:tblPrEx>
          <w:tblCellMar>
            <w:top w:w="0" w:type="dxa"/>
            <w:left w:w="108" w:type="dxa"/>
            <w:bottom w:w="0" w:type="dxa"/>
            <w:right w:w="108" w:type="dxa"/>
          </w:tblCellMar>
        </w:tblPrEx>
        <w:trPr>
          <w:trHeight w:val="2285"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7C2717D8">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321BA47B">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3CF8DE7E">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2BFDEFC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财务审计</w:t>
            </w:r>
          </w:p>
        </w:tc>
        <w:tc>
          <w:tcPr>
            <w:tcW w:w="2868" w:type="pct"/>
            <w:tcBorders>
              <w:top w:val="nil"/>
              <w:left w:val="nil"/>
              <w:bottom w:val="single" w:color="auto" w:sz="4" w:space="0"/>
              <w:right w:val="single" w:color="auto" w:sz="4" w:space="0"/>
            </w:tcBorders>
            <w:noWrap w:val="0"/>
            <w:vAlign w:val="center"/>
          </w:tcPr>
          <w:p w14:paraId="51F55037">
            <w:pPr>
              <w:widowControl/>
              <w:jc w:val="left"/>
              <w:rPr>
                <w:rFonts w:ascii="宋体" w:hAnsi="宋体" w:cs="宋体"/>
                <w:kern w:val="0"/>
                <w:sz w:val="22"/>
                <w:szCs w:val="22"/>
                <w:highlight w:val="none"/>
              </w:rPr>
            </w:pPr>
            <w:r>
              <w:rPr>
                <w:rFonts w:hint="eastAsia" w:ascii="宋体" w:hAnsi="宋体" w:cs="宋体"/>
                <w:kern w:val="0"/>
                <w:sz w:val="22"/>
                <w:szCs w:val="22"/>
                <w:highlight w:val="none"/>
              </w:rPr>
              <w:t>年度审计开展情况：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□上两个年度均进行年度审计，得0.5分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□上两个年度进行1次年度审计，得0.2分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□上两个年度未进行过年度审计，得0分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法人离任或换届审计开展情况：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□最近一届法人离任或换届按要求进行财务审计(接受登记管理机关组织的法人离任财务审计)或成立时间较短未发生换届或法人离任事项，得0.5分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w:t>
            </w:r>
            <w:r>
              <w:rPr>
                <w:rFonts w:hint="eastAsia" w:ascii="宋体" w:hAnsi="宋体" w:cs="宋体"/>
                <w:spacing w:val="-6"/>
                <w:kern w:val="0"/>
                <w:sz w:val="22"/>
                <w:szCs w:val="22"/>
                <w:highlight w:val="none"/>
              </w:rPr>
              <w:t>未按要求进行换届财务审计或接受登记管理机关组织的法人离任财务审计，得0分</w:t>
            </w:r>
          </w:p>
        </w:tc>
        <w:tc>
          <w:tcPr>
            <w:tcW w:w="283" w:type="pct"/>
            <w:tcBorders>
              <w:top w:val="nil"/>
              <w:left w:val="nil"/>
              <w:bottom w:val="single" w:color="auto" w:sz="4" w:space="0"/>
              <w:right w:val="single" w:color="auto" w:sz="4" w:space="0"/>
            </w:tcBorders>
            <w:noWrap/>
            <w:vAlign w:val="center"/>
          </w:tcPr>
          <w:p w14:paraId="05EC449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184285D7">
        <w:tblPrEx>
          <w:tblCellMar>
            <w:top w:w="0" w:type="dxa"/>
            <w:left w:w="108" w:type="dxa"/>
            <w:bottom w:w="0" w:type="dxa"/>
            <w:right w:w="108" w:type="dxa"/>
          </w:tblCellMar>
        </w:tblPrEx>
        <w:trPr>
          <w:trHeight w:val="927"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305F3E62">
            <w:pPr>
              <w:widowControl/>
              <w:jc w:val="left"/>
              <w:rPr>
                <w:rFonts w:ascii="宋体" w:hAnsi="宋体" w:cs="宋体"/>
                <w:kern w:val="0"/>
                <w:sz w:val="22"/>
                <w:szCs w:val="22"/>
                <w:highlight w:val="none"/>
              </w:rPr>
            </w:pPr>
          </w:p>
        </w:tc>
        <w:tc>
          <w:tcPr>
            <w:tcW w:w="457" w:type="pct"/>
            <w:tcBorders>
              <w:top w:val="nil"/>
              <w:left w:val="nil"/>
              <w:bottom w:val="single" w:color="auto" w:sz="4" w:space="0"/>
              <w:right w:val="single" w:color="auto" w:sz="4" w:space="0"/>
            </w:tcBorders>
            <w:noWrap w:val="0"/>
            <w:vAlign w:val="center"/>
          </w:tcPr>
          <w:p w14:paraId="3BBF0F3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档案、证章管理</w:t>
            </w:r>
          </w:p>
        </w:tc>
        <w:tc>
          <w:tcPr>
            <w:tcW w:w="458" w:type="pct"/>
            <w:tcBorders>
              <w:top w:val="nil"/>
              <w:left w:val="nil"/>
              <w:bottom w:val="single" w:color="auto" w:sz="4" w:space="0"/>
              <w:right w:val="single" w:color="auto" w:sz="4" w:space="0"/>
            </w:tcBorders>
            <w:noWrap w:val="0"/>
            <w:vAlign w:val="center"/>
          </w:tcPr>
          <w:p w14:paraId="7558BCC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档案管理</w:t>
            </w:r>
          </w:p>
        </w:tc>
        <w:tc>
          <w:tcPr>
            <w:tcW w:w="489" w:type="pct"/>
            <w:tcBorders>
              <w:top w:val="nil"/>
              <w:left w:val="nil"/>
              <w:bottom w:val="single" w:color="auto" w:sz="4" w:space="0"/>
              <w:right w:val="single" w:color="auto" w:sz="4" w:space="0"/>
            </w:tcBorders>
            <w:noWrap w:val="0"/>
            <w:vAlign w:val="center"/>
          </w:tcPr>
          <w:p w14:paraId="26D8239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档案管理制度</w:t>
            </w:r>
          </w:p>
        </w:tc>
        <w:tc>
          <w:tcPr>
            <w:tcW w:w="2868" w:type="pct"/>
            <w:tcBorders>
              <w:top w:val="nil"/>
              <w:left w:val="nil"/>
              <w:bottom w:val="single" w:color="auto" w:sz="4" w:space="0"/>
              <w:right w:val="single" w:color="auto" w:sz="4" w:space="0"/>
            </w:tcBorders>
            <w:noWrap w:val="0"/>
            <w:vAlign w:val="center"/>
          </w:tcPr>
          <w:p w14:paraId="529FF730">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□档案管理制度详细、规范，得0.5分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□档案管理制度不够详细、规范，得0.2分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□未制定档案管理制度，得0分</w:t>
            </w:r>
          </w:p>
        </w:tc>
        <w:tc>
          <w:tcPr>
            <w:tcW w:w="283" w:type="pct"/>
            <w:tcBorders>
              <w:top w:val="nil"/>
              <w:left w:val="nil"/>
              <w:bottom w:val="single" w:color="auto" w:sz="4" w:space="0"/>
              <w:right w:val="single" w:color="auto" w:sz="4" w:space="0"/>
            </w:tcBorders>
            <w:noWrap/>
            <w:vAlign w:val="center"/>
          </w:tcPr>
          <w:p w14:paraId="4CF3A06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19486520">
        <w:tblPrEx>
          <w:tblCellMar>
            <w:top w:w="0" w:type="dxa"/>
            <w:left w:w="108" w:type="dxa"/>
            <w:bottom w:w="0" w:type="dxa"/>
            <w:right w:w="108" w:type="dxa"/>
          </w:tblCellMar>
        </w:tblPrEx>
        <w:trPr>
          <w:trHeight w:val="2486" w:hRule="atLeast"/>
        </w:trPr>
        <w:tc>
          <w:tcPr>
            <w:tcW w:w="445" w:type="pct"/>
            <w:vMerge w:val="restart"/>
            <w:tcBorders>
              <w:top w:val="nil"/>
              <w:left w:val="single" w:color="auto" w:sz="4" w:space="0"/>
              <w:bottom w:val="single" w:color="auto" w:sz="4" w:space="0"/>
              <w:right w:val="single" w:color="auto" w:sz="4" w:space="0"/>
            </w:tcBorders>
            <w:noWrap w:val="0"/>
            <w:vAlign w:val="center"/>
          </w:tcPr>
          <w:p w14:paraId="3A64199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7" w:type="pct"/>
            <w:vMerge w:val="restart"/>
            <w:tcBorders>
              <w:top w:val="nil"/>
              <w:left w:val="single" w:color="auto" w:sz="4" w:space="0"/>
              <w:bottom w:val="single" w:color="auto" w:sz="4" w:space="0"/>
              <w:right w:val="single" w:color="auto" w:sz="4" w:space="0"/>
            </w:tcBorders>
            <w:noWrap w:val="0"/>
            <w:vAlign w:val="center"/>
          </w:tcPr>
          <w:p w14:paraId="3829CDB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档案、证章管理</w:t>
            </w:r>
          </w:p>
        </w:tc>
        <w:tc>
          <w:tcPr>
            <w:tcW w:w="458" w:type="pct"/>
            <w:tcBorders>
              <w:top w:val="nil"/>
              <w:left w:val="nil"/>
              <w:bottom w:val="single" w:color="auto" w:sz="4" w:space="0"/>
              <w:right w:val="single" w:color="auto" w:sz="4" w:space="0"/>
            </w:tcBorders>
            <w:noWrap w:val="0"/>
            <w:vAlign w:val="center"/>
          </w:tcPr>
          <w:p w14:paraId="13021A2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档案管理</w:t>
            </w:r>
          </w:p>
        </w:tc>
        <w:tc>
          <w:tcPr>
            <w:tcW w:w="489" w:type="pct"/>
            <w:tcBorders>
              <w:top w:val="nil"/>
              <w:left w:val="nil"/>
              <w:bottom w:val="single" w:color="auto" w:sz="4" w:space="0"/>
              <w:right w:val="single" w:color="auto" w:sz="4" w:space="0"/>
            </w:tcBorders>
            <w:noWrap w:val="0"/>
            <w:vAlign w:val="center"/>
          </w:tcPr>
          <w:p w14:paraId="1D5A5A2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档案保管情况</w:t>
            </w:r>
          </w:p>
        </w:tc>
        <w:tc>
          <w:tcPr>
            <w:tcW w:w="2868" w:type="pct"/>
            <w:tcBorders>
              <w:top w:val="nil"/>
              <w:left w:val="nil"/>
              <w:bottom w:val="single" w:color="auto" w:sz="4" w:space="0"/>
              <w:right w:val="single" w:color="auto" w:sz="4" w:space="0"/>
            </w:tcBorders>
            <w:noWrap w:val="0"/>
            <w:vAlign w:val="center"/>
          </w:tcPr>
          <w:p w14:paraId="62FF501B">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资料数量情况：</w:t>
            </w:r>
            <w:r>
              <w:rPr>
                <w:rFonts w:hint="eastAsia" w:ascii="宋体" w:hAnsi="宋体" w:cs="宋体"/>
                <w:kern w:val="0"/>
                <w:sz w:val="22"/>
                <w:szCs w:val="22"/>
                <w:highlight w:val="none"/>
              </w:rPr>
              <w:br w:type="page"/>
            </w:r>
          </w:p>
          <w:p w14:paraId="0F15D049">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□档案资料齐全，得0.3分</w:t>
            </w:r>
          </w:p>
          <w:p w14:paraId="4E93E224">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□档案资料不全，得0分</w:t>
            </w:r>
            <w:r>
              <w:rPr>
                <w:rFonts w:hint="eastAsia" w:ascii="宋体" w:hAnsi="宋体" w:cs="宋体"/>
                <w:kern w:val="0"/>
                <w:sz w:val="22"/>
                <w:szCs w:val="22"/>
                <w:highlight w:val="none"/>
              </w:rPr>
              <w:br w:type="page"/>
            </w:r>
          </w:p>
          <w:p w14:paraId="2D97CF7A">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资料整理情况：</w:t>
            </w:r>
          </w:p>
          <w:p w14:paraId="3B9C9471">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□档案资料整理有序，得0.1分</w:t>
            </w:r>
            <w:r>
              <w:rPr>
                <w:rFonts w:hint="eastAsia" w:ascii="宋体" w:hAnsi="宋体" w:cs="宋体"/>
                <w:kern w:val="0"/>
                <w:sz w:val="22"/>
                <w:szCs w:val="22"/>
                <w:highlight w:val="none"/>
              </w:rPr>
              <w:br w:type="page"/>
            </w:r>
          </w:p>
          <w:p w14:paraId="1F61E627">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□档案资料齐全无序、混乱，得0分</w:t>
            </w:r>
            <w:r>
              <w:rPr>
                <w:rFonts w:hint="eastAsia" w:ascii="宋体" w:hAnsi="宋体" w:cs="宋体"/>
                <w:kern w:val="0"/>
                <w:sz w:val="22"/>
                <w:szCs w:val="22"/>
                <w:highlight w:val="none"/>
              </w:rPr>
              <w:br w:type="page"/>
            </w:r>
          </w:p>
          <w:p w14:paraId="1BAAD125">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资料交接情况：</w:t>
            </w:r>
          </w:p>
          <w:p w14:paraId="785B7AC8">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□档案交接手续完备或档案未发生交接情况，得0.1分</w:t>
            </w:r>
            <w:r>
              <w:rPr>
                <w:rFonts w:hint="eastAsia" w:ascii="宋体" w:hAnsi="宋体" w:cs="宋体"/>
                <w:kern w:val="0"/>
                <w:sz w:val="22"/>
                <w:szCs w:val="22"/>
                <w:highlight w:val="none"/>
              </w:rPr>
              <w:br w:type="page"/>
            </w:r>
          </w:p>
          <w:p w14:paraId="5FA39E44">
            <w:pPr>
              <w:widowControl/>
              <w:jc w:val="left"/>
              <w:rPr>
                <w:rFonts w:ascii="宋体" w:hAnsi="宋体" w:cs="宋体"/>
                <w:kern w:val="0"/>
                <w:sz w:val="22"/>
                <w:szCs w:val="22"/>
                <w:highlight w:val="none"/>
              </w:rPr>
            </w:pPr>
            <w:r>
              <w:rPr>
                <w:rFonts w:hint="eastAsia" w:ascii="宋体" w:hAnsi="宋体" w:cs="宋体"/>
                <w:kern w:val="0"/>
                <w:sz w:val="22"/>
                <w:szCs w:val="22"/>
                <w:highlight w:val="none"/>
              </w:rPr>
              <w:t>□未履行档案交接手续，得0分</w:t>
            </w:r>
          </w:p>
        </w:tc>
        <w:tc>
          <w:tcPr>
            <w:tcW w:w="283" w:type="pct"/>
            <w:tcBorders>
              <w:top w:val="nil"/>
              <w:left w:val="nil"/>
              <w:bottom w:val="single" w:color="auto" w:sz="4" w:space="0"/>
              <w:right w:val="single" w:color="auto" w:sz="4" w:space="0"/>
            </w:tcBorders>
            <w:noWrap/>
            <w:vAlign w:val="center"/>
          </w:tcPr>
          <w:p w14:paraId="1B78BD4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14D4AFF6">
        <w:tblPrEx>
          <w:tblCellMar>
            <w:top w:w="0" w:type="dxa"/>
            <w:left w:w="108" w:type="dxa"/>
            <w:bottom w:w="0" w:type="dxa"/>
            <w:right w:w="108" w:type="dxa"/>
          </w:tblCellMar>
        </w:tblPrEx>
        <w:trPr>
          <w:trHeight w:val="1954"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04966E14">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52BEE4D7">
            <w:pPr>
              <w:widowControl/>
              <w:jc w:val="left"/>
              <w:rPr>
                <w:rFonts w:ascii="宋体" w:hAnsi="宋体" w:cs="宋体"/>
                <w:kern w:val="0"/>
                <w:sz w:val="22"/>
                <w:szCs w:val="22"/>
                <w:highlight w:val="none"/>
              </w:rPr>
            </w:pPr>
          </w:p>
        </w:tc>
        <w:tc>
          <w:tcPr>
            <w:tcW w:w="458" w:type="pct"/>
            <w:vMerge w:val="restart"/>
            <w:tcBorders>
              <w:top w:val="nil"/>
              <w:left w:val="single" w:color="auto" w:sz="4" w:space="0"/>
              <w:bottom w:val="single" w:color="auto" w:sz="4" w:space="0"/>
              <w:right w:val="single" w:color="auto" w:sz="4" w:space="0"/>
            </w:tcBorders>
            <w:noWrap w:val="0"/>
            <w:vAlign w:val="center"/>
          </w:tcPr>
          <w:p w14:paraId="5DCEAD7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证书管理</w:t>
            </w:r>
          </w:p>
        </w:tc>
        <w:tc>
          <w:tcPr>
            <w:tcW w:w="489" w:type="pct"/>
            <w:tcBorders>
              <w:top w:val="nil"/>
              <w:left w:val="nil"/>
              <w:bottom w:val="single" w:color="auto" w:sz="4" w:space="0"/>
              <w:right w:val="single" w:color="auto" w:sz="4" w:space="0"/>
            </w:tcBorders>
            <w:noWrap w:val="0"/>
            <w:vAlign w:val="center"/>
          </w:tcPr>
          <w:p w14:paraId="1EEFF22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证书使用管理规定</w:t>
            </w:r>
          </w:p>
        </w:tc>
        <w:tc>
          <w:tcPr>
            <w:tcW w:w="2868" w:type="pct"/>
            <w:tcBorders>
              <w:top w:val="nil"/>
              <w:left w:val="nil"/>
              <w:bottom w:val="single" w:color="auto" w:sz="4" w:space="0"/>
              <w:right w:val="single" w:color="auto" w:sz="4" w:space="0"/>
            </w:tcBorders>
            <w:noWrap w:val="0"/>
            <w:vAlign w:val="center"/>
          </w:tcPr>
          <w:p w14:paraId="34D65C6D">
            <w:pPr>
              <w:widowControl/>
              <w:jc w:val="left"/>
              <w:rPr>
                <w:rFonts w:ascii="宋体" w:hAnsi="宋体" w:cs="宋体"/>
                <w:kern w:val="0"/>
                <w:sz w:val="22"/>
                <w:szCs w:val="22"/>
                <w:highlight w:val="none"/>
              </w:rPr>
            </w:pPr>
            <w:r>
              <w:rPr>
                <w:rFonts w:hint="eastAsia" w:ascii="宋体" w:hAnsi="宋体" w:cs="宋体"/>
                <w:kern w:val="0"/>
                <w:sz w:val="22"/>
                <w:szCs w:val="22"/>
                <w:highlight w:val="none"/>
              </w:rPr>
              <w:t>专人管理情况：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□证书有专人管理，得0.3分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□证书无专人管理，得0分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证书使用管理规定制定情况：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□有证书使用管理规定，得0.2分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□无证书使用管理规定，得0分</w:t>
            </w:r>
          </w:p>
        </w:tc>
        <w:tc>
          <w:tcPr>
            <w:tcW w:w="283" w:type="pct"/>
            <w:tcBorders>
              <w:top w:val="nil"/>
              <w:left w:val="nil"/>
              <w:bottom w:val="single" w:color="auto" w:sz="4" w:space="0"/>
              <w:right w:val="single" w:color="auto" w:sz="4" w:space="0"/>
            </w:tcBorders>
            <w:noWrap/>
            <w:vAlign w:val="center"/>
          </w:tcPr>
          <w:p w14:paraId="3A09962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77398272">
        <w:tblPrEx>
          <w:tblCellMar>
            <w:top w:w="0" w:type="dxa"/>
            <w:left w:w="108" w:type="dxa"/>
            <w:bottom w:w="0" w:type="dxa"/>
            <w:right w:w="108" w:type="dxa"/>
          </w:tblCellMar>
        </w:tblPrEx>
        <w:trPr>
          <w:trHeight w:val="1285"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2AD6507A">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6CE610C1">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0C0583C6">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0185000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证书保管情况</w:t>
            </w:r>
          </w:p>
        </w:tc>
        <w:tc>
          <w:tcPr>
            <w:tcW w:w="2868" w:type="pct"/>
            <w:tcBorders>
              <w:top w:val="nil"/>
              <w:left w:val="nil"/>
              <w:bottom w:val="single" w:color="auto" w:sz="4" w:space="0"/>
              <w:right w:val="single" w:color="auto" w:sz="4" w:space="0"/>
            </w:tcBorders>
            <w:noWrap w:val="0"/>
            <w:vAlign w:val="center"/>
          </w:tcPr>
          <w:p w14:paraId="5A8F3B4D">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□各种证书妥善保管，得0.3分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□证书有遗失、损毁现象，得0分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□各种证书均在有效期内，得0.2分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□有证书过期现象，得0分</w:t>
            </w:r>
          </w:p>
        </w:tc>
        <w:tc>
          <w:tcPr>
            <w:tcW w:w="283" w:type="pct"/>
            <w:tcBorders>
              <w:top w:val="nil"/>
              <w:left w:val="nil"/>
              <w:bottom w:val="single" w:color="auto" w:sz="4" w:space="0"/>
              <w:right w:val="single" w:color="auto" w:sz="4" w:space="0"/>
            </w:tcBorders>
            <w:noWrap/>
            <w:vAlign w:val="center"/>
          </w:tcPr>
          <w:p w14:paraId="458C6BA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1097F47C">
        <w:tblPrEx>
          <w:tblCellMar>
            <w:top w:w="0" w:type="dxa"/>
            <w:left w:w="108" w:type="dxa"/>
            <w:bottom w:w="0" w:type="dxa"/>
            <w:right w:w="108" w:type="dxa"/>
          </w:tblCellMar>
        </w:tblPrEx>
        <w:trPr>
          <w:trHeight w:val="822"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15C054A3">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7E6FB6A8">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123DCF47">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2628151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登记证书正本</w:t>
            </w:r>
          </w:p>
        </w:tc>
        <w:tc>
          <w:tcPr>
            <w:tcW w:w="2868" w:type="pct"/>
            <w:tcBorders>
              <w:top w:val="nil"/>
              <w:left w:val="nil"/>
              <w:bottom w:val="single" w:color="auto" w:sz="4" w:space="0"/>
              <w:right w:val="single" w:color="auto" w:sz="4" w:space="0"/>
            </w:tcBorders>
            <w:noWrap w:val="0"/>
            <w:vAlign w:val="center"/>
          </w:tcPr>
          <w:p w14:paraId="5DED86D9">
            <w:pPr>
              <w:widowControl/>
              <w:jc w:val="left"/>
              <w:rPr>
                <w:rFonts w:ascii="宋体" w:hAnsi="宋体" w:cs="宋体"/>
                <w:kern w:val="0"/>
                <w:sz w:val="22"/>
                <w:szCs w:val="22"/>
                <w:highlight w:val="none"/>
              </w:rPr>
            </w:pPr>
            <w:r>
              <w:rPr>
                <w:rFonts w:hint="eastAsia" w:ascii="宋体" w:hAnsi="宋体" w:cs="宋体"/>
                <w:kern w:val="0"/>
                <w:sz w:val="22"/>
                <w:szCs w:val="22"/>
                <w:highlight w:val="none"/>
              </w:rPr>
              <w:t>□办公场所悬挂登记证书正本，得0.2分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□办公场所未悬挂登记证书正本，得0分</w:t>
            </w:r>
          </w:p>
        </w:tc>
        <w:tc>
          <w:tcPr>
            <w:tcW w:w="283" w:type="pct"/>
            <w:tcBorders>
              <w:top w:val="nil"/>
              <w:left w:val="nil"/>
              <w:bottom w:val="single" w:color="auto" w:sz="4" w:space="0"/>
              <w:right w:val="single" w:color="auto" w:sz="4" w:space="0"/>
            </w:tcBorders>
            <w:noWrap/>
            <w:vAlign w:val="center"/>
          </w:tcPr>
          <w:p w14:paraId="06BCC74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0.2</w:t>
            </w:r>
          </w:p>
        </w:tc>
      </w:tr>
      <w:tr w14:paraId="6C3F20EF">
        <w:tblPrEx>
          <w:tblCellMar>
            <w:top w:w="0" w:type="dxa"/>
            <w:left w:w="108" w:type="dxa"/>
            <w:bottom w:w="0" w:type="dxa"/>
            <w:right w:w="108" w:type="dxa"/>
          </w:tblCellMar>
        </w:tblPrEx>
        <w:trPr>
          <w:trHeight w:val="1429"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1FC91743">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3E38B795">
            <w:pPr>
              <w:widowControl/>
              <w:jc w:val="left"/>
              <w:rPr>
                <w:rFonts w:ascii="宋体" w:hAnsi="宋体" w:cs="宋体"/>
                <w:kern w:val="0"/>
                <w:sz w:val="22"/>
                <w:szCs w:val="22"/>
                <w:highlight w:val="none"/>
              </w:rPr>
            </w:pPr>
          </w:p>
        </w:tc>
        <w:tc>
          <w:tcPr>
            <w:tcW w:w="458" w:type="pct"/>
            <w:tcBorders>
              <w:top w:val="nil"/>
              <w:left w:val="nil"/>
              <w:bottom w:val="single" w:color="auto" w:sz="4" w:space="0"/>
              <w:right w:val="single" w:color="auto" w:sz="4" w:space="0"/>
            </w:tcBorders>
            <w:noWrap w:val="0"/>
            <w:vAlign w:val="center"/>
          </w:tcPr>
          <w:p w14:paraId="5A01310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印章管理</w:t>
            </w:r>
          </w:p>
        </w:tc>
        <w:tc>
          <w:tcPr>
            <w:tcW w:w="489" w:type="pct"/>
            <w:tcBorders>
              <w:top w:val="nil"/>
              <w:left w:val="nil"/>
              <w:bottom w:val="single" w:color="auto" w:sz="4" w:space="0"/>
              <w:right w:val="single" w:color="auto" w:sz="4" w:space="0"/>
            </w:tcBorders>
            <w:noWrap w:val="0"/>
            <w:vAlign w:val="center"/>
          </w:tcPr>
          <w:p w14:paraId="70268A7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印章管理制度</w:t>
            </w:r>
          </w:p>
        </w:tc>
        <w:tc>
          <w:tcPr>
            <w:tcW w:w="2868" w:type="pct"/>
            <w:tcBorders>
              <w:top w:val="nil"/>
              <w:left w:val="nil"/>
              <w:bottom w:val="single" w:color="auto" w:sz="4" w:space="0"/>
              <w:right w:val="single" w:color="auto" w:sz="4" w:space="0"/>
            </w:tcBorders>
            <w:noWrap w:val="0"/>
            <w:vAlign w:val="center"/>
          </w:tcPr>
          <w:p w14:paraId="3BCBDD44">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□有详细的印章保管和使用制度，得1分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□有印章保管和使用制度但不详细，得0.5分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□未制定印章保管和使用制度，得0分</w:t>
            </w:r>
          </w:p>
          <w:p w14:paraId="0F9B81F5">
            <w:pPr>
              <w:widowControl/>
              <w:jc w:val="left"/>
              <w:rPr>
                <w:rFonts w:ascii="宋体" w:hAnsi="宋体" w:cs="宋体"/>
                <w:kern w:val="0"/>
                <w:sz w:val="22"/>
                <w:szCs w:val="22"/>
                <w:highlight w:val="none"/>
              </w:rPr>
            </w:pPr>
            <w:r>
              <w:rPr>
                <w:rFonts w:hint="eastAsia" w:ascii="宋体" w:hAnsi="宋体" w:cs="宋体"/>
                <w:kern w:val="0"/>
                <w:sz w:val="22"/>
                <w:szCs w:val="22"/>
                <w:highlight w:val="none"/>
              </w:rPr>
              <w:t>注:印章包含社会团体公章及财务章</w:t>
            </w:r>
          </w:p>
        </w:tc>
        <w:tc>
          <w:tcPr>
            <w:tcW w:w="283" w:type="pct"/>
            <w:tcBorders>
              <w:top w:val="nil"/>
              <w:left w:val="nil"/>
              <w:bottom w:val="single" w:color="auto" w:sz="4" w:space="0"/>
              <w:right w:val="single" w:color="auto" w:sz="4" w:space="0"/>
            </w:tcBorders>
            <w:noWrap/>
            <w:vAlign w:val="center"/>
          </w:tcPr>
          <w:p w14:paraId="0D8B35B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3CEA881D">
        <w:tblPrEx>
          <w:tblCellMar>
            <w:top w:w="0" w:type="dxa"/>
            <w:left w:w="108" w:type="dxa"/>
            <w:bottom w:w="0" w:type="dxa"/>
            <w:right w:w="108" w:type="dxa"/>
          </w:tblCellMar>
        </w:tblPrEx>
        <w:trPr>
          <w:trHeight w:val="3195" w:hRule="atLeast"/>
        </w:trPr>
        <w:tc>
          <w:tcPr>
            <w:tcW w:w="445" w:type="pct"/>
            <w:tcBorders>
              <w:top w:val="nil"/>
              <w:left w:val="single" w:color="auto" w:sz="4" w:space="0"/>
              <w:bottom w:val="single" w:color="auto" w:sz="4" w:space="0"/>
              <w:right w:val="single" w:color="auto" w:sz="4" w:space="0"/>
            </w:tcBorders>
            <w:noWrap w:val="0"/>
            <w:vAlign w:val="center"/>
          </w:tcPr>
          <w:p w14:paraId="5F8AA6E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7" w:type="pct"/>
            <w:tcBorders>
              <w:top w:val="nil"/>
              <w:left w:val="nil"/>
              <w:bottom w:val="single" w:color="auto" w:sz="4" w:space="0"/>
              <w:right w:val="single" w:color="auto" w:sz="4" w:space="0"/>
            </w:tcBorders>
            <w:noWrap w:val="0"/>
            <w:vAlign w:val="center"/>
          </w:tcPr>
          <w:p w14:paraId="4D979D4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档案、证章管理</w:t>
            </w:r>
          </w:p>
        </w:tc>
        <w:tc>
          <w:tcPr>
            <w:tcW w:w="458" w:type="pct"/>
            <w:tcBorders>
              <w:top w:val="nil"/>
              <w:left w:val="nil"/>
              <w:bottom w:val="single" w:color="auto" w:sz="4" w:space="0"/>
              <w:right w:val="single" w:color="auto" w:sz="4" w:space="0"/>
            </w:tcBorders>
            <w:noWrap w:val="0"/>
            <w:vAlign w:val="center"/>
          </w:tcPr>
          <w:p w14:paraId="42FA733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印章管理</w:t>
            </w:r>
          </w:p>
        </w:tc>
        <w:tc>
          <w:tcPr>
            <w:tcW w:w="489" w:type="pct"/>
            <w:tcBorders>
              <w:top w:val="nil"/>
              <w:left w:val="nil"/>
              <w:bottom w:val="single" w:color="auto" w:sz="4" w:space="0"/>
              <w:right w:val="single" w:color="auto" w:sz="4" w:space="0"/>
            </w:tcBorders>
            <w:noWrap w:val="0"/>
            <w:vAlign w:val="center"/>
          </w:tcPr>
          <w:p w14:paraId="0E48FBC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印章保管</w:t>
            </w:r>
          </w:p>
        </w:tc>
        <w:tc>
          <w:tcPr>
            <w:tcW w:w="2868" w:type="pct"/>
            <w:tcBorders>
              <w:top w:val="nil"/>
              <w:left w:val="nil"/>
              <w:bottom w:val="single" w:color="auto" w:sz="4" w:space="0"/>
              <w:right w:val="single" w:color="auto" w:sz="4" w:space="0"/>
            </w:tcBorders>
            <w:noWrap w:val="0"/>
            <w:vAlign w:val="center"/>
          </w:tcPr>
          <w:p w14:paraId="318FF549">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印章保管情况：</w:t>
            </w:r>
          </w:p>
          <w:p w14:paraId="1EF89779">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□印章有专人妥善保管，得0.4分</w:t>
            </w:r>
            <w:r>
              <w:rPr>
                <w:rFonts w:hint="eastAsia" w:ascii="宋体" w:hAnsi="宋体" w:cs="宋体"/>
                <w:kern w:val="0"/>
                <w:sz w:val="22"/>
                <w:szCs w:val="22"/>
                <w:highlight w:val="none"/>
              </w:rPr>
              <w:br w:type="page"/>
            </w:r>
          </w:p>
          <w:p w14:paraId="58949A2C">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□印章无专人保管或印章有私存、遗失现象，得0分</w:t>
            </w:r>
            <w:r>
              <w:rPr>
                <w:rFonts w:hint="eastAsia" w:ascii="宋体" w:hAnsi="宋体" w:cs="宋体"/>
                <w:kern w:val="0"/>
                <w:sz w:val="22"/>
                <w:szCs w:val="22"/>
                <w:highlight w:val="none"/>
              </w:rPr>
              <w:br w:type="page"/>
            </w:r>
          </w:p>
          <w:p w14:paraId="660DEA20">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印章交接情况：</w:t>
            </w:r>
            <w:r>
              <w:rPr>
                <w:rFonts w:hint="eastAsia" w:ascii="宋体" w:hAnsi="宋体" w:cs="宋体"/>
                <w:kern w:val="0"/>
                <w:sz w:val="22"/>
                <w:szCs w:val="22"/>
                <w:highlight w:val="none"/>
              </w:rPr>
              <w:br w:type="page"/>
            </w:r>
          </w:p>
          <w:p w14:paraId="317B0042">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□印章交接手续完备或印章未发生交接情况，得0.3分</w:t>
            </w:r>
          </w:p>
          <w:p w14:paraId="46E29932">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□不能提供交接清单等证明材料，得0分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用印登记情况：</w:t>
            </w:r>
            <w:r>
              <w:rPr>
                <w:rFonts w:hint="eastAsia" w:ascii="宋体" w:hAnsi="宋体" w:cs="宋体"/>
                <w:kern w:val="0"/>
                <w:sz w:val="22"/>
                <w:szCs w:val="22"/>
                <w:highlight w:val="none"/>
              </w:rPr>
              <w:br w:type="page"/>
            </w:r>
            <w:r>
              <w:rPr>
                <w:rFonts w:hint="eastAsia" w:ascii="宋体" w:hAnsi="宋体" w:cs="宋体"/>
                <w:kern w:val="0"/>
                <w:sz w:val="22"/>
                <w:szCs w:val="22"/>
                <w:highlight w:val="none"/>
              </w:rPr>
              <w:t>□用印登记详细，得0.3分</w:t>
            </w:r>
            <w:r>
              <w:rPr>
                <w:rFonts w:hint="eastAsia" w:ascii="宋体" w:hAnsi="宋体" w:cs="宋体"/>
                <w:kern w:val="0"/>
                <w:sz w:val="22"/>
                <w:szCs w:val="22"/>
                <w:highlight w:val="none"/>
              </w:rPr>
              <w:br w:type="page"/>
            </w:r>
          </w:p>
          <w:p w14:paraId="0C5D375C">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□用印有登记但不详细，得0.1分</w:t>
            </w:r>
            <w:r>
              <w:rPr>
                <w:rFonts w:hint="eastAsia" w:ascii="宋体" w:hAnsi="宋体" w:cs="宋体"/>
                <w:kern w:val="0"/>
                <w:sz w:val="22"/>
                <w:szCs w:val="22"/>
                <w:highlight w:val="none"/>
              </w:rPr>
              <w:br w:type="page"/>
            </w:r>
          </w:p>
          <w:p w14:paraId="3AC00EAD">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□用印无登记，得0分</w:t>
            </w:r>
          </w:p>
          <w:p w14:paraId="16D19AD0">
            <w:pPr>
              <w:widowControl/>
              <w:jc w:val="left"/>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注:印章包含社会团体公章及财务章</w:t>
            </w:r>
          </w:p>
        </w:tc>
        <w:tc>
          <w:tcPr>
            <w:tcW w:w="283" w:type="pct"/>
            <w:tcBorders>
              <w:top w:val="nil"/>
              <w:left w:val="nil"/>
              <w:bottom w:val="single" w:color="auto" w:sz="4" w:space="0"/>
              <w:right w:val="single" w:color="auto" w:sz="4" w:space="0"/>
            </w:tcBorders>
            <w:noWrap/>
            <w:vAlign w:val="center"/>
          </w:tcPr>
          <w:p w14:paraId="44ACD85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27C4FC19">
        <w:tblPrEx>
          <w:tblCellMar>
            <w:top w:w="0" w:type="dxa"/>
            <w:left w:w="108" w:type="dxa"/>
            <w:bottom w:w="0" w:type="dxa"/>
            <w:right w:w="108" w:type="dxa"/>
          </w:tblCellMar>
        </w:tblPrEx>
        <w:trPr>
          <w:trHeight w:val="4784" w:hRule="atLeast"/>
        </w:trPr>
        <w:tc>
          <w:tcPr>
            <w:tcW w:w="445" w:type="pct"/>
            <w:tcBorders>
              <w:top w:val="nil"/>
              <w:left w:val="single" w:color="auto" w:sz="4" w:space="0"/>
              <w:bottom w:val="single" w:color="auto" w:sz="4" w:space="0"/>
              <w:right w:val="single" w:color="auto" w:sz="4" w:space="0"/>
            </w:tcBorders>
            <w:noWrap w:val="0"/>
            <w:vAlign w:val="center"/>
          </w:tcPr>
          <w:p w14:paraId="53FAF1B8">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工作绩效</w:t>
            </w:r>
          </w:p>
        </w:tc>
        <w:tc>
          <w:tcPr>
            <w:tcW w:w="457" w:type="pct"/>
            <w:tcBorders>
              <w:top w:val="nil"/>
              <w:left w:val="nil"/>
              <w:bottom w:val="single" w:color="auto" w:sz="4" w:space="0"/>
              <w:right w:val="single" w:color="auto" w:sz="4" w:space="0"/>
            </w:tcBorders>
            <w:noWrap w:val="0"/>
            <w:vAlign w:val="center"/>
          </w:tcPr>
          <w:p w14:paraId="395D04D3">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学术活动</w:t>
            </w:r>
          </w:p>
        </w:tc>
        <w:tc>
          <w:tcPr>
            <w:tcW w:w="458" w:type="pct"/>
            <w:tcBorders>
              <w:top w:val="nil"/>
              <w:left w:val="nil"/>
              <w:bottom w:val="single" w:color="auto" w:sz="4" w:space="0"/>
              <w:right w:val="single" w:color="auto" w:sz="4" w:space="0"/>
            </w:tcBorders>
            <w:noWrap w:val="0"/>
            <w:vAlign w:val="center"/>
          </w:tcPr>
          <w:p w14:paraId="097993C5">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学术会议</w:t>
            </w:r>
          </w:p>
        </w:tc>
        <w:tc>
          <w:tcPr>
            <w:tcW w:w="489" w:type="pct"/>
            <w:tcBorders>
              <w:top w:val="nil"/>
              <w:left w:val="nil"/>
              <w:bottom w:val="single" w:color="auto" w:sz="4" w:space="0"/>
              <w:right w:val="single" w:color="auto" w:sz="4" w:space="0"/>
            </w:tcBorders>
            <w:noWrap w:val="0"/>
            <w:vAlign w:val="center"/>
          </w:tcPr>
          <w:p w14:paraId="6EDD461A">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主办、承办、协办学术活动的次数</w:t>
            </w:r>
          </w:p>
        </w:tc>
        <w:tc>
          <w:tcPr>
            <w:tcW w:w="2868" w:type="pct"/>
            <w:tcBorders>
              <w:top w:val="nil"/>
              <w:left w:val="nil"/>
              <w:bottom w:val="single" w:color="auto" w:sz="4" w:space="0"/>
              <w:right w:val="single" w:color="auto" w:sz="4" w:space="0"/>
            </w:tcBorders>
            <w:noWrap w:val="0"/>
            <w:vAlign w:val="center"/>
          </w:tcPr>
          <w:p w14:paraId="55421E10">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学术会议计划制定情况：</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□每年均制定计划并有效落实，得0.3分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□每年均制定计划，但未有效落实，得0.1分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□上两个年度，某一年度未制定计划，得0分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学术会议召开次数情况：</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自然科学类</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□上两个年度平均每年组织学术活动10次以上，得0.7分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□上两个年度平均每年组织学术活动达到5次，得0.4分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□上两个年度平均每年组织学术活动不足5次，得0.1分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人文社会科学类</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□上两个年度平均每年组织学术活动3次以上，得0.7分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□上两个年度平均每年组织学术活动达到2次，得0.4分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□上两个年度平均每年组织学术活动不足2次，得0.1分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注：学术活动包括学术类的年会、研讨会、论坛、讲座以及参会人数在20人以上的学术沙龙等</w:t>
            </w:r>
          </w:p>
        </w:tc>
        <w:tc>
          <w:tcPr>
            <w:tcW w:w="283" w:type="pct"/>
            <w:tcBorders>
              <w:top w:val="nil"/>
              <w:left w:val="nil"/>
              <w:bottom w:val="single" w:color="auto" w:sz="4" w:space="0"/>
              <w:right w:val="single" w:color="auto" w:sz="4" w:space="0"/>
            </w:tcBorders>
            <w:noWrap/>
            <w:vAlign w:val="center"/>
          </w:tcPr>
          <w:p w14:paraId="1AEC6E23">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04EE86E1">
        <w:tblPrEx>
          <w:tblCellMar>
            <w:top w:w="0" w:type="dxa"/>
            <w:left w:w="108" w:type="dxa"/>
            <w:bottom w:w="0" w:type="dxa"/>
            <w:right w:w="108" w:type="dxa"/>
          </w:tblCellMar>
        </w:tblPrEx>
        <w:trPr>
          <w:trHeight w:val="4082" w:hRule="exact"/>
        </w:trPr>
        <w:tc>
          <w:tcPr>
            <w:tcW w:w="445" w:type="pct"/>
            <w:vMerge w:val="restart"/>
            <w:tcBorders>
              <w:top w:val="nil"/>
              <w:left w:val="single" w:color="auto" w:sz="4" w:space="0"/>
              <w:right w:val="single" w:color="auto" w:sz="4" w:space="0"/>
            </w:tcBorders>
            <w:noWrap w:val="0"/>
            <w:vAlign w:val="center"/>
          </w:tcPr>
          <w:p w14:paraId="10D2E3EE">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工作绩效</w:t>
            </w:r>
          </w:p>
        </w:tc>
        <w:tc>
          <w:tcPr>
            <w:tcW w:w="457" w:type="pct"/>
            <w:vMerge w:val="restart"/>
            <w:tcBorders>
              <w:top w:val="nil"/>
              <w:left w:val="single" w:color="auto" w:sz="4" w:space="0"/>
              <w:right w:val="single" w:color="auto" w:sz="4" w:space="0"/>
            </w:tcBorders>
            <w:noWrap w:val="0"/>
            <w:vAlign w:val="center"/>
          </w:tcPr>
          <w:p w14:paraId="06996BAF">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学术活动</w:t>
            </w:r>
          </w:p>
        </w:tc>
        <w:tc>
          <w:tcPr>
            <w:tcW w:w="458" w:type="pct"/>
            <w:vMerge w:val="restart"/>
            <w:tcBorders>
              <w:top w:val="nil"/>
              <w:left w:val="single" w:color="auto" w:sz="4" w:space="0"/>
              <w:right w:val="single" w:color="auto" w:sz="4" w:space="0"/>
            </w:tcBorders>
            <w:noWrap w:val="0"/>
            <w:vAlign w:val="center"/>
          </w:tcPr>
          <w:p w14:paraId="69285775">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学术会议</w:t>
            </w:r>
          </w:p>
        </w:tc>
        <w:tc>
          <w:tcPr>
            <w:tcW w:w="489" w:type="pct"/>
            <w:tcBorders>
              <w:top w:val="nil"/>
              <w:left w:val="nil"/>
              <w:bottom w:val="single" w:color="auto" w:sz="4" w:space="0"/>
              <w:right w:val="single" w:color="auto" w:sz="4" w:space="0"/>
            </w:tcBorders>
            <w:noWrap w:val="0"/>
            <w:vAlign w:val="center"/>
          </w:tcPr>
          <w:p w14:paraId="336D0BBC">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主办、承办、协办学术活动出席人员情况</w:t>
            </w:r>
          </w:p>
        </w:tc>
        <w:tc>
          <w:tcPr>
            <w:tcW w:w="2868" w:type="pct"/>
            <w:tcBorders>
              <w:top w:val="nil"/>
              <w:left w:val="nil"/>
              <w:bottom w:val="single" w:color="auto" w:sz="4" w:space="0"/>
              <w:right w:val="single" w:color="auto" w:sz="4" w:space="0"/>
            </w:tcBorders>
            <w:noWrap w:val="0"/>
            <w:vAlign w:val="center"/>
          </w:tcPr>
          <w:p w14:paraId="68A69CFC">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至少有两次学术活动有较高学术影响力的人出席；人文社会科学类学会（研究会）平均每次学术活动出席人数超过100人/自然科学类学会（研究会）超200人；出席人员具有广泛的代表性：</w:t>
            </w:r>
          </w:p>
          <w:p w14:paraId="72696824">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□满足上述情形中的3项，得1分</w:t>
            </w:r>
            <w:r>
              <w:rPr>
                <w:rFonts w:hint="eastAsia" w:ascii="宋体" w:hAnsi="宋体" w:cs="宋体"/>
                <w:color w:val="000000"/>
                <w:kern w:val="0"/>
                <w:sz w:val="22"/>
                <w:szCs w:val="22"/>
                <w:highlight w:val="none"/>
              </w:rPr>
              <w:br w:type="page"/>
            </w:r>
          </w:p>
          <w:p w14:paraId="30DDD8C7">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□满足上述情形中的2项，得0.7分 </w:t>
            </w:r>
            <w:r>
              <w:rPr>
                <w:rFonts w:hint="eastAsia" w:ascii="宋体" w:hAnsi="宋体" w:cs="宋体"/>
                <w:color w:val="000000"/>
                <w:kern w:val="0"/>
                <w:sz w:val="22"/>
                <w:szCs w:val="22"/>
                <w:highlight w:val="none"/>
              </w:rPr>
              <w:br w:type="page"/>
            </w:r>
          </w:p>
          <w:p w14:paraId="66F0E682">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□满足上述情形中的1项，得0.4分 </w:t>
            </w:r>
            <w:r>
              <w:rPr>
                <w:rFonts w:hint="eastAsia" w:ascii="宋体" w:hAnsi="宋体" w:cs="宋体"/>
                <w:color w:val="000000"/>
                <w:kern w:val="0"/>
                <w:sz w:val="22"/>
                <w:szCs w:val="22"/>
                <w:highlight w:val="none"/>
              </w:rPr>
              <w:br w:type="page"/>
            </w:r>
          </w:p>
          <w:p w14:paraId="5D475EEC">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□上述情形均不符合，得0分 </w:t>
            </w: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br w:type="page"/>
            </w:r>
          </w:p>
          <w:p w14:paraId="1B6DB5A6">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注：较高学术影响力的人员一般包括下列情形：两院院士、社科院学部委员（荣誉学部委员）、长江学者、国家杰出青年科学基金获得者、国务院特殊津贴获得者、国家级专业奖项获得者、国务院参事室参事、中央文史研究馆馆员、二级教授（二级研究员）职称以上等人员一般视为有较大影响力。</w:t>
            </w:r>
          </w:p>
        </w:tc>
        <w:tc>
          <w:tcPr>
            <w:tcW w:w="283" w:type="pct"/>
            <w:tcBorders>
              <w:top w:val="nil"/>
              <w:left w:val="nil"/>
              <w:bottom w:val="single" w:color="auto" w:sz="4" w:space="0"/>
              <w:right w:val="single" w:color="auto" w:sz="4" w:space="0"/>
            </w:tcBorders>
            <w:noWrap/>
            <w:vAlign w:val="center"/>
          </w:tcPr>
          <w:p w14:paraId="5E9B8AFA">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44D56467">
        <w:tblPrEx>
          <w:tblCellMar>
            <w:top w:w="0" w:type="dxa"/>
            <w:left w:w="108" w:type="dxa"/>
            <w:bottom w:w="0" w:type="dxa"/>
            <w:right w:w="108" w:type="dxa"/>
          </w:tblCellMar>
        </w:tblPrEx>
        <w:trPr>
          <w:trHeight w:val="4082" w:hRule="exact"/>
        </w:trPr>
        <w:tc>
          <w:tcPr>
            <w:tcW w:w="445" w:type="pct"/>
            <w:vMerge w:val="continue"/>
            <w:tcBorders>
              <w:left w:val="single" w:color="auto" w:sz="4" w:space="0"/>
              <w:bottom w:val="single" w:color="auto" w:sz="4" w:space="0"/>
              <w:right w:val="single" w:color="auto" w:sz="4" w:space="0"/>
            </w:tcBorders>
            <w:noWrap w:val="0"/>
            <w:vAlign w:val="center"/>
          </w:tcPr>
          <w:p w14:paraId="48C1989B">
            <w:pPr>
              <w:widowControl/>
              <w:jc w:val="left"/>
              <w:rPr>
                <w:rFonts w:ascii="宋体" w:hAnsi="宋体" w:cs="宋体"/>
                <w:color w:val="000000"/>
                <w:kern w:val="0"/>
                <w:sz w:val="22"/>
                <w:szCs w:val="22"/>
                <w:highlight w:val="none"/>
              </w:rPr>
            </w:pPr>
          </w:p>
        </w:tc>
        <w:tc>
          <w:tcPr>
            <w:tcW w:w="457" w:type="pct"/>
            <w:vMerge w:val="continue"/>
            <w:tcBorders>
              <w:left w:val="single" w:color="auto" w:sz="4" w:space="0"/>
              <w:bottom w:val="single" w:color="auto" w:sz="4" w:space="0"/>
              <w:right w:val="single" w:color="auto" w:sz="4" w:space="0"/>
            </w:tcBorders>
            <w:noWrap w:val="0"/>
            <w:vAlign w:val="center"/>
          </w:tcPr>
          <w:p w14:paraId="49678AE3">
            <w:pPr>
              <w:widowControl/>
              <w:jc w:val="left"/>
              <w:rPr>
                <w:rFonts w:ascii="宋体" w:hAnsi="宋体" w:cs="宋体"/>
                <w:color w:val="000000"/>
                <w:kern w:val="0"/>
                <w:sz w:val="22"/>
                <w:szCs w:val="22"/>
                <w:highlight w:val="none"/>
              </w:rPr>
            </w:pPr>
          </w:p>
        </w:tc>
        <w:tc>
          <w:tcPr>
            <w:tcW w:w="458" w:type="pct"/>
            <w:vMerge w:val="continue"/>
            <w:tcBorders>
              <w:left w:val="single" w:color="auto" w:sz="4" w:space="0"/>
              <w:bottom w:val="single" w:color="auto" w:sz="4" w:space="0"/>
              <w:right w:val="single" w:color="auto" w:sz="4" w:space="0"/>
            </w:tcBorders>
            <w:noWrap w:val="0"/>
            <w:vAlign w:val="center"/>
          </w:tcPr>
          <w:p w14:paraId="3DB3616F">
            <w:pPr>
              <w:widowControl/>
              <w:jc w:val="left"/>
              <w:rPr>
                <w:rFonts w:ascii="宋体" w:hAnsi="宋体" w:cs="宋体"/>
                <w:color w:val="000000"/>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4D3078E8">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主办、承办、协办学术活动交流论文情况</w:t>
            </w:r>
          </w:p>
        </w:tc>
        <w:tc>
          <w:tcPr>
            <w:tcW w:w="2868" w:type="pct"/>
            <w:tcBorders>
              <w:top w:val="nil"/>
              <w:left w:val="nil"/>
              <w:bottom w:val="single" w:color="auto" w:sz="4" w:space="0"/>
              <w:right w:val="single" w:color="auto" w:sz="4" w:space="0"/>
            </w:tcBorders>
            <w:noWrap w:val="0"/>
            <w:vAlign w:val="center"/>
          </w:tcPr>
          <w:p w14:paraId="2EDB65EA">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自然科学类：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□上两个年度，有3次以上结集出版（含电子出版物），或6次以上汇编成册，得0.5分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□上两个年度，有1次结集出版（含电子出版物），或2次以上汇编成册，得0.3分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□上两个年度，至少有1次汇编成册，得0.1分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□上两个年度，没有结集出版或汇编成册，得0分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人文社会科学类：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□上两个年度，有2次以上结集出版（含电子出版物），或4次以上汇编成册，得0.5分                                                                                                     □上两个年度，有1次结集出版（含电子出版物），或2次以上汇编成册，得0.3分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□上两个年度，至少有1次汇编成册，得0.1分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□上两个年度，没有结集出版或汇编成册，得0分 </w:t>
            </w:r>
          </w:p>
        </w:tc>
        <w:tc>
          <w:tcPr>
            <w:tcW w:w="283" w:type="pct"/>
            <w:tcBorders>
              <w:top w:val="nil"/>
              <w:left w:val="nil"/>
              <w:bottom w:val="single" w:color="auto" w:sz="4" w:space="0"/>
              <w:right w:val="single" w:color="auto" w:sz="4" w:space="0"/>
            </w:tcBorders>
            <w:noWrap/>
            <w:vAlign w:val="center"/>
          </w:tcPr>
          <w:p w14:paraId="71C2133C">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0.5</w:t>
            </w:r>
          </w:p>
        </w:tc>
      </w:tr>
      <w:tr w14:paraId="6FE45442">
        <w:tblPrEx>
          <w:tblCellMar>
            <w:top w:w="0" w:type="dxa"/>
            <w:left w:w="108" w:type="dxa"/>
            <w:bottom w:w="0" w:type="dxa"/>
            <w:right w:w="108" w:type="dxa"/>
          </w:tblCellMar>
        </w:tblPrEx>
        <w:trPr>
          <w:trHeight w:val="8165" w:hRule="atLeast"/>
        </w:trPr>
        <w:tc>
          <w:tcPr>
            <w:tcW w:w="445" w:type="pct"/>
            <w:tcBorders>
              <w:top w:val="nil"/>
              <w:left w:val="single" w:color="auto" w:sz="4" w:space="0"/>
              <w:bottom w:val="single" w:color="auto" w:sz="4" w:space="0"/>
              <w:right w:val="single" w:color="auto" w:sz="4" w:space="0"/>
            </w:tcBorders>
            <w:noWrap w:val="0"/>
            <w:vAlign w:val="center"/>
          </w:tcPr>
          <w:p w14:paraId="4D488359">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工作绩效</w:t>
            </w:r>
          </w:p>
        </w:tc>
        <w:tc>
          <w:tcPr>
            <w:tcW w:w="457" w:type="pct"/>
            <w:tcBorders>
              <w:top w:val="nil"/>
              <w:left w:val="single" w:color="auto" w:sz="4" w:space="0"/>
              <w:bottom w:val="single" w:color="auto" w:sz="4" w:space="0"/>
              <w:right w:val="single" w:color="auto" w:sz="4" w:space="0"/>
            </w:tcBorders>
            <w:noWrap w:val="0"/>
            <w:vAlign w:val="center"/>
          </w:tcPr>
          <w:p w14:paraId="2BDC57ED">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学术活动</w:t>
            </w:r>
          </w:p>
        </w:tc>
        <w:tc>
          <w:tcPr>
            <w:tcW w:w="458" w:type="pct"/>
            <w:tcBorders>
              <w:top w:val="nil"/>
              <w:left w:val="single" w:color="auto" w:sz="4" w:space="0"/>
              <w:bottom w:val="single" w:color="auto" w:sz="4" w:space="0"/>
              <w:right w:val="single" w:color="auto" w:sz="4" w:space="0"/>
            </w:tcBorders>
            <w:noWrap w:val="0"/>
            <w:vAlign w:val="center"/>
          </w:tcPr>
          <w:p w14:paraId="3A2AC6F1">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学术会议</w:t>
            </w:r>
          </w:p>
        </w:tc>
        <w:tc>
          <w:tcPr>
            <w:tcW w:w="489" w:type="pct"/>
            <w:tcBorders>
              <w:top w:val="nil"/>
              <w:left w:val="nil"/>
              <w:bottom w:val="single" w:color="auto" w:sz="4" w:space="0"/>
              <w:right w:val="single" w:color="auto" w:sz="4" w:space="0"/>
            </w:tcBorders>
            <w:noWrap w:val="0"/>
            <w:vAlign w:val="center"/>
          </w:tcPr>
          <w:p w14:paraId="7370D21D">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主办、承办、协办学术活动的影响力</w:t>
            </w:r>
          </w:p>
        </w:tc>
        <w:tc>
          <w:tcPr>
            <w:tcW w:w="2868" w:type="pct"/>
            <w:tcBorders>
              <w:top w:val="nil"/>
              <w:left w:val="nil"/>
              <w:bottom w:val="single" w:color="auto" w:sz="4" w:space="0"/>
              <w:right w:val="single" w:color="auto" w:sz="4" w:space="0"/>
            </w:tcBorders>
            <w:noWrap w:val="0"/>
            <w:vAlign w:val="center"/>
          </w:tcPr>
          <w:p w14:paraId="32FA892C">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自然科学类：</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□两个以上的国内学术活动形成品牌，得0.5分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□定期组织两个以上的国内学术活动或有一个国内学术活动形成品牌，得0.4分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□定期组织国内学术活动，得0.3分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□不定期组织国内学术活动，得0.2分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□上两个年度没有组织过国内学术活动，得0分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人文社会科学类：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□一个国内学术活动形成品牌，得0.5分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□定期组织国内学术活动，得0.4分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□不定期组织国内学术活动，得0.2分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□上两个年度没有组织过国内学术活动，得0分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注：学术活动形成品牌，应具备连续举办三次以上、社会知名度高等要素。</w:t>
            </w:r>
          </w:p>
        </w:tc>
        <w:tc>
          <w:tcPr>
            <w:tcW w:w="283" w:type="pct"/>
            <w:tcBorders>
              <w:top w:val="nil"/>
              <w:left w:val="nil"/>
              <w:bottom w:val="single" w:color="auto" w:sz="4" w:space="0"/>
              <w:right w:val="single" w:color="auto" w:sz="4" w:space="0"/>
            </w:tcBorders>
            <w:noWrap/>
            <w:vAlign w:val="center"/>
          </w:tcPr>
          <w:p w14:paraId="757738F7">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0.5</w:t>
            </w:r>
          </w:p>
        </w:tc>
      </w:tr>
      <w:tr w14:paraId="43ACD305">
        <w:tblPrEx>
          <w:tblCellMar>
            <w:top w:w="0" w:type="dxa"/>
            <w:left w:w="108" w:type="dxa"/>
            <w:bottom w:w="0" w:type="dxa"/>
            <w:right w:w="108" w:type="dxa"/>
          </w:tblCellMar>
        </w:tblPrEx>
        <w:trPr>
          <w:trHeight w:val="785" w:hRule="atLeast"/>
        </w:trPr>
        <w:tc>
          <w:tcPr>
            <w:tcW w:w="445" w:type="pct"/>
            <w:vMerge w:val="restart"/>
            <w:tcBorders>
              <w:top w:val="nil"/>
              <w:left w:val="single" w:color="auto" w:sz="4" w:space="0"/>
              <w:bottom w:val="single" w:color="auto" w:sz="4" w:space="0"/>
              <w:right w:val="single" w:color="auto" w:sz="4" w:space="0"/>
            </w:tcBorders>
            <w:noWrap w:val="0"/>
            <w:vAlign w:val="center"/>
          </w:tcPr>
          <w:p w14:paraId="2989A87A">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工作绩效</w:t>
            </w:r>
          </w:p>
        </w:tc>
        <w:tc>
          <w:tcPr>
            <w:tcW w:w="457" w:type="pct"/>
            <w:vMerge w:val="restart"/>
            <w:tcBorders>
              <w:top w:val="nil"/>
              <w:left w:val="single" w:color="auto" w:sz="4" w:space="0"/>
              <w:bottom w:val="single" w:color="auto" w:sz="4" w:space="0"/>
              <w:right w:val="single" w:color="auto" w:sz="4" w:space="0"/>
            </w:tcBorders>
            <w:noWrap w:val="0"/>
            <w:vAlign w:val="center"/>
          </w:tcPr>
          <w:p w14:paraId="5BBB6998">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学术活动</w:t>
            </w:r>
          </w:p>
        </w:tc>
        <w:tc>
          <w:tcPr>
            <w:tcW w:w="458" w:type="pct"/>
            <w:tcBorders>
              <w:top w:val="nil"/>
              <w:left w:val="nil"/>
              <w:bottom w:val="single" w:color="auto" w:sz="4" w:space="0"/>
              <w:right w:val="single" w:color="auto" w:sz="4" w:space="0"/>
            </w:tcBorders>
            <w:noWrap w:val="0"/>
            <w:vAlign w:val="center"/>
          </w:tcPr>
          <w:p w14:paraId="1C3CDFB2">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学术会议</w:t>
            </w:r>
          </w:p>
        </w:tc>
        <w:tc>
          <w:tcPr>
            <w:tcW w:w="489" w:type="pct"/>
            <w:tcBorders>
              <w:top w:val="nil"/>
              <w:left w:val="nil"/>
              <w:bottom w:val="single" w:color="auto" w:sz="4" w:space="0"/>
              <w:right w:val="single" w:color="auto" w:sz="4" w:space="0"/>
            </w:tcBorders>
            <w:noWrap w:val="0"/>
            <w:vAlign w:val="center"/>
          </w:tcPr>
          <w:p w14:paraId="33F0388E">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参加学术活动情况</w:t>
            </w:r>
            <w:r>
              <w:rPr>
                <w:rFonts w:hint="eastAsia" w:ascii="宋体" w:hAnsi="宋体" w:cs="宋体"/>
                <w:color w:val="000000"/>
                <w:kern w:val="0"/>
                <w:sz w:val="22"/>
                <w:szCs w:val="22"/>
                <w:highlight w:val="none"/>
              </w:rPr>
              <w:br w:type="page"/>
            </w:r>
          </w:p>
        </w:tc>
        <w:tc>
          <w:tcPr>
            <w:tcW w:w="2868" w:type="pct"/>
            <w:tcBorders>
              <w:top w:val="nil"/>
              <w:left w:val="nil"/>
              <w:bottom w:val="single" w:color="auto" w:sz="4" w:space="0"/>
              <w:right w:val="single" w:color="auto" w:sz="4" w:space="0"/>
            </w:tcBorders>
            <w:noWrap w:val="0"/>
            <w:vAlign w:val="center"/>
          </w:tcPr>
          <w:p w14:paraId="5EF0DAED">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近两年内参加国际国内学术活动的次数：  </w:t>
            </w: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□10次以上，得0.5分</w:t>
            </w: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 xml:space="preserve">□7～9次，得0.4分 </w:t>
            </w: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 xml:space="preserve">□4～6次，得0.3分 </w:t>
            </w: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 xml:space="preserve">□1～3次，得0.1分 </w:t>
            </w:r>
          </w:p>
        </w:tc>
        <w:tc>
          <w:tcPr>
            <w:tcW w:w="283" w:type="pct"/>
            <w:tcBorders>
              <w:top w:val="nil"/>
              <w:left w:val="nil"/>
              <w:bottom w:val="single" w:color="auto" w:sz="4" w:space="0"/>
              <w:right w:val="single" w:color="auto" w:sz="4" w:space="0"/>
            </w:tcBorders>
            <w:noWrap/>
            <w:vAlign w:val="center"/>
          </w:tcPr>
          <w:p w14:paraId="2A0F2D39">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0.5</w:t>
            </w:r>
          </w:p>
        </w:tc>
      </w:tr>
      <w:tr w14:paraId="7D8FA5FD">
        <w:tblPrEx>
          <w:tblCellMar>
            <w:top w:w="0" w:type="dxa"/>
            <w:left w:w="108" w:type="dxa"/>
            <w:bottom w:w="0" w:type="dxa"/>
            <w:right w:w="108" w:type="dxa"/>
          </w:tblCellMar>
        </w:tblPrEx>
        <w:trPr>
          <w:trHeight w:val="4382"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228C2CB7">
            <w:pPr>
              <w:widowControl/>
              <w:jc w:val="left"/>
              <w:rPr>
                <w:rFonts w:ascii="宋体" w:hAnsi="宋体" w:cs="宋体"/>
                <w:color w:val="000000"/>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765A2011">
            <w:pPr>
              <w:widowControl/>
              <w:jc w:val="left"/>
              <w:rPr>
                <w:rFonts w:ascii="宋体" w:hAnsi="宋体" w:cs="宋体"/>
                <w:color w:val="000000"/>
                <w:kern w:val="0"/>
                <w:sz w:val="22"/>
                <w:szCs w:val="22"/>
                <w:highlight w:val="none"/>
              </w:rPr>
            </w:pPr>
          </w:p>
        </w:tc>
        <w:tc>
          <w:tcPr>
            <w:tcW w:w="458" w:type="pct"/>
            <w:vMerge w:val="restart"/>
            <w:tcBorders>
              <w:top w:val="nil"/>
              <w:left w:val="single" w:color="auto" w:sz="4" w:space="0"/>
              <w:bottom w:val="single" w:color="auto" w:sz="4" w:space="0"/>
              <w:right w:val="single" w:color="auto" w:sz="4" w:space="0"/>
            </w:tcBorders>
            <w:noWrap w:val="0"/>
            <w:vAlign w:val="center"/>
          </w:tcPr>
          <w:p w14:paraId="48B9E9C4">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学术书刊</w:t>
            </w:r>
          </w:p>
        </w:tc>
        <w:tc>
          <w:tcPr>
            <w:tcW w:w="489" w:type="pct"/>
            <w:tcBorders>
              <w:top w:val="nil"/>
              <w:left w:val="nil"/>
              <w:bottom w:val="single" w:color="auto" w:sz="4" w:space="0"/>
              <w:right w:val="single" w:color="auto" w:sz="4" w:space="0"/>
            </w:tcBorders>
            <w:noWrap w:val="0"/>
            <w:vAlign w:val="center"/>
          </w:tcPr>
          <w:p w14:paraId="30C722E2">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专业期刊</w:t>
            </w:r>
          </w:p>
        </w:tc>
        <w:tc>
          <w:tcPr>
            <w:tcW w:w="2868" w:type="pct"/>
            <w:tcBorders>
              <w:top w:val="nil"/>
              <w:left w:val="nil"/>
              <w:bottom w:val="single" w:color="auto" w:sz="4" w:space="0"/>
              <w:right w:val="single" w:color="auto" w:sz="4" w:space="0"/>
            </w:tcBorders>
            <w:noWrap w:val="0"/>
            <w:vAlign w:val="center"/>
          </w:tcPr>
          <w:p w14:paraId="01290C61">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有专业期刊：</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□3种以上专业期刊或CNKI学术期刊复合影响因子在本学科排名前10%，得0.5分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□有英文期刊或CNKI学术期刊复合影响因子在本学科排名前20%，得0.4分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□CNKI学术期刊复合影响因子在本学科排名前50%，得0.3分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□CNKI学术期刊复合影响因子在本学科排名前70%，得0.2分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□CNKI学术期刊复合影响因子在本学科排名在70%以后或无排名，得0.1分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无专业期刊：</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□有定期连续出版的书籍（有统一名称、有书号），刊载学术论文，得0.5分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□有定期出版的内部刊物（有准印证），得0.3分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□没有专业期刊，但有内部资料，得0.1分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□没有专业期刊和内部资料，得0分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注：专业期刊CNKI学术期刊复合影响在本学科的排名以《中国学术期刊影响力因子年报》（2011版）公布的数据为准。</w:t>
            </w:r>
          </w:p>
        </w:tc>
        <w:tc>
          <w:tcPr>
            <w:tcW w:w="283" w:type="pct"/>
            <w:tcBorders>
              <w:top w:val="nil"/>
              <w:left w:val="nil"/>
              <w:bottom w:val="single" w:color="auto" w:sz="4" w:space="0"/>
              <w:right w:val="single" w:color="auto" w:sz="4" w:space="0"/>
            </w:tcBorders>
            <w:noWrap/>
            <w:vAlign w:val="center"/>
          </w:tcPr>
          <w:p w14:paraId="3CC8F421">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0.5</w:t>
            </w:r>
          </w:p>
        </w:tc>
      </w:tr>
      <w:tr w14:paraId="55E03EC4">
        <w:tblPrEx>
          <w:tblCellMar>
            <w:top w:w="0" w:type="dxa"/>
            <w:left w:w="108" w:type="dxa"/>
            <w:bottom w:w="0" w:type="dxa"/>
            <w:right w:w="108" w:type="dxa"/>
          </w:tblCellMar>
        </w:tblPrEx>
        <w:trPr>
          <w:trHeight w:val="2940"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2D18733E">
            <w:pPr>
              <w:widowControl/>
              <w:jc w:val="left"/>
              <w:rPr>
                <w:rFonts w:ascii="宋体" w:hAnsi="宋体" w:cs="宋体"/>
                <w:color w:val="000000"/>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51E909F0">
            <w:pPr>
              <w:widowControl/>
              <w:jc w:val="left"/>
              <w:rPr>
                <w:rFonts w:ascii="宋体" w:hAnsi="宋体" w:cs="宋体"/>
                <w:color w:val="000000"/>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1A329867">
            <w:pPr>
              <w:widowControl/>
              <w:jc w:val="left"/>
              <w:rPr>
                <w:rFonts w:ascii="宋体" w:hAnsi="宋体" w:cs="宋体"/>
                <w:color w:val="000000"/>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4F60CA9D">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内部资料</w:t>
            </w:r>
          </w:p>
        </w:tc>
        <w:tc>
          <w:tcPr>
            <w:tcW w:w="2868" w:type="pct"/>
            <w:tcBorders>
              <w:top w:val="nil"/>
              <w:left w:val="nil"/>
              <w:bottom w:val="single" w:color="auto" w:sz="4" w:space="0"/>
              <w:right w:val="single" w:color="auto" w:sz="4" w:space="0"/>
            </w:tcBorders>
            <w:noWrap w:val="0"/>
            <w:vAlign w:val="center"/>
          </w:tcPr>
          <w:p w14:paraId="1504BAD8">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□内部资料定期编印，内容丰富，种类多样，及时提供给会员，得0.5分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□内部资料定期编印，内容丰富，种类多样，及时提供给会员，缺一项，得0.3分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□内部资料定期编印，内容丰富，种类多样，及时提供给会员，缺两项，得0.1分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□没有内部资料，但有专业期刊，此项按专业期刊对应标准赋分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□没有内部资料和专业期刊，得0分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注：内部资料包括内部刊物（无准印证）、会员通讯、学科发展报告和电子出版物等。</w:t>
            </w:r>
          </w:p>
        </w:tc>
        <w:tc>
          <w:tcPr>
            <w:tcW w:w="283" w:type="pct"/>
            <w:tcBorders>
              <w:top w:val="nil"/>
              <w:left w:val="nil"/>
              <w:bottom w:val="single" w:color="auto" w:sz="4" w:space="0"/>
              <w:right w:val="single" w:color="auto" w:sz="4" w:space="0"/>
            </w:tcBorders>
            <w:noWrap/>
            <w:vAlign w:val="center"/>
          </w:tcPr>
          <w:p w14:paraId="6893181A">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0.5</w:t>
            </w:r>
          </w:p>
        </w:tc>
      </w:tr>
      <w:tr w14:paraId="0E80F30E">
        <w:tblPrEx>
          <w:tblCellMar>
            <w:top w:w="0" w:type="dxa"/>
            <w:left w:w="108" w:type="dxa"/>
            <w:bottom w:w="0" w:type="dxa"/>
            <w:right w:w="108" w:type="dxa"/>
          </w:tblCellMar>
        </w:tblPrEx>
        <w:trPr>
          <w:trHeight w:val="2203" w:hRule="atLeast"/>
        </w:trPr>
        <w:tc>
          <w:tcPr>
            <w:tcW w:w="445" w:type="pct"/>
            <w:vMerge w:val="restart"/>
            <w:tcBorders>
              <w:top w:val="nil"/>
              <w:left w:val="single" w:color="auto" w:sz="4" w:space="0"/>
              <w:bottom w:val="single" w:color="auto" w:sz="4" w:space="0"/>
              <w:right w:val="single" w:color="auto" w:sz="4" w:space="0"/>
            </w:tcBorders>
            <w:noWrap w:val="0"/>
            <w:vAlign w:val="center"/>
          </w:tcPr>
          <w:p w14:paraId="7D0683F2">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工作绩效</w:t>
            </w:r>
          </w:p>
        </w:tc>
        <w:tc>
          <w:tcPr>
            <w:tcW w:w="457" w:type="pct"/>
            <w:vMerge w:val="restart"/>
            <w:tcBorders>
              <w:top w:val="nil"/>
              <w:left w:val="single" w:color="auto" w:sz="4" w:space="0"/>
              <w:bottom w:val="single" w:color="auto" w:sz="4" w:space="0"/>
              <w:right w:val="single" w:color="auto" w:sz="4" w:space="0"/>
            </w:tcBorders>
            <w:noWrap w:val="0"/>
            <w:vAlign w:val="center"/>
          </w:tcPr>
          <w:p w14:paraId="748112C7">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学术活动</w:t>
            </w:r>
          </w:p>
        </w:tc>
        <w:tc>
          <w:tcPr>
            <w:tcW w:w="458" w:type="pct"/>
            <w:tcBorders>
              <w:top w:val="nil"/>
              <w:left w:val="nil"/>
              <w:bottom w:val="single" w:color="auto" w:sz="4" w:space="0"/>
              <w:right w:val="single" w:color="auto" w:sz="4" w:space="0"/>
            </w:tcBorders>
            <w:noWrap w:val="0"/>
            <w:vAlign w:val="center"/>
          </w:tcPr>
          <w:p w14:paraId="6D870719">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学术书刊</w:t>
            </w:r>
          </w:p>
        </w:tc>
        <w:tc>
          <w:tcPr>
            <w:tcW w:w="489" w:type="pct"/>
            <w:tcBorders>
              <w:top w:val="nil"/>
              <w:left w:val="nil"/>
              <w:bottom w:val="single" w:color="auto" w:sz="4" w:space="0"/>
              <w:right w:val="single" w:color="auto" w:sz="4" w:space="0"/>
            </w:tcBorders>
            <w:noWrap w:val="0"/>
            <w:vAlign w:val="center"/>
          </w:tcPr>
          <w:p w14:paraId="2E42BD51">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专业书籍</w:t>
            </w:r>
          </w:p>
        </w:tc>
        <w:tc>
          <w:tcPr>
            <w:tcW w:w="2868" w:type="pct"/>
            <w:tcBorders>
              <w:top w:val="nil"/>
              <w:left w:val="nil"/>
              <w:bottom w:val="single" w:color="auto" w:sz="4" w:space="0"/>
              <w:right w:val="single" w:color="auto" w:sz="4" w:space="0"/>
            </w:tcBorders>
            <w:noWrap w:val="0"/>
            <w:vAlign w:val="center"/>
          </w:tcPr>
          <w:p w14:paraId="6DCFA441">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出版三种以上专业书籍、专业书籍形成系列、专业书籍获得省部级以上图书奖：</w:t>
            </w: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□满足上述情形中的3项，得0.5分</w:t>
            </w:r>
          </w:p>
          <w:p w14:paraId="5D156F9C">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□满足上述情形中的2项，得0.4分</w:t>
            </w:r>
          </w:p>
          <w:p w14:paraId="7CDB3107">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□满足上述情形中的1项，得0.3分</w:t>
            </w:r>
          </w:p>
          <w:p w14:paraId="39B68167">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□上述情形都不符合，但出版过专业书籍，得0.1分</w:t>
            </w:r>
          </w:p>
          <w:p w14:paraId="30B2ED59">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□没有出版过专业书籍，得0分</w:t>
            </w:r>
          </w:p>
          <w:p w14:paraId="6CE71497">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注：</w:t>
            </w: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1.书籍出版是指以学会（研究会）名义单独出版或联合其他单位共同出版，以及有材料证明学会（研究会）承担了书籍的主要编著工作但以其他名义出版的情形。</w:t>
            </w: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2.专业书籍包括年鉴、工具书、操作规范、学术专著、培训教材和科普丛书等。</w:t>
            </w:r>
          </w:p>
        </w:tc>
        <w:tc>
          <w:tcPr>
            <w:tcW w:w="283" w:type="pct"/>
            <w:tcBorders>
              <w:top w:val="nil"/>
              <w:left w:val="nil"/>
              <w:bottom w:val="single" w:color="auto" w:sz="4" w:space="0"/>
              <w:right w:val="single" w:color="auto" w:sz="4" w:space="0"/>
            </w:tcBorders>
            <w:noWrap/>
            <w:vAlign w:val="center"/>
          </w:tcPr>
          <w:p w14:paraId="584E2FB9">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0.5</w:t>
            </w:r>
          </w:p>
        </w:tc>
      </w:tr>
      <w:tr w14:paraId="5B89ED0D">
        <w:tblPrEx>
          <w:tblCellMar>
            <w:top w:w="0" w:type="dxa"/>
            <w:left w:w="108" w:type="dxa"/>
            <w:bottom w:w="0" w:type="dxa"/>
            <w:right w:w="108" w:type="dxa"/>
          </w:tblCellMar>
        </w:tblPrEx>
        <w:trPr>
          <w:trHeight w:val="1053"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40A568D6">
            <w:pPr>
              <w:widowControl/>
              <w:jc w:val="left"/>
              <w:rPr>
                <w:rFonts w:ascii="宋体" w:hAnsi="宋体" w:cs="宋体"/>
                <w:color w:val="000000"/>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46855CF9">
            <w:pPr>
              <w:widowControl/>
              <w:jc w:val="left"/>
              <w:rPr>
                <w:rFonts w:ascii="宋体" w:hAnsi="宋体" w:cs="宋体"/>
                <w:color w:val="000000"/>
                <w:kern w:val="0"/>
                <w:sz w:val="22"/>
                <w:szCs w:val="22"/>
                <w:highlight w:val="none"/>
              </w:rPr>
            </w:pPr>
          </w:p>
        </w:tc>
        <w:tc>
          <w:tcPr>
            <w:tcW w:w="458" w:type="pct"/>
            <w:vMerge w:val="restart"/>
            <w:tcBorders>
              <w:top w:val="nil"/>
              <w:left w:val="single" w:color="auto" w:sz="4" w:space="0"/>
              <w:bottom w:val="single" w:color="auto" w:sz="4" w:space="0"/>
              <w:right w:val="single" w:color="auto" w:sz="4" w:space="0"/>
            </w:tcBorders>
            <w:noWrap w:val="0"/>
            <w:vAlign w:val="center"/>
          </w:tcPr>
          <w:p w14:paraId="6DB5034B">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学术研究</w:t>
            </w:r>
          </w:p>
        </w:tc>
        <w:tc>
          <w:tcPr>
            <w:tcW w:w="489" w:type="pct"/>
            <w:tcBorders>
              <w:top w:val="nil"/>
              <w:left w:val="nil"/>
              <w:bottom w:val="single" w:color="auto" w:sz="4" w:space="0"/>
              <w:right w:val="single" w:color="auto" w:sz="4" w:space="0"/>
            </w:tcBorders>
            <w:noWrap w:val="0"/>
            <w:vAlign w:val="center"/>
          </w:tcPr>
          <w:p w14:paraId="71B38E3E">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学术规划</w:t>
            </w:r>
          </w:p>
        </w:tc>
        <w:tc>
          <w:tcPr>
            <w:tcW w:w="2868" w:type="pct"/>
            <w:tcBorders>
              <w:top w:val="nil"/>
              <w:left w:val="nil"/>
              <w:bottom w:val="single" w:color="auto" w:sz="4" w:space="0"/>
              <w:right w:val="single" w:color="auto" w:sz="4" w:space="0"/>
            </w:tcBorders>
            <w:noWrap w:val="0"/>
            <w:vAlign w:val="center"/>
          </w:tcPr>
          <w:p w14:paraId="0B6D6072">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□制定的学术规划详细、清楚，对学科未来发展有较强的指导作用，得0.5分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□制定的学术规划比较简单，对学科未来发展指导作用一般，得0.3分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□未制定学术规划，得0分 </w:t>
            </w:r>
          </w:p>
        </w:tc>
        <w:tc>
          <w:tcPr>
            <w:tcW w:w="283" w:type="pct"/>
            <w:tcBorders>
              <w:top w:val="nil"/>
              <w:left w:val="nil"/>
              <w:bottom w:val="single" w:color="auto" w:sz="4" w:space="0"/>
              <w:right w:val="single" w:color="auto" w:sz="4" w:space="0"/>
            </w:tcBorders>
            <w:noWrap/>
            <w:vAlign w:val="center"/>
          </w:tcPr>
          <w:p w14:paraId="75C4D7A2">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0.5</w:t>
            </w:r>
          </w:p>
        </w:tc>
      </w:tr>
      <w:tr w14:paraId="7927A636">
        <w:tblPrEx>
          <w:tblCellMar>
            <w:top w:w="0" w:type="dxa"/>
            <w:left w:w="108" w:type="dxa"/>
            <w:bottom w:w="0" w:type="dxa"/>
            <w:right w:w="108" w:type="dxa"/>
          </w:tblCellMar>
        </w:tblPrEx>
        <w:trPr>
          <w:trHeight w:val="4377"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34054367">
            <w:pPr>
              <w:widowControl/>
              <w:jc w:val="left"/>
              <w:rPr>
                <w:rFonts w:ascii="宋体" w:hAnsi="宋体" w:cs="宋体"/>
                <w:color w:val="000000"/>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26933B2A">
            <w:pPr>
              <w:widowControl/>
              <w:jc w:val="left"/>
              <w:rPr>
                <w:rFonts w:ascii="宋体" w:hAnsi="宋体" w:cs="宋体"/>
                <w:color w:val="000000"/>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35EE32E1">
            <w:pPr>
              <w:widowControl/>
              <w:jc w:val="left"/>
              <w:rPr>
                <w:rFonts w:ascii="宋体" w:hAnsi="宋体" w:cs="宋体"/>
                <w:color w:val="000000"/>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1A46B9AA">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承担课题</w:t>
            </w:r>
          </w:p>
        </w:tc>
        <w:tc>
          <w:tcPr>
            <w:tcW w:w="2868" w:type="pct"/>
            <w:tcBorders>
              <w:top w:val="nil"/>
              <w:left w:val="nil"/>
              <w:bottom w:val="single" w:color="auto" w:sz="4" w:space="0"/>
              <w:right w:val="single" w:color="auto" w:sz="4" w:space="0"/>
            </w:tcBorders>
            <w:noWrap w:val="0"/>
            <w:vAlign w:val="center"/>
          </w:tcPr>
          <w:p w14:paraId="60325C9D">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自然科学类：</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□承担过国家自然科学基金课题，得1分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□承担省部级课题研究项目3项以上，得0.</w:t>
            </w:r>
            <w:r>
              <w:rPr>
                <w:rFonts w:hint="eastAsia" w:ascii="宋体" w:hAnsi="宋体" w:cs="宋体"/>
                <w:color w:val="000000"/>
                <w:kern w:val="0"/>
                <w:sz w:val="22"/>
                <w:szCs w:val="22"/>
                <w:highlight w:val="none"/>
                <w:lang w:val="en-US" w:eastAsia="zh-CN"/>
              </w:rPr>
              <w:t>8</w:t>
            </w:r>
            <w:r>
              <w:rPr>
                <w:rFonts w:hint="eastAsia" w:ascii="宋体" w:hAnsi="宋体" w:cs="宋体"/>
                <w:color w:val="000000"/>
                <w:kern w:val="0"/>
                <w:sz w:val="22"/>
                <w:szCs w:val="22"/>
                <w:highlight w:val="none"/>
              </w:rPr>
              <w:t xml:space="preserve">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□承担省部级课题研究项目2项，得0.</w:t>
            </w:r>
            <w:r>
              <w:rPr>
                <w:rFonts w:hint="eastAsia" w:ascii="宋体" w:hAnsi="宋体" w:cs="宋体"/>
                <w:color w:val="000000"/>
                <w:kern w:val="0"/>
                <w:sz w:val="22"/>
                <w:szCs w:val="22"/>
                <w:highlight w:val="none"/>
                <w:lang w:val="en-US" w:eastAsia="zh-CN"/>
              </w:rPr>
              <w:t>7</w:t>
            </w:r>
            <w:r>
              <w:rPr>
                <w:rFonts w:hint="eastAsia" w:ascii="宋体" w:hAnsi="宋体" w:cs="宋体"/>
                <w:color w:val="000000"/>
                <w:kern w:val="0"/>
                <w:sz w:val="22"/>
                <w:szCs w:val="22"/>
                <w:highlight w:val="none"/>
              </w:rPr>
              <w:t xml:space="preserve">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□承担省部级课题研究项目1项，得0.</w:t>
            </w:r>
            <w:r>
              <w:rPr>
                <w:rFonts w:hint="eastAsia" w:ascii="宋体" w:hAnsi="宋体" w:cs="宋体"/>
                <w:color w:val="000000"/>
                <w:kern w:val="0"/>
                <w:sz w:val="22"/>
                <w:szCs w:val="22"/>
                <w:highlight w:val="none"/>
                <w:lang w:val="en-US" w:eastAsia="zh-CN"/>
              </w:rPr>
              <w:t>6</w:t>
            </w:r>
            <w:r>
              <w:rPr>
                <w:rFonts w:hint="eastAsia" w:ascii="宋体" w:hAnsi="宋体" w:cs="宋体"/>
                <w:color w:val="000000"/>
                <w:kern w:val="0"/>
                <w:sz w:val="22"/>
                <w:szCs w:val="22"/>
                <w:highlight w:val="none"/>
              </w:rPr>
              <w:t xml:space="preserve">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□多次承担过其他组织或个人委托课题研究项目，得0.</w:t>
            </w:r>
            <w:r>
              <w:rPr>
                <w:rFonts w:hint="eastAsia" w:ascii="宋体" w:hAnsi="宋体" w:cs="宋体"/>
                <w:color w:val="000000"/>
                <w:kern w:val="0"/>
                <w:sz w:val="22"/>
                <w:szCs w:val="22"/>
                <w:highlight w:val="none"/>
                <w:lang w:val="en-US" w:eastAsia="zh-CN"/>
              </w:rPr>
              <w:t>5</w:t>
            </w:r>
            <w:r>
              <w:rPr>
                <w:rFonts w:hint="eastAsia" w:ascii="宋体" w:hAnsi="宋体" w:cs="宋体"/>
                <w:color w:val="000000"/>
                <w:kern w:val="0"/>
                <w:sz w:val="22"/>
                <w:szCs w:val="22"/>
                <w:highlight w:val="none"/>
              </w:rPr>
              <w:t xml:space="preserve">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□承担过其他组织或个人委托课题研究项目，得0.</w:t>
            </w:r>
            <w:r>
              <w:rPr>
                <w:rFonts w:hint="eastAsia" w:ascii="宋体" w:hAnsi="宋体" w:cs="宋体"/>
                <w:color w:val="000000"/>
                <w:kern w:val="0"/>
                <w:sz w:val="22"/>
                <w:szCs w:val="22"/>
                <w:highlight w:val="none"/>
                <w:lang w:val="en-US" w:eastAsia="zh-CN"/>
              </w:rPr>
              <w:t>4</w:t>
            </w:r>
            <w:r>
              <w:rPr>
                <w:rFonts w:hint="eastAsia" w:ascii="宋体" w:hAnsi="宋体" w:cs="宋体"/>
                <w:color w:val="000000"/>
                <w:kern w:val="0"/>
                <w:sz w:val="22"/>
                <w:szCs w:val="22"/>
                <w:highlight w:val="none"/>
              </w:rPr>
              <w:t xml:space="preserve">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□未承担过委托课题研究项目，得0分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人文社会科学类：</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□承担过国家社会科学基金课题，得1分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□承担省部级课题研究项目2项以上，得0.</w:t>
            </w:r>
            <w:r>
              <w:rPr>
                <w:rFonts w:hint="eastAsia" w:ascii="宋体" w:hAnsi="宋体" w:cs="宋体"/>
                <w:color w:val="000000"/>
                <w:kern w:val="0"/>
                <w:sz w:val="22"/>
                <w:szCs w:val="22"/>
                <w:highlight w:val="none"/>
                <w:lang w:val="en-US" w:eastAsia="zh-CN"/>
              </w:rPr>
              <w:t>8</w:t>
            </w:r>
            <w:r>
              <w:rPr>
                <w:rFonts w:hint="eastAsia" w:ascii="宋体" w:hAnsi="宋体" w:cs="宋体"/>
                <w:color w:val="000000"/>
                <w:kern w:val="0"/>
                <w:sz w:val="22"/>
                <w:szCs w:val="22"/>
                <w:highlight w:val="none"/>
              </w:rPr>
              <w:t xml:space="preserve">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□承担省部级课题研究项目1项，得0.</w:t>
            </w:r>
            <w:r>
              <w:rPr>
                <w:rFonts w:hint="eastAsia" w:ascii="宋体" w:hAnsi="宋体" w:cs="宋体"/>
                <w:color w:val="000000"/>
                <w:kern w:val="0"/>
                <w:sz w:val="22"/>
                <w:szCs w:val="22"/>
                <w:highlight w:val="none"/>
                <w:lang w:val="en-US" w:eastAsia="zh-CN"/>
              </w:rPr>
              <w:t>7</w:t>
            </w:r>
            <w:r>
              <w:rPr>
                <w:rFonts w:hint="eastAsia" w:ascii="宋体" w:hAnsi="宋体" w:cs="宋体"/>
                <w:color w:val="000000"/>
                <w:kern w:val="0"/>
                <w:sz w:val="22"/>
                <w:szCs w:val="22"/>
                <w:highlight w:val="none"/>
              </w:rPr>
              <w:t xml:space="preserve">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□多次承担过其他组织或个人委托课题研究项目，得0.</w:t>
            </w:r>
            <w:r>
              <w:rPr>
                <w:rFonts w:hint="eastAsia" w:ascii="宋体" w:hAnsi="宋体" w:cs="宋体"/>
                <w:color w:val="000000"/>
                <w:kern w:val="0"/>
                <w:sz w:val="22"/>
                <w:szCs w:val="22"/>
                <w:highlight w:val="none"/>
                <w:lang w:val="en-US" w:eastAsia="zh-CN"/>
              </w:rPr>
              <w:t>6</w:t>
            </w:r>
            <w:r>
              <w:rPr>
                <w:rFonts w:hint="eastAsia" w:ascii="宋体" w:hAnsi="宋体" w:cs="宋体"/>
                <w:color w:val="000000"/>
                <w:kern w:val="0"/>
                <w:sz w:val="22"/>
                <w:szCs w:val="22"/>
                <w:highlight w:val="none"/>
              </w:rPr>
              <w:t xml:space="preserve">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□承担过其他组织或个人委托课题研究项目，得0.</w:t>
            </w:r>
            <w:r>
              <w:rPr>
                <w:rFonts w:hint="eastAsia" w:ascii="宋体" w:hAnsi="宋体" w:cs="宋体"/>
                <w:color w:val="000000"/>
                <w:kern w:val="0"/>
                <w:sz w:val="22"/>
                <w:szCs w:val="22"/>
                <w:highlight w:val="none"/>
                <w:lang w:val="en-US" w:eastAsia="zh-CN"/>
              </w:rPr>
              <w:t>5</w:t>
            </w:r>
            <w:r>
              <w:rPr>
                <w:rFonts w:hint="eastAsia" w:ascii="宋体" w:hAnsi="宋体" w:cs="宋体"/>
                <w:color w:val="000000"/>
                <w:kern w:val="0"/>
                <w:sz w:val="22"/>
                <w:szCs w:val="22"/>
                <w:highlight w:val="none"/>
              </w:rPr>
              <w:t xml:space="preserve">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□未承担过委托课题研究项目，得0分 </w:t>
            </w:r>
          </w:p>
        </w:tc>
        <w:tc>
          <w:tcPr>
            <w:tcW w:w="283" w:type="pct"/>
            <w:tcBorders>
              <w:top w:val="nil"/>
              <w:left w:val="nil"/>
              <w:bottom w:val="single" w:color="auto" w:sz="4" w:space="0"/>
              <w:right w:val="single" w:color="auto" w:sz="4" w:space="0"/>
            </w:tcBorders>
            <w:noWrap/>
            <w:vAlign w:val="center"/>
          </w:tcPr>
          <w:p w14:paraId="7D1F95FB">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74526BDC">
        <w:tblPrEx>
          <w:tblCellMar>
            <w:top w:w="0" w:type="dxa"/>
            <w:left w:w="108" w:type="dxa"/>
            <w:bottom w:w="0" w:type="dxa"/>
            <w:right w:w="108" w:type="dxa"/>
          </w:tblCellMar>
        </w:tblPrEx>
        <w:trPr>
          <w:trHeight w:val="2345" w:hRule="atLeast"/>
        </w:trPr>
        <w:tc>
          <w:tcPr>
            <w:tcW w:w="445" w:type="pct"/>
            <w:vMerge w:val="restart"/>
            <w:tcBorders>
              <w:top w:val="nil"/>
              <w:left w:val="single" w:color="auto" w:sz="4" w:space="0"/>
              <w:bottom w:val="single" w:color="auto" w:sz="4" w:space="0"/>
              <w:right w:val="single" w:color="auto" w:sz="4" w:space="0"/>
            </w:tcBorders>
            <w:noWrap/>
            <w:vAlign w:val="center"/>
          </w:tcPr>
          <w:p w14:paraId="62386294">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工作绩效</w:t>
            </w:r>
          </w:p>
        </w:tc>
        <w:tc>
          <w:tcPr>
            <w:tcW w:w="457" w:type="pct"/>
            <w:tcBorders>
              <w:top w:val="nil"/>
              <w:left w:val="nil"/>
              <w:bottom w:val="single" w:color="auto" w:sz="4" w:space="0"/>
              <w:right w:val="single" w:color="auto" w:sz="4" w:space="0"/>
            </w:tcBorders>
            <w:noWrap w:val="0"/>
            <w:vAlign w:val="center"/>
          </w:tcPr>
          <w:p w14:paraId="07EC3980">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学术活动</w:t>
            </w:r>
          </w:p>
        </w:tc>
        <w:tc>
          <w:tcPr>
            <w:tcW w:w="458" w:type="pct"/>
            <w:tcBorders>
              <w:top w:val="nil"/>
              <w:left w:val="nil"/>
              <w:bottom w:val="single" w:color="auto" w:sz="4" w:space="0"/>
              <w:right w:val="single" w:color="auto" w:sz="4" w:space="0"/>
            </w:tcBorders>
            <w:noWrap w:val="0"/>
            <w:vAlign w:val="center"/>
          </w:tcPr>
          <w:p w14:paraId="7699AE15">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学术研究</w:t>
            </w:r>
          </w:p>
        </w:tc>
        <w:tc>
          <w:tcPr>
            <w:tcW w:w="489" w:type="pct"/>
            <w:tcBorders>
              <w:top w:val="nil"/>
              <w:left w:val="nil"/>
              <w:bottom w:val="single" w:color="auto" w:sz="4" w:space="0"/>
              <w:right w:val="single" w:color="auto" w:sz="4" w:space="0"/>
            </w:tcBorders>
            <w:noWrap w:val="0"/>
            <w:vAlign w:val="center"/>
          </w:tcPr>
          <w:p w14:paraId="4A46382D">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组织开展课题研究</w:t>
            </w:r>
          </w:p>
        </w:tc>
        <w:tc>
          <w:tcPr>
            <w:tcW w:w="2868" w:type="pct"/>
            <w:tcBorders>
              <w:top w:val="nil"/>
              <w:left w:val="nil"/>
              <w:bottom w:val="single" w:color="auto" w:sz="4" w:space="0"/>
              <w:right w:val="single" w:color="auto" w:sz="4" w:space="0"/>
            </w:tcBorders>
            <w:noWrap w:val="0"/>
            <w:vAlign w:val="center"/>
          </w:tcPr>
          <w:p w14:paraId="17879118">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w:t>
            </w:r>
            <w:r>
              <w:rPr>
                <w:rFonts w:hint="eastAsia" w:ascii="宋体" w:hAnsi="宋体" w:cs="宋体"/>
                <w:color w:val="000000"/>
                <w:kern w:val="0"/>
                <w:sz w:val="22"/>
                <w:szCs w:val="22"/>
                <w:highlight w:val="none"/>
                <w:lang w:val="en-US" w:eastAsia="zh-CN"/>
              </w:rPr>
              <w:t>5</w:t>
            </w:r>
            <w:r>
              <w:rPr>
                <w:rFonts w:hint="eastAsia" w:ascii="宋体" w:hAnsi="宋体" w:cs="宋体"/>
                <w:color w:val="000000"/>
                <w:kern w:val="0"/>
                <w:sz w:val="22"/>
                <w:szCs w:val="22"/>
                <w:highlight w:val="none"/>
              </w:rPr>
              <w:t>项以上，得0.5分</w:t>
            </w:r>
            <w:r>
              <w:rPr>
                <w:rFonts w:hint="eastAsia" w:ascii="宋体" w:hAnsi="宋体" w:cs="宋体"/>
                <w:color w:val="000000"/>
                <w:kern w:val="0"/>
                <w:sz w:val="22"/>
                <w:szCs w:val="22"/>
                <w:highlight w:val="none"/>
              </w:rPr>
              <w:br w:type="page"/>
            </w:r>
          </w:p>
          <w:p w14:paraId="2BA1557C">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w:t>
            </w:r>
            <w:r>
              <w:rPr>
                <w:rFonts w:hint="eastAsia" w:ascii="宋体" w:hAnsi="宋体" w:cs="宋体"/>
                <w:color w:val="000000"/>
                <w:kern w:val="0"/>
                <w:sz w:val="22"/>
                <w:szCs w:val="22"/>
                <w:highlight w:val="none"/>
                <w:lang w:val="en-US" w:eastAsia="zh-CN"/>
              </w:rPr>
              <w:t>3</w:t>
            </w:r>
            <w:r>
              <w:rPr>
                <w:rFonts w:hint="eastAsia" w:ascii="宋体" w:hAnsi="宋体" w:cs="宋体"/>
                <w:color w:val="000000"/>
                <w:kern w:val="0"/>
                <w:sz w:val="22"/>
                <w:szCs w:val="22"/>
                <w:highlight w:val="none"/>
              </w:rPr>
              <w:t xml:space="preserve">项以上，得0.3分 </w:t>
            </w:r>
            <w:r>
              <w:rPr>
                <w:rFonts w:hint="eastAsia" w:ascii="宋体" w:hAnsi="宋体" w:cs="宋体"/>
                <w:color w:val="000000"/>
                <w:kern w:val="0"/>
                <w:sz w:val="22"/>
                <w:szCs w:val="22"/>
                <w:highlight w:val="none"/>
              </w:rPr>
              <w:br w:type="page"/>
            </w:r>
          </w:p>
          <w:p w14:paraId="3BF81418">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w:t>
            </w:r>
            <w:r>
              <w:rPr>
                <w:rFonts w:hint="eastAsia" w:ascii="宋体" w:hAnsi="宋体" w:cs="宋体"/>
                <w:color w:val="000000"/>
                <w:kern w:val="0"/>
                <w:sz w:val="22"/>
                <w:szCs w:val="22"/>
                <w:highlight w:val="none"/>
                <w:lang w:val="en-US" w:eastAsia="zh-CN"/>
              </w:rPr>
              <w:t>2</w:t>
            </w:r>
            <w:r>
              <w:rPr>
                <w:rFonts w:hint="eastAsia" w:ascii="宋体" w:hAnsi="宋体" w:cs="宋体"/>
                <w:color w:val="000000"/>
                <w:kern w:val="0"/>
                <w:sz w:val="22"/>
                <w:szCs w:val="22"/>
                <w:highlight w:val="none"/>
              </w:rPr>
              <w:t xml:space="preserve">项以上，得0.2分 </w:t>
            </w:r>
            <w:r>
              <w:rPr>
                <w:rFonts w:hint="eastAsia" w:ascii="宋体" w:hAnsi="宋体" w:cs="宋体"/>
                <w:color w:val="000000"/>
                <w:kern w:val="0"/>
                <w:sz w:val="22"/>
                <w:szCs w:val="22"/>
                <w:highlight w:val="none"/>
              </w:rPr>
              <w:br w:type="page"/>
            </w:r>
          </w:p>
          <w:p w14:paraId="0AFF044B">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□组织开展过课题研究，得0.1分 </w:t>
            </w:r>
            <w:r>
              <w:rPr>
                <w:rFonts w:hint="eastAsia" w:ascii="宋体" w:hAnsi="宋体" w:cs="宋体"/>
                <w:color w:val="000000"/>
                <w:kern w:val="0"/>
                <w:sz w:val="22"/>
                <w:szCs w:val="22"/>
                <w:highlight w:val="none"/>
              </w:rPr>
              <w:br w:type="page"/>
            </w:r>
          </w:p>
          <w:p w14:paraId="172BABE3">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□未组织开展过课题研究，得0分  </w:t>
            </w: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br w:type="page"/>
            </w:r>
          </w:p>
          <w:p w14:paraId="2F3F6CCC">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注：组织开展课题研究包括三种情形:</w:t>
            </w: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1.利用自有资金，自主确定课题开展研究；</w:t>
            </w: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2.提供资金参与课题研究；</w:t>
            </w: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3.资助其他单位和个人开展课题研究。</w:t>
            </w:r>
          </w:p>
        </w:tc>
        <w:tc>
          <w:tcPr>
            <w:tcW w:w="283" w:type="pct"/>
            <w:tcBorders>
              <w:top w:val="nil"/>
              <w:left w:val="nil"/>
              <w:bottom w:val="single" w:color="auto" w:sz="4" w:space="0"/>
              <w:right w:val="single" w:color="auto" w:sz="4" w:space="0"/>
            </w:tcBorders>
            <w:noWrap/>
            <w:vAlign w:val="center"/>
          </w:tcPr>
          <w:p w14:paraId="3AF5CCD9">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0.5</w:t>
            </w:r>
          </w:p>
        </w:tc>
      </w:tr>
      <w:tr w14:paraId="5401AFAF">
        <w:tblPrEx>
          <w:tblCellMar>
            <w:top w:w="0" w:type="dxa"/>
            <w:left w:w="108" w:type="dxa"/>
            <w:bottom w:w="0" w:type="dxa"/>
            <w:right w:w="108" w:type="dxa"/>
          </w:tblCellMar>
        </w:tblPrEx>
        <w:trPr>
          <w:trHeight w:val="974"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61CD5BDD">
            <w:pPr>
              <w:widowControl/>
              <w:jc w:val="left"/>
              <w:rPr>
                <w:rFonts w:ascii="宋体" w:hAnsi="宋体" w:cs="宋体"/>
                <w:color w:val="000000"/>
                <w:kern w:val="0"/>
                <w:sz w:val="22"/>
                <w:szCs w:val="22"/>
                <w:highlight w:val="none"/>
              </w:rPr>
            </w:pPr>
          </w:p>
        </w:tc>
        <w:tc>
          <w:tcPr>
            <w:tcW w:w="457" w:type="pct"/>
            <w:vMerge w:val="restart"/>
            <w:tcBorders>
              <w:top w:val="nil"/>
              <w:left w:val="single" w:color="auto" w:sz="4" w:space="0"/>
              <w:bottom w:val="single" w:color="auto" w:sz="4" w:space="0"/>
              <w:right w:val="single" w:color="auto" w:sz="4" w:space="0"/>
            </w:tcBorders>
            <w:noWrap w:val="0"/>
            <w:vAlign w:val="center"/>
          </w:tcPr>
          <w:p w14:paraId="32239EA9">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学术活动</w:t>
            </w:r>
          </w:p>
        </w:tc>
        <w:tc>
          <w:tcPr>
            <w:tcW w:w="458" w:type="pct"/>
            <w:vMerge w:val="restart"/>
            <w:tcBorders>
              <w:top w:val="nil"/>
              <w:left w:val="single" w:color="auto" w:sz="4" w:space="0"/>
              <w:bottom w:val="single" w:color="auto" w:sz="4" w:space="0"/>
              <w:right w:val="single" w:color="auto" w:sz="4" w:space="0"/>
            </w:tcBorders>
            <w:noWrap w:val="0"/>
            <w:vAlign w:val="center"/>
          </w:tcPr>
          <w:p w14:paraId="0A0B6BDB">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宣传平台和</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媒体报道</w:t>
            </w:r>
          </w:p>
        </w:tc>
        <w:tc>
          <w:tcPr>
            <w:tcW w:w="489" w:type="pct"/>
            <w:tcBorders>
              <w:top w:val="nil"/>
              <w:left w:val="nil"/>
              <w:bottom w:val="single" w:color="auto" w:sz="4" w:space="0"/>
              <w:right w:val="single" w:color="auto" w:sz="4" w:space="0"/>
            </w:tcBorders>
            <w:noWrap w:val="0"/>
            <w:vAlign w:val="center"/>
          </w:tcPr>
          <w:p w14:paraId="70547690">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网站</w:t>
            </w:r>
          </w:p>
        </w:tc>
        <w:tc>
          <w:tcPr>
            <w:tcW w:w="2868" w:type="pct"/>
            <w:tcBorders>
              <w:top w:val="nil"/>
              <w:left w:val="nil"/>
              <w:bottom w:val="single" w:color="auto" w:sz="4" w:space="0"/>
              <w:right w:val="single" w:color="auto" w:sz="4" w:space="0"/>
            </w:tcBorders>
            <w:noWrap w:val="0"/>
            <w:vAlign w:val="center"/>
          </w:tcPr>
          <w:p w14:paraId="3FF71C9A">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□利用网站开展学术互动交流，形式丰富，参与度高，得0.2分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□能够利用网站开展学术互动交流，得0.1分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□未建立网站或未开展网络学术交流活动，得0分 </w:t>
            </w:r>
          </w:p>
        </w:tc>
        <w:tc>
          <w:tcPr>
            <w:tcW w:w="283" w:type="pct"/>
            <w:tcBorders>
              <w:top w:val="nil"/>
              <w:left w:val="nil"/>
              <w:bottom w:val="single" w:color="auto" w:sz="4" w:space="0"/>
              <w:right w:val="single" w:color="auto" w:sz="4" w:space="0"/>
            </w:tcBorders>
            <w:noWrap/>
            <w:vAlign w:val="center"/>
          </w:tcPr>
          <w:p w14:paraId="1FB0ADBA">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0.2</w:t>
            </w:r>
          </w:p>
        </w:tc>
      </w:tr>
      <w:tr w14:paraId="6002D2BA">
        <w:tblPrEx>
          <w:tblCellMar>
            <w:top w:w="0" w:type="dxa"/>
            <w:left w:w="108" w:type="dxa"/>
            <w:bottom w:w="0" w:type="dxa"/>
            <w:right w:w="108" w:type="dxa"/>
          </w:tblCellMar>
        </w:tblPrEx>
        <w:trPr>
          <w:trHeight w:val="974"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1D7147CA">
            <w:pPr>
              <w:widowControl/>
              <w:jc w:val="left"/>
              <w:rPr>
                <w:rFonts w:ascii="宋体" w:hAnsi="宋体" w:cs="宋体"/>
                <w:color w:val="000000"/>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56CDFF51">
            <w:pPr>
              <w:widowControl/>
              <w:jc w:val="left"/>
              <w:rPr>
                <w:rFonts w:ascii="宋体" w:hAnsi="宋体" w:cs="宋体"/>
                <w:color w:val="000000"/>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13CFBB26">
            <w:pPr>
              <w:widowControl/>
              <w:jc w:val="left"/>
              <w:rPr>
                <w:rFonts w:ascii="宋体" w:hAnsi="宋体" w:cs="宋体"/>
                <w:color w:val="000000"/>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34828945">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报刊杂志</w:t>
            </w:r>
          </w:p>
        </w:tc>
        <w:tc>
          <w:tcPr>
            <w:tcW w:w="2868" w:type="pct"/>
            <w:tcBorders>
              <w:top w:val="nil"/>
              <w:left w:val="nil"/>
              <w:bottom w:val="single" w:color="auto" w:sz="4" w:space="0"/>
              <w:right w:val="single" w:color="auto" w:sz="4" w:space="0"/>
            </w:tcBorders>
            <w:noWrap w:val="0"/>
            <w:vAlign w:val="center"/>
          </w:tcPr>
          <w:p w14:paraId="0C84E095">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□有刊号、公开发行的报刊杂志，得0.2分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□有准印证的内部资料刊物，得0.1分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□没有以上资料，得0分 </w:t>
            </w:r>
          </w:p>
        </w:tc>
        <w:tc>
          <w:tcPr>
            <w:tcW w:w="283" w:type="pct"/>
            <w:tcBorders>
              <w:top w:val="nil"/>
              <w:left w:val="nil"/>
              <w:bottom w:val="single" w:color="auto" w:sz="4" w:space="0"/>
              <w:right w:val="single" w:color="auto" w:sz="4" w:space="0"/>
            </w:tcBorders>
            <w:noWrap/>
            <w:vAlign w:val="center"/>
          </w:tcPr>
          <w:p w14:paraId="4B0EF227">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0.2</w:t>
            </w:r>
          </w:p>
        </w:tc>
      </w:tr>
      <w:tr w14:paraId="0BDC3B8D">
        <w:tblPrEx>
          <w:tblCellMar>
            <w:top w:w="0" w:type="dxa"/>
            <w:left w:w="108" w:type="dxa"/>
            <w:bottom w:w="0" w:type="dxa"/>
            <w:right w:w="108" w:type="dxa"/>
          </w:tblCellMar>
        </w:tblPrEx>
        <w:trPr>
          <w:trHeight w:val="1257"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18258BE2">
            <w:pPr>
              <w:widowControl/>
              <w:jc w:val="left"/>
              <w:rPr>
                <w:rFonts w:ascii="宋体" w:hAnsi="宋体" w:cs="宋体"/>
                <w:color w:val="000000"/>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669C9F0E">
            <w:pPr>
              <w:widowControl/>
              <w:jc w:val="left"/>
              <w:rPr>
                <w:rFonts w:ascii="宋体" w:hAnsi="宋体" w:cs="宋体"/>
                <w:color w:val="000000"/>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76DA03BD">
            <w:pPr>
              <w:widowControl/>
              <w:jc w:val="left"/>
              <w:rPr>
                <w:rFonts w:ascii="宋体" w:hAnsi="宋体" w:cs="宋体"/>
                <w:color w:val="000000"/>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7305A93D">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媒体报道</w:t>
            </w:r>
          </w:p>
        </w:tc>
        <w:tc>
          <w:tcPr>
            <w:tcW w:w="2868" w:type="pct"/>
            <w:tcBorders>
              <w:top w:val="nil"/>
              <w:left w:val="nil"/>
              <w:bottom w:val="single" w:color="auto" w:sz="4" w:space="0"/>
              <w:right w:val="single" w:color="auto" w:sz="4" w:space="0"/>
            </w:tcBorders>
            <w:noWrap w:val="0"/>
            <w:vAlign w:val="center"/>
          </w:tcPr>
          <w:p w14:paraId="66A72F39">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□有中央主流媒体报道，得0.5分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□有部委、省级媒体报道，得0.3分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□其他媒体报道，得0.1分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□无媒体报道，得0分 </w:t>
            </w:r>
          </w:p>
        </w:tc>
        <w:tc>
          <w:tcPr>
            <w:tcW w:w="283" w:type="pct"/>
            <w:tcBorders>
              <w:top w:val="nil"/>
              <w:left w:val="nil"/>
              <w:bottom w:val="single" w:color="auto" w:sz="4" w:space="0"/>
              <w:right w:val="single" w:color="auto" w:sz="4" w:space="0"/>
            </w:tcBorders>
            <w:noWrap/>
            <w:vAlign w:val="center"/>
          </w:tcPr>
          <w:p w14:paraId="284C6898">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0.5</w:t>
            </w:r>
          </w:p>
        </w:tc>
      </w:tr>
      <w:tr w14:paraId="502E9AFE">
        <w:tblPrEx>
          <w:tblCellMar>
            <w:top w:w="0" w:type="dxa"/>
            <w:left w:w="108" w:type="dxa"/>
            <w:bottom w:w="0" w:type="dxa"/>
            <w:right w:w="108" w:type="dxa"/>
          </w:tblCellMar>
        </w:tblPrEx>
        <w:trPr>
          <w:trHeight w:val="1148"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45F0DFBB">
            <w:pPr>
              <w:widowControl/>
              <w:jc w:val="left"/>
              <w:rPr>
                <w:rFonts w:ascii="宋体" w:hAnsi="宋体" w:cs="宋体"/>
                <w:color w:val="000000"/>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2CF635AF">
            <w:pPr>
              <w:widowControl/>
              <w:jc w:val="left"/>
              <w:rPr>
                <w:rFonts w:ascii="宋体" w:hAnsi="宋体" w:cs="宋体"/>
                <w:color w:val="000000"/>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61F47851">
            <w:pPr>
              <w:widowControl/>
              <w:jc w:val="left"/>
              <w:rPr>
                <w:rFonts w:ascii="宋体" w:hAnsi="宋体" w:cs="宋体"/>
                <w:color w:val="000000"/>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1FFD343F">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其他新媒体宣传平台</w:t>
            </w:r>
          </w:p>
        </w:tc>
        <w:tc>
          <w:tcPr>
            <w:tcW w:w="2868" w:type="pct"/>
            <w:tcBorders>
              <w:top w:val="nil"/>
              <w:left w:val="nil"/>
              <w:bottom w:val="single" w:color="auto" w:sz="4" w:space="0"/>
              <w:right w:val="single" w:color="auto" w:sz="4" w:space="0"/>
            </w:tcBorders>
            <w:noWrap w:val="0"/>
            <w:vAlign w:val="center"/>
          </w:tcPr>
          <w:p w14:paraId="4A0C991E">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□有独立微博、微信公众号等新媒体宣传平台，及时更新且内容丰富，得0.5分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□有独立微博、微信公众号等新媒体宣传平台，更新不及时或内容简单，得0.3分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□无新媒体宣传平台，得0分 </w:t>
            </w:r>
          </w:p>
        </w:tc>
        <w:tc>
          <w:tcPr>
            <w:tcW w:w="283" w:type="pct"/>
            <w:tcBorders>
              <w:top w:val="nil"/>
              <w:left w:val="nil"/>
              <w:bottom w:val="single" w:color="auto" w:sz="4" w:space="0"/>
              <w:right w:val="single" w:color="auto" w:sz="4" w:space="0"/>
            </w:tcBorders>
            <w:noWrap/>
            <w:vAlign w:val="center"/>
          </w:tcPr>
          <w:p w14:paraId="6039557B">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0.5</w:t>
            </w:r>
          </w:p>
        </w:tc>
      </w:tr>
      <w:tr w14:paraId="027D5A97">
        <w:tblPrEx>
          <w:tblCellMar>
            <w:top w:w="0" w:type="dxa"/>
            <w:left w:w="108" w:type="dxa"/>
            <w:bottom w:w="0" w:type="dxa"/>
            <w:right w:w="108" w:type="dxa"/>
          </w:tblCellMar>
        </w:tblPrEx>
        <w:trPr>
          <w:trHeight w:val="1405"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6DDCEDD4">
            <w:pPr>
              <w:widowControl/>
              <w:jc w:val="left"/>
              <w:rPr>
                <w:rFonts w:ascii="宋体" w:hAnsi="宋体" w:cs="宋体"/>
                <w:color w:val="000000"/>
                <w:kern w:val="0"/>
                <w:sz w:val="22"/>
                <w:szCs w:val="22"/>
                <w:highlight w:val="none"/>
              </w:rPr>
            </w:pPr>
          </w:p>
        </w:tc>
        <w:tc>
          <w:tcPr>
            <w:tcW w:w="457" w:type="pct"/>
            <w:tcBorders>
              <w:top w:val="nil"/>
              <w:left w:val="nil"/>
              <w:bottom w:val="single" w:color="auto" w:sz="4" w:space="0"/>
              <w:right w:val="single" w:color="auto" w:sz="4" w:space="0"/>
            </w:tcBorders>
            <w:noWrap w:val="0"/>
            <w:vAlign w:val="center"/>
          </w:tcPr>
          <w:p w14:paraId="3E580BB8">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建议咨询</w:t>
            </w:r>
          </w:p>
        </w:tc>
        <w:tc>
          <w:tcPr>
            <w:tcW w:w="458" w:type="pct"/>
            <w:tcBorders>
              <w:top w:val="nil"/>
              <w:left w:val="nil"/>
              <w:bottom w:val="single" w:color="auto" w:sz="4" w:space="0"/>
              <w:right w:val="single" w:color="auto" w:sz="4" w:space="0"/>
            </w:tcBorders>
            <w:noWrap w:val="0"/>
            <w:vAlign w:val="center"/>
          </w:tcPr>
          <w:p w14:paraId="07BCC2F8">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政策建议</w:t>
            </w:r>
          </w:p>
        </w:tc>
        <w:tc>
          <w:tcPr>
            <w:tcW w:w="489" w:type="pct"/>
            <w:tcBorders>
              <w:top w:val="nil"/>
              <w:left w:val="nil"/>
              <w:bottom w:val="single" w:color="auto" w:sz="4" w:space="0"/>
              <w:right w:val="single" w:color="auto" w:sz="4" w:space="0"/>
            </w:tcBorders>
            <w:noWrap w:val="0"/>
            <w:vAlign w:val="center"/>
          </w:tcPr>
          <w:p w14:paraId="216E2B95">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参与制定法律法规或发展规划</w:t>
            </w:r>
          </w:p>
        </w:tc>
        <w:tc>
          <w:tcPr>
            <w:tcW w:w="2868" w:type="pct"/>
            <w:tcBorders>
              <w:top w:val="nil"/>
              <w:left w:val="nil"/>
              <w:bottom w:val="single" w:color="auto" w:sz="4" w:space="0"/>
              <w:right w:val="single" w:color="auto" w:sz="4" w:space="0"/>
            </w:tcBorders>
            <w:noWrap w:val="0"/>
            <w:vAlign w:val="center"/>
          </w:tcPr>
          <w:p w14:paraId="1D4DEEF6">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□参与过起草，得0.5分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□多次在制定过程中提出建议，得0.3分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□在制定过程中提出过建议，得0.1分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□未参与制定过，得0分 </w:t>
            </w:r>
          </w:p>
        </w:tc>
        <w:tc>
          <w:tcPr>
            <w:tcW w:w="283" w:type="pct"/>
            <w:tcBorders>
              <w:top w:val="nil"/>
              <w:left w:val="nil"/>
              <w:bottom w:val="single" w:color="auto" w:sz="4" w:space="0"/>
              <w:right w:val="single" w:color="auto" w:sz="4" w:space="0"/>
            </w:tcBorders>
            <w:noWrap/>
            <w:vAlign w:val="center"/>
          </w:tcPr>
          <w:p w14:paraId="2A61D6B1">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0.5</w:t>
            </w:r>
          </w:p>
        </w:tc>
      </w:tr>
      <w:tr w14:paraId="56B908C6">
        <w:tblPrEx>
          <w:tblCellMar>
            <w:top w:w="0" w:type="dxa"/>
            <w:left w:w="108" w:type="dxa"/>
            <w:bottom w:w="0" w:type="dxa"/>
            <w:right w:w="108" w:type="dxa"/>
          </w:tblCellMar>
        </w:tblPrEx>
        <w:trPr>
          <w:trHeight w:val="2345" w:hRule="atLeast"/>
        </w:trPr>
        <w:tc>
          <w:tcPr>
            <w:tcW w:w="445" w:type="pct"/>
            <w:vMerge w:val="restart"/>
            <w:tcBorders>
              <w:top w:val="nil"/>
              <w:left w:val="single" w:color="auto" w:sz="4" w:space="0"/>
              <w:bottom w:val="single" w:color="auto" w:sz="4" w:space="0"/>
              <w:right w:val="single" w:color="auto" w:sz="4" w:space="0"/>
            </w:tcBorders>
            <w:noWrap w:val="0"/>
            <w:vAlign w:val="center"/>
          </w:tcPr>
          <w:p w14:paraId="48815EC9">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工作绩效</w:t>
            </w:r>
          </w:p>
        </w:tc>
        <w:tc>
          <w:tcPr>
            <w:tcW w:w="457" w:type="pct"/>
            <w:vMerge w:val="restart"/>
            <w:tcBorders>
              <w:top w:val="nil"/>
              <w:left w:val="single" w:color="auto" w:sz="4" w:space="0"/>
              <w:bottom w:val="single" w:color="auto" w:sz="4" w:space="0"/>
              <w:right w:val="single" w:color="auto" w:sz="4" w:space="0"/>
            </w:tcBorders>
            <w:noWrap w:val="0"/>
            <w:vAlign w:val="center"/>
          </w:tcPr>
          <w:p w14:paraId="7D39C3B5">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建议咨询</w:t>
            </w:r>
          </w:p>
        </w:tc>
        <w:tc>
          <w:tcPr>
            <w:tcW w:w="458" w:type="pct"/>
            <w:vMerge w:val="restart"/>
            <w:tcBorders>
              <w:top w:val="nil"/>
              <w:left w:val="single" w:color="auto" w:sz="4" w:space="0"/>
              <w:bottom w:val="single" w:color="auto" w:sz="4" w:space="0"/>
              <w:right w:val="single" w:color="auto" w:sz="4" w:space="0"/>
            </w:tcBorders>
            <w:noWrap w:val="0"/>
            <w:vAlign w:val="center"/>
          </w:tcPr>
          <w:p w14:paraId="20520419">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咨询评估</w:t>
            </w:r>
          </w:p>
        </w:tc>
        <w:tc>
          <w:tcPr>
            <w:tcW w:w="489" w:type="pct"/>
            <w:tcBorders>
              <w:top w:val="nil"/>
              <w:left w:val="nil"/>
              <w:bottom w:val="single" w:color="auto" w:sz="4" w:space="0"/>
              <w:right w:val="single" w:color="auto" w:sz="4" w:space="0"/>
            </w:tcBorders>
            <w:noWrap w:val="0"/>
            <w:vAlign w:val="center"/>
          </w:tcPr>
          <w:p w14:paraId="0FDCFFDC">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专业咨询服务</w:t>
            </w:r>
          </w:p>
        </w:tc>
        <w:tc>
          <w:tcPr>
            <w:tcW w:w="2868" w:type="pct"/>
            <w:tcBorders>
              <w:top w:val="nil"/>
              <w:left w:val="nil"/>
              <w:bottom w:val="single" w:color="auto" w:sz="4" w:space="0"/>
              <w:right w:val="single" w:color="auto" w:sz="4" w:space="0"/>
            </w:tcBorders>
            <w:noWrap w:val="0"/>
            <w:vAlign w:val="center"/>
          </w:tcPr>
          <w:p w14:paraId="7B620E27">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长期开展专业咨询服务，主动向服务对象公开咨询渠道，有专门机构和人员，咨询达到一定工作量，材料保存完好：</w:t>
            </w:r>
          </w:p>
          <w:p w14:paraId="6B2802FB">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□具备以上全部情形，得0.5分</w:t>
            </w:r>
            <w:r>
              <w:rPr>
                <w:rFonts w:hint="eastAsia" w:ascii="宋体" w:hAnsi="宋体" w:cs="宋体"/>
                <w:color w:val="000000"/>
                <w:kern w:val="0"/>
                <w:sz w:val="22"/>
                <w:szCs w:val="22"/>
                <w:highlight w:val="none"/>
              </w:rPr>
              <w:br w:type="page"/>
            </w:r>
          </w:p>
          <w:p w14:paraId="763A9C73">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□具备以上情形中的4项，得0.4分 </w:t>
            </w:r>
          </w:p>
          <w:p w14:paraId="1E9A4DCB">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 xml:space="preserve">□具备以上情形中的3项，得0.3分 </w:t>
            </w:r>
          </w:p>
          <w:p w14:paraId="64D9C41C">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 xml:space="preserve">□具备以上情形中的2项，得0.2分 </w:t>
            </w:r>
          </w:p>
          <w:p w14:paraId="6FCE3D21">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 xml:space="preserve">□具备以上情形中的1项，得0.1分 </w:t>
            </w:r>
            <w:r>
              <w:rPr>
                <w:rFonts w:hint="eastAsia" w:ascii="宋体" w:hAnsi="宋体" w:cs="宋体"/>
                <w:color w:val="000000"/>
                <w:kern w:val="0"/>
                <w:sz w:val="22"/>
                <w:szCs w:val="22"/>
                <w:highlight w:val="none"/>
              </w:rPr>
              <w:br w:type="page"/>
            </w:r>
          </w:p>
          <w:p w14:paraId="042A96C2">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□未开展相关专业咨询服务，得0分 </w:t>
            </w:r>
          </w:p>
        </w:tc>
        <w:tc>
          <w:tcPr>
            <w:tcW w:w="283" w:type="pct"/>
            <w:tcBorders>
              <w:top w:val="nil"/>
              <w:left w:val="nil"/>
              <w:bottom w:val="single" w:color="auto" w:sz="4" w:space="0"/>
              <w:right w:val="single" w:color="auto" w:sz="4" w:space="0"/>
            </w:tcBorders>
            <w:noWrap/>
            <w:vAlign w:val="center"/>
          </w:tcPr>
          <w:p w14:paraId="326ECC59">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0.5</w:t>
            </w:r>
          </w:p>
        </w:tc>
      </w:tr>
      <w:tr w14:paraId="70D536E1">
        <w:tblPrEx>
          <w:tblCellMar>
            <w:top w:w="0" w:type="dxa"/>
            <w:left w:w="108" w:type="dxa"/>
            <w:bottom w:w="0" w:type="dxa"/>
            <w:right w:w="108" w:type="dxa"/>
          </w:tblCellMar>
        </w:tblPrEx>
        <w:trPr>
          <w:trHeight w:val="1819"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79E7BB1D">
            <w:pPr>
              <w:widowControl/>
              <w:jc w:val="left"/>
              <w:rPr>
                <w:rFonts w:ascii="宋体" w:hAnsi="宋体" w:cs="宋体"/>
                <w:color w:val="000000"/>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199B8B9C">
            <w:pPr>
              <w:widowControl/>
              <w:jc w:val="left"/>
              <w:rPr>
                <w:rFonts w:ascii="宋体" w:hAnsi="宋体" w:cs="宋体"/>
                <w:color w:val="000000"/>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095C764A">
            <w:pPr>
              <w:widowControl/>
              <w:jc w:val="left"/>
              <w:rPr>
                <w:rFonts w:ascii="宋体" w:hAnsi="宋体" w:cs="宋体"/>
                <w:color w:val="000000"/>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24D6CA92">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参与制定国家（行业）标准、行业发展规划、行业准入条件、行业技术规范</w:t>
            </w:r>
          </w:p>
        </w:tc>
        <w:tc>
          <w:tcPr>
            <w:tcW w:w="2868" w:type="pct"/>
            <w:tcBorders>
              <w:top w:val="nil"/>
              <w:left w:val="nil"/>
              <w:bottom w:val="single" w:color="auto" w:sz="4" w:space="0"/>
              <w:right w:val="single" w:color="auto" w:sz="4" w:space="0"/>
            </w:tcBorders>
            <w:noWrap w:val="0"/>
            <w:vAlign w:val="center"/>
          </w:tcPr>
          <w:p w14:paraId="4658DB95">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□参与制定过2项及以上，得0.5分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□参与制定过1项，得0.3分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□该领域涉及此项内容，但没有参与制定过，得0分 </w:t>
            </w:r>
          </w:p>
        </w:tc>
        <w:tc>
          <w:tcPr>
            <w:tcW w:w="283" w:type="pct"/>
            <w:tcBorders>
              <w:top w:val="nil"/>
              <w:left w:val="nil"/>
              <w:bottom w:val="single" w:color="auto" w:sz="4" w:space="0"/>
              <w:right w:val="single" w:color="auto" w:sz="4" w:space="0"/>
            </w:tcBorders>
            <w:noWrap/>
            <w:vAlign w:val="center"/>
          </w:tcPr>
          <w:p w14:paraId="601E7F56">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0.5</w:t>
            </w:r>
          </w:p>
        </w:tc>
      </w:tr>
      <w:tr w14:paraId="77E12666">
        <w:tblPrEx>
          <w:tblCellMar>
            <w:top w:w="0" w:type="dxa"/>
            <w:left w:w="108" w:type="dxa"/>
            <w:bottom w:w="0" w:type="dxa"/>
            <w:right w:w="108" w:type="dxa"/>
          </w:tblCellMar>
        </w:tblPrEx>
        <w:trPr>
          <w:trHeight w:val="1101"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3E475553">
            <w:pPr>
              <w:widowControl/>
              <w:jc w:val="left"/>
              <w:rPr>
                <w:rFonts w:ascii="宋体" w:hAnsi="宋体" w:cs="宋体"/>
                <w:color w:val="000000"/>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68B70E6F">
            <w:pPr>
              <w:widowControl/>
              <w:jc w:val="left"/>
              <w:rPr>
                <w:rFonts w:ascii="宋体" w:hAnsi="宋体" w:cs="宋体"/>
                <w:color w:val="000000"/>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10042D0D">
            <w:pPr>
              <w:widowControl/>
              <w:jc w:val="left"/>
              <w:rPr>
                <w:rFonts w:ascii="宋体" w:hAnsi="宋体" w:cs="宋体"/>
                <w:color w:val="000000"/>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7AB4CB2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制定团体标准</w:t>
            </w:r>
          </w:p>
        </w:tc>
        <w:tc>
          <w:tcPr>
            <w:tcW w:w="2868" w:type="pct"/>
            <w:tcBorders>
              <w:top w:val="nil"/>
              <w:left w:val="nil"/>
              <w:bottom w:val="single" w:color="auto" w:sz="4" w:space="0"/>
              <w:right w:val="single" w:color="auto" w:sz="4" w:space="0"/>
            </w:tcBorders>
            <w:noWrap w:val="0"/>
            <w:vAlign w:val="center"/>
          </w:tcPr>
          <w:p w14:paraId="2971D633">
            <w:pPr>
              <w:widowControl/>
              <w:jc w:val="left"/>
              <w:rPr>
                <w:rFonts w:ascii="宋体" w:hAnsi="宋体" w:cs="宋体"/>
                <w:kern w:val="0"/>
                <w:sz w:val="22"/>
                <w:szCs w:val="22"/>
                <w:highlight w:val="none"/>
              </w:rPr>
            </w:pPr>
            <w:r>
              <w:rPr>
                <w:rFonts w:hint="eastAsia" w:ascii="宋体" w:hAnsi="宋体" w:cs="宋体"/>
                <w:kern w:val="0"/>
                <w:sz w:val="22"/>
                <w:szCs w:val="22"/>
                <w:highlight w:val="none"/>
              </w:rPr>
              <w:t>□制定团体标准3项及以上，得0.5分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□制定团体标准2项，得0.4分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□制定团体标准1项，得0.2分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□没有制定团体标准，得0分 </w:t>
            </w:r>
          </w:p>
        </w:tc>
        <w:tc>
          <w:tcPr>
            <w:tcW w:w="283" w:type="pct"/>
            <w:tcBorders>
              <w:top w:val="nil"/>
              <w:left w:val="nil"/>
              <w:bottom w:val="single" w:color="auto" w:sz="4" w:space="0"/>
              <w:right w:val="single" w:color="auto" w:sz="4" w:space="0"/>
            </w:tcBorders>
            <w:noWrap/>
            <w:vAlign w:val="center"/>
          </w:tcPr>
          <w:p w14:paraId="750E4FD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1DF847B2">
        <w:tblPrEx>
          <w:tblCellMar>
            <w:top w:w="0" w:type="dxa"/>
            <w:left w:w="108" w:type="dxa"/>
            <w:bottom w:w="0" w:type="dxa"/>
            <w:right w:w="108" w:type="dxa"/>
          </w:tblCellMar>
        </w:tblPrEx>
        <w:trPr>
          <w:trHeight w:val="1106"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4A56EF36">
            <w:pPr>
              <w:widowControl/>
              <w:jc w:val="left"/>
              <w:rPr>
                <w:rFonts w:ascii="宋体" w:hAnsi="宋体" w:cs="宋体"/>
                <w:color w:val="000000"/>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3EBD0B5A">
            <w:pPr>
              <w:widowControl/>
              <w:jc w:val="left"/>
              <w:rPr>
                <w:rFonts w:ascii="宋体" w:hAnsi="宋体" w:cs="宋体"/>
                <w:color w:val="000000"/>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62FC43D3">
            <w:pPr>
              <w:widowControl/>
              <w:jc w:val="left"/>
              <w:rPr>
                <w:rFonts w:ascii="宋体" w:hAnsi="宋体" w:cs="宋体"/>
                <w:color w:val="000000"/>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43E68D3B">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技能鉴定和职称评定</w:t>
            </w:r>
          </w:p>
        </w:tc>
        <w:tc>
          <w:tcPr>
            <w:tcW w:w="2868" w:type="pct"/>
            <w:tcBorders>
              <w:top w:val="nil"/>
              <w:left w:val="nil"/>
              <w:bottom w:val="single" w:color="auto" w:sz="4" w:space="0"/>
              <w:right w:val="single" w:color="auto" w:sz="4" w:space="0"/>
            </w:tcBorders>
            <w:noWrap w:val="0"/>
            <w:vAlign w:val="center"/>
          </w:tcPr>
          <w:p w14:paraId="51950E39">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□有专门机构或人员且社会效应显著，得0.5分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□没有鉴定（评定）资质但参与了鉴定（评定）工作，得0.3分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□该领域涉及此项内容但未开展鉴定（评定），得0分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注:该领域不涉及此项内容,得3分。</w:t>
            </w:r>
          </w:p>
        </w:tc>
        <w:tc>
          <w:tcPr>
            <w:tcW w:w="283" w:type="pct"/>
            <w:tcBorders>
              <w:top w:val="nil"/>
              <w:left w:val="nil"/>
              <w:bottom w:val="single" w:color="auto" w:sz="4" w:space="0"/>
              <w:right w:val="single" w:color="auto" w:sz="4" w:space="0"/>
            </w:tcBorders>
            <w:noWrap/>
            <w:vAlign w:val="center"/>
          </w:tcPr>
          <w:p w14:paraId="1002D85E">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0.5</w:t>
            </w:r>
          </w:p>
        </w:tc>
      </w:tr>
      <w:tr w14:paraId="1B738851">
        <w:tblPrEx>
          <w:tblCellMar>
            <w:top w:w="0" w:type="dxa"/>
            <w:left w:w="108" w:type="dxa"/>
            <w:bottom w:w="0" w:type="dxa"/>
            <w:right w:w="108" w:type="dxa"/>
          </w:tblCellMar>
        </w:tblPrEx>
        <w:trPr>
          <w:trHeight w:val="1494"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13C2B36D">
            <w:pPr>
              <w:widowControl/>
              <w:jc w:val="left"/>
              <w:rPr>
                <w:rFonts w:ascii="宋体" w:hAnsi="宋体" w:cs="宋体"/>
                <w:color w:val="000000"/>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50E25A18">
            <w:pPr>
              <w:widowControl/>
              <w:jc w:val="left"/>
              <w:rPr>
                <w:rFonts w:ascii="宋体" w:hAnsi="宋体" w:cs="宋体"/>
                <w:color w:val="000000"/>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05CB1F67">
            <w:pPr>
              <w:widowControl/>
              <w:jc w:val="left"/>
              <w:rPr>
                <w:rFonts w:ascii="宋体" w:hAnsi="宋体" w:cs="宋体"/>
                <w:color w:val="000000"/>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67AAFE6D">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学术成果（科技成果）评估（鉴定或验收）</w:t>
            </w:r>
          </w:p>
        </w:tc>
        <w:tc>
          <w:tcPr>
            <w:tcW w:w="2868" w:type="pct"/>
            <w:tcBorders>
              <w:top w:val="nil"/>
              <w:left w:val="nil"/>
              <w:bottom w:val="single" w:color="auto" w:sz="4" w:space="0"/>
              <w:right w:val="single" w:color="auto" w:sz="4" w:space="0"/>
            </w:tcBorders>
            <w:noWrap w:val="0"/>
            <w:vAlign w:val="center"/>
          </w:tcPr>
          <w:p w14:paraId="1F73B939">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□广泛开展活动有专门机构或人员且社会效应显著，得0.5分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□开展了多项活动，得0.3分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□开展过活动，得0.1分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□该领域涉及此项内容，但未开展过活动，得0分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 注:该领域不涉及此项内容,得3分。</w:t>
            </w:r>
          </w:p>
        </w:tc>
        <w:tc>
          <w:tcPr>
            <w:tcW w:w="283" w:type="pct"/>
            <w:tcBorders>
              <w:top w:val="nil"/>
              <w:left w:val="nil"/>
              <w:bottom w:val="single" w:color="auto" w:sz="4" w:space="0"/>
              <w:right w:val="single" w:color="auto" w:sz="4" w:space="0"/>
            </w:tcBorders>
            <w:noWrap/>
            <w:vAlign w:val="center"/>
          </w:tcPr>
          <w:p w14:paraId="3E77374D">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0.5</w:t>
            </w:r>
          </w:p>
        </w:tc>
      </w:tr>
      <w:tr w14:paraId="689692D3">
        <w:tblPrEx>
          <w:tblCellMar>
            <w:top w:w="0" w:type="dxa"/>
            <w:left w:w="108" w:type="dxa"/>
            <w:bottom w:w="0" w:type="dxa"/>
            <w:right w:w="108" w:type="dxa"/>
          </w:tblCellMar>
        </w:tblPrEx>
        <w:trPr>
          <w:trHeight w:val="3904" w:hRule="atLeast"/>
        </w:trPr>
        <w:tc>
          <w:tcPr>
            <w:tcW w:w="445" w:type="pct"/>
            <w:vMerge w:val="restart"/>
            <w:tcBorders>
              <w:top w:val="nil"/>
              <w:left w:val="single" w:color="auto" w:sz="4" w:space="0"/>
              <w:bottom w:val="single" w:color="auto" w:sz="4" w:space="0"/>
              <w:right w:val="single" w:color="auto" w:sz="4" w:space="0"/>
            </w:tcBorders>
            <w:noWrap w:val="0"/>
            <w:vAlign w:val="center"/>
          </w:tcPr>
          <w:p w14:paraId="6DF50000">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工作绩效</w:t>
            </w:r>
          </w:p>
        </w:tc>
        <w:tc>
          <w:tcPr>
            <w:tcW w:w="457" w:type="pct"/>
            <w:vMerge w:val="restart"/>
            <w:tcBorders>
              <w:top w:val="nil"/>
              <w:left w:val="single" w:color="auto" w:sz="4" w:space="0"/>
              <w:bottom w:val="single" w:color="auto" w:sz="4" w:space="0"/>
              <w:right w:val="single" w:color="auto" w:sz="4" w:space="0"/>
            </w:tcBorders>
            <w:noWrap w:val="0"/>
            <w:vAlign w:val="center"/>
          </w:tcPr>
          <w:p w14:paraId="642FB0C9">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科普公益</w:t>
            </w:r>
          </w:p>
        </w:tc>
        <w:tc>
          <w:tcPr>
            <w:tcW w:w="458" w:type="pct"/>
            <w:vMerge w:val="restart"/>
            <w:tcBorders>
              <w:top w:val="nil"/>
              <w:left w:val="single" w:color="auto" w:sz="4" w:space="0"/>
              <w:bottom w:val="single" w:color="auto" w:sz="4" w:space="0"/>
              <w:right w:val="single" w:color="auto" w:sz="4" w:space="0"/>
            </w:tcBorders>
            <w:noWrap w:val="0"/>
            <w:vAlign w:val="center"/>
          </w:tcPr>
          <w:p w14:paraId="07F0ECAD">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科普活动</w:t>
            </w:r>
          </w:p>
        </w:tc>
        <w:tc>
          <w:tcPr>
            <w:tcW w:w="489" w:type="pct"/>
            <w:tcBorders>
              <w:top w:val="nil"/>
              <w:left w:val="nil"/>
              <w:bottom w:val="single" w:color="auto" w:sz="4" w:space="0"/>
              <w:right w:val="single" w:color="auto" w:sz="4" w:space="0"/>
            </w:tcBorders>
            <w:noWrap w:val="0"/>
            <w:vAlign w:val="center"/>
          </w:tcPr>
          <w:p w14:paraId="7CAA971F">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科普活动次数</w:t>
            </w:r>
          </w:p>
        </w:tc>
        <w:tc>
          <w:tcPr>
            <w:tcW w:w="2868" w:type="pct"/>
            <w:tcBorders>
              <w:top w:val="nil"/>
              <w:left w:val="nil"/>
              <w:bottom w:val="single" w:color="auto" w:sz="4" w:space="0"/>
              <w:right w:val="single" w:color="auto" w:sz="4" w:space="0"/>
            </w:tcBorders>
            <w:noWrap w:val="0"/>
            <w:vAlign w:val="center"/>
          </w:tcPr>
          <w:p w14:paraId="0113D900">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自然科学类</w:t>
            </w:r>
          </w:p>
          <w:p w14:paraId="347FBF9E">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□上两个年度开展科普活动</w:t>
            </w:r>
            <w:r>
              <w:rPr>
                <w:rFonts w:hint="eastAsia" w:ascii="宋体" w:hAnsi="宋体" w:cs="宋体"/>
                <w:color w:val="000000"/>
                <w:kern w:val="0"/>
                <w:sz w:val="22"/>
                <w:szCs w:val="22"/>
                <w:highlight w:val="none"/>
                <w:lang w:val="en-US" w:eastAsia="zh-CN"/>
              </w:rPr>
              <w:t>5</w:t>
            </w:r>
            <w:r>
              <w:rPr>
                <w:rFonts w:hint="eastAsia" w:ascii="宋体" w:hAnsi="宋体" w:cs="宋体"/>
                <w:color w:val="000000"/>
                <w:kern w:val="0"/>
                <w:sz w:val="22"/>
                <w:szCs w:val="22"/>
                <w:highlight w:val="none"/>
              </w:rPr>
              <w:t>次以上，得0.5分</w:t>
            </w:r>
            <w:r>
              <w:rPr>
                <w:rFonts w:hint="eastAsia" w:ascii="宋体" w:hAnsi="宋体" w:cs="宋体"/>
                <w:color w:val="000000"/>
                <w:kern w:val="0"/>
                <w:sz w:val="22"/>
                <w:szCs w:val="22"/>
                <w:highlight w:val="none"/>
              </w:rPr>
              <w:br w:type="page"/>
            </w:r>
          </w:p>
          <w:p w14:paraId="4C90962C">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□上两个年度开展科普活动</w:t>
            </w:r>
            <w:r>
              <w:rPr>
                <w:rFonts w:hint="eastAsia" w:ascii="宋体" w:hAnsi="宋体" w:cs="宋体"/>
                <w:color w:val="000000"/>
                <w:kern w:val="0"/>
                <w:sz w:val="22"/>
                <w:szCs w:val="22"/>
                <w:highlight w:val="none"/>
                <w:lang w:val="en-US" w:eastAsia="zh-CN"/>
              </w:rPr>
              <w:t>3</w:t>
            </w:r>
            <w:r>
              <w:rPr>
                <w:rFonts w:hint="eastAsia" w:ascii="宋体" w:hAnsi="宋体" w:cs="宋体"/>
                <w:color w:val="000000"/>
                <w:kern w:val="0"/>
                <w:sz w:val="22"/>
                <w:szCs w:val="22"/>
                <w:highlight w:val="none"/>
              </w:rPr>
              <w:t xml:space="preserve">次，得0.3分 </w:t>
            </w:r>
            <w:r>
              <w:rPr>
                <w:rFonts w:hint="eastAsia" w:ascii="宋体" w:hAnsi="宋体" w:cs="宋体"/>
                <w:color w:val="000000"/>
                <w:kern w:val="0"/>
                <w:sz w:val="22"/>
                <w:szCs w:val="22"/>
                <w:highlight w:val="none"/>
              </w:rPr>
              <w:br w:type="page"/>
            </w:r>
          </w:p>
          <w:p w14:paraId="486903D4">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□上两个年度开展科普活动2次，得0.2分 </w:t>
            </w:r>
          </w:p>
          <w:p w14:paraId="148D8C10">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 xml:space="preserve">□上两个年度开展科普活动1次，得0.1分 </w:t>
            </w:r>
          </w:p>
          <w:p w14:paraId="23B21F19">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 xml:space="preserve">□上两个年度未开展科普活动，得0分  </w:t>
            </w:r>
          </w:p>
          <w:p w14:paraId="298081EA">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人文社会科学类</w:t>
            </w:r>
            <w:r>
              <w:rPr>
                <w:rFonts w:hint="eastAsia" w:ascii="宋体" w:hAnsi="宋体" w:cs="宋体"/>
                <w:color w:val="000000"/>
                <w:kern w:val="0"/>
                <w:sz w:val="22"/>
                <w:szCs w:val="22"/>
                <w:highlight w:val="none"/>
              </w:rPr>
              <w:br w:type="page"/>
            </w:r>
          </w:p>
          <w:p w14:paraId="10FB1605">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□上两个年度开展科普活动3次以上，得0.5分</w:t>
            </w:r>
            <w:r>
              <w:rPr>
                <w:rFonts w:hint="eastAsia" w:ascii="宋体" w:hAnsi="宋体" w:cs="宋体"/>
                <w:color w:val="000000"/>
                <w:kern w:val="0"/>
                <w:sz w:val="22"/>
                <w:szCs w:val="22"/>
                <w:highlight w:val="none"/>
              </w:rPr>
              <w:br w:type="page"/>
            </w:r>
          </w:p>
          <w:p w14:paraId="36C6C947">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□上两个年度开展科普活动2次，得0.3分 </w:t>
            </w:r>
          </w:p>
          <w:p w14:paraId="42A8B36F">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 xml:space="preserve">□上两个年度开展科普活动1次，得0.1分 </w:t>
            </w:r>
            <w:r>
              <w:rPr>
                <w:rFonts w:hint="eastAsia" w:ascii="宋体" w:hAnsi="宋体" w:cs="宋体"/>
                <w:color w:val="000000"/>
                <w:kern w:val="0"/>
                <w:sz w:val="22"/>
                <w:szCs w:val="22"/>
                <w:highlight w:val="none"/>
              </w:rPr>
              <w:br w:type="page"/>
            </w:r>
          </w:p>
          <w:p w14:paraId="49F99296">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□上两个年度未开展科普活动，得0分  </w:t>
            </w: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br w:type="page"/>
            </w:r>
          </w:p>
          <w:p w14:paraId="4A2F0918">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注：科学文化普及活动的次数，应结合具体活动形式，从是否达到一定规模、科普受众覆盖面等方面予以确认。</w:t>
            </w:r>
          </w:p>
        </w:tc>
        <w:tc>
          <w:tcPr>
            <w:tcW w:w="283" w:type="pct"/>
            <w:tcBorders>
              <w:top w:val="nil"/>
              <w:left w:val="nil"/>
              <w:bottom w:val="single" w:color="auto" w:sz="4" w:space="0"/>
              <w:right w:val="single" w:color="auto" w:sz="4" w:space="0"/>
            </w:tcBorders>
            <w:noWrap/>
            <w:vAlign w:val="center"/>
          </w:tcPr>
          <w:p w14:paraId="50C125B4">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0.5</w:t>
            </w:r>
          </w:p>
        </w:tc>
      </w:tr>
      <w:tr w14:paraId="0F9D8110">
        <w:tblPrEx>
          <w:tblCellMar>
            <w:top w:w="0" w:type="dxa"/>
            <w:left w:w="108" w:type="dxa"/>
            <w:bottom w:w="0" w:type="dxa"/>
            <w:right w:w="108" w:type="dxa"/>
          </w:tblCellMar>
        </w:tblPrEx>
        <w:trPr>
          <w:trHeight w:val="4101"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11D77413">
            <w:pPr>
              <w:widowControl/>
              <w:jc w:val="left"/>
              <w:rPr>
                <w:rFonts w:ascii="宋体" w:hAnsi="宋体" w:cs="宋体"/>
                <w:color w:val="000000"/>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0B8AC596">
            <w:pPr>
              <w:widowControl/>
              <w:jc w:val="left"/>
              <w:rPr>
                <w:rFonts w:ascii="宋体" w:hAnsi="宋体" w:cs="宋体"/>
                <w:color w:val="000000"/>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696768CC">
            <w:pPr>
              <w:widowControl/>
              <w:jc w:val="left"/>
              <w:rPr>
                <w:rFonts w:ascii="宋体" w:hAnsi="宋体" w:cs="宋体"/>
                <w:color w:val="000000"/>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526F0A49">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科普活动方式</w:t>
            </w:r>
          </w:p>
        </w:tc>
        <w:tc>
          <w:tcPr>
            <w:tcW w:w="2868" w:type="pct"/>
            <w:tcBorders>
              <w:top w:val="nil"/>
              <w:left w:val="nil"/>
              <w:bottom w:val="single" w:color="auto" w:sz="4" w:space="0"/>
              <w:right w:val="single" w:color="auto" w:sz="4" w:space="0"/>
            </w:tcBorders>
            <w:noWrap w:val="0"/>
            <w:vAlign w:val="center"/>
          </w:tcPr>
          <w:p w14:paraId="1F2493FD">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出版科普书籍（含电子刊物）、建立网络科普栏目、建立期刊科普专栏、制作挂图展板、建设科普基地、开展科普讲座、编印科普知识宣传手册等：</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自然科学类</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□具备以上5种情形，得0.5分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□具备以上4种情形，得0.4分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□具备以上3种情形，得0.3分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□具备以上2种情形，得0.2分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□具备以上1种情形，得0.1分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□上两年度未开展科普活动，得0分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人文社会科学类</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□具备以上3种情形，得0.5分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□具备以上2种情形，得0.3分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□具备以上1种情形，得0.1分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□上两年度未开展科普活动，得0分 </w:t>
            </w:r>
          </w:p>
        </w:tc>
        <w:tc>
          <w:tcPr>
            <w:tcW w:w="283" w:type="pct"/>
            <w:tcBorders>
              <w:top w:val="nil"/>
              <w:left w:val="nil"/>
              <w:bottom w:val="single" w:color="auto" w:sz="4" w:space="0"/>
              <w:right w:val="single" w:color="auto" w:sz="4" w:space="0"/>
            </w:tcBorders>
            <w:noWrap/>
            <w:vAlign w:val="center"/>
          </w:tcPr>
          <w:p w14:paraId="40645467">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0.5</w:t>
            </w:r>
          </w:p>
        </w:tc>
      </w:tr>
      <w:tr w14:paraId="59DB4163">
        <w:tblPrEx>
          <w:tblCellMar>
            <w:top w:w="0" w:type="dxa"/>
            <w:left w:w="108" w:type="dxa"/>
            <w:bottom w:w="0" w:type="dxa"/>
            <w:right w:w="108" w:type="dxa"/>
          </w:tblCellMar>
        </w:tblPrEx>
        <w:trPr>
          <w:trHeight w:val="1636" w:hRule="atLeast"/>
        </w:trPr>
        <w:tc>
          <w:tcPr>
            <w:tcW w:w="445" w:type="pct"/>
            <w:vMerge w:val="restart"/>
            <w:tcBorders>
              <w:top w:val="nil"/>
              <w:left w:val="single" w:color="auto" w:sz="4" w:space="0"/>
              <w:bottom w:val="single" w:color="auto" w:sz="4" w:space="0"/>
              <w:right w:val="single" w:color="auto" w:sz="4" w:space="0"/>
            </w:tcBorders>
            <w:noWrap w:val="0"/>
            <w:vAlign w:val="center"/>
          </w:tcPr>
          <w:p w14:paraId="1FDFD8A1">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工作绩效</w:t>
            </w:r>
          </w:p>
        </w:tc>
        <w:tc>
          <w:tcPr>
            <w:tcW w:w="457" w:type="pct"/>
            <w:tcBorders>
              <w:top w:val="nil"/>
              <w:left w:val="nil"/>
              <w:bottom w:val="single" w:color="auto" w:sz="4" w:space="0"/>
              <w:right w:val="single" w:color="auto" w:sz="4" w:space="0"/>
            </w:tcBorders>
            <w:noWrap w:val="0"/>
            <w:vAlign w:val="center"/>
          </w:tcPr>
          <w:p w14:paraId="797D145F">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科普公益</w:t>
            </w:r>
          </w:p>
        </w:tc>
        <w:tc>
          <w:tcPr>
            <w:tcW w:w="458" w:type="pct"/>
            <w:tcBorders>
              <w:top w:val="nil"/>
              <w:left w:val="nil"/>
              <w:bottom w:val="single" w:color="auto" w:sz="4" w:space="0"/>
              <w:right w:val="single" w:color="auto" w:sz="4" w:space="0"/>
            </w:tcBorders>
            <w:noWrap w:val="0"/>
            <w:vAlign w:val="center"/>
          </w:tcPr>
          <w:p w14:paraId="06CCE99B">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科普活动</w:t>
            </w:r>
          </w:p>
        </w:tc>
        <w:tc>
          <w:tcPr>
            <w:tcW w:w="489" w:type="pct"/>
            <w:tcBorders>
              <w:top w:val="nil"/>
              <w:left w:val="nil"/>
              <w:bottom w:val="single" w:color="auto" w:sz="4" w:space="0"/>
              <w:right w:val="single" w:color="auto" w:sz="4" w:space="0"/>
            </w:tcBorders>
            <w:noWrap w:val="0"/>
            <w:vAlign w:val="center"/>
          </w:tcPr>
          <w:p w14:paraId="1EB9E11C">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科普活动</w:t>
            </w: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影响力</w:t>
            </w:r>
          </w:p>
        </w:tc>
        <w:tc>
          <w:tcPr>
            <w:tcW w:w="2868" w:type="pct"/>
            <w:tcBorders>
              <w:top w:val="nil"/>
              <w:left w:val="nil"/>
              <w:bottom w:val="single" w:color="auto" w:sz="4" w:space="0"/>
              <w:right w:val="single" w:color="auto" w:sz="4" w:space="0"/>
            </w:tcBorders>
            <w:noWrap w:val="0"/>
            <w:vAlign w:val="center"/>
          </w:tcPr>
          <w:p w14:paraId="47E21531">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□连续举办多届活动，有较大影响力，或有作品（项目）获得优秀作品（活动）荣誉，得0.5分</w:t>
            </w:r>
            <w:r>
              <w:rPr>
                <w:rFonts w:hint="eastAsia" w:ascii="宋体" w:hAnsi="宋体" w:cs="宋体"/>
                <w:color w:val="000000"/>
                <w:kern w:val="0"/>
                <w:sz w:val="22"/>
                <w:szCs w:val="22"/>
                <w:highlight w:val="none"/>
              </w:rPr>
              <w:br w:type="page"/>
            </w:r>
          </w:p>
          <w:p w14:paraId="14D9A496">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□连续举办多届科活动，影响力一般，得0.3分</w:t>
            </w:r>
          </w:p>
          <w:p w14:paraId="0F79455F">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 xml:space="preserve">□开展过多次活动，得0.2分 </w:t>
            </w: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 xml:space="preserve">□开展过活动，得0.1分 </w:t>
            </w:r>
          </w:p>
          <w:p w14:paraId="5193EE83">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 xml:space="preserve">□未开展过活动，得0分 </w:t>
            </w:r>
          </w:p>
        </w:tc>
        <w:tc>
          <w:tcPr>
            <w:tcW w:w="283" w:type="pct"/>
            <w:tcBorders>
              <w:top w:val="nil"/>
              <w:left w:val="nil"/>
              <w:bottom w:val="single" w:color="auto" w:sz="4" w:space="0"/>
              <w:right w:val="single" w:color="auto" w:sz="4" w:space="0"/>
            </w:tcBorders>
            <w:noWrap/>
            <w:vAlign w:val="center"/>
          </w:tcPr>
          <w:p w14:paraId="7F68CDE5">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0.5</w:t>
            </w:r>
          </w:p>
        </w:tc>
      </w:tr>
      <w:tr w14:paraId="6A12FEA1">
        <w:tblPrEx>
          <w:tblCellMar>
            <w:top w:w="0" w:type="dxa"/>
            <w:left w:w="108" w:type="dxa"/>
            <w:bottom w:w="0" w:type="dxa"/>
            <w:right w:w="108" w:type="dxa"/>
          </w:tblCellMar>
        </w:tblPrEx>
        <w:trPr>
          <w:trHeight w:val="1970"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44B18CB2">
            <w:pPr>
              <w:widowControl/>
              <w:jc w:val="left"/>
              <w:rPr>
                <w:rFonts w:ascii="宋体" w:hAnsi="宋体" w:cs="宋体"/>
                <w:color w:val="000000"/>
                <w:kern w:val="0"/>
                <w:sz w:val="22"/>
                <w:szCs w:val="22"/>
                <w:highlight w:val="none"/>
              </w:rPr>
            </w:pPr>
          </w:p>
        </w:tc>
        <w:tc>
          <w:tcPr>
            <w:tcW w:w="457" w:type="pct"/>
            <w:vMerge w:val="restart"/>
            <w:tcBorders>
              <w:top w:val="nil"/>
              <w:left w:val="single" w:color="auto" w:sz="4" w:space="0"/>
              <w:bottom w:val="single" w:color="auto" w:sz="4" w:space="0"/>
              <w:right w:val="single" w:color="auto" w:sz="4" w:space="0"/>
            </w:tcBorders>
            <w:noWrap w:val="0"/>
            <w:vAlign w:val="center"/>
          </w:tcPr>
          <w:p w14:paraId="5D529926">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学术人才培育和队伍</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建设</w:t>
            </w:r>
          </w:p>
        </w:tc>
        <w:tc>
          <w:tcPr>
            <w:tcW w:w="458" w:type="pct"/>
            <w:vMerge w:val="restart"/>
            <w:tcBorders>
              <w:top w:val="nil"/>
              <w:left w:val="single" w:color="auto" w:sz="4" w:space="0"/>
              <w:bottom w:val="single" w:color="auto" w:sz="4" w:space="0"/>
              <w:right w:val="single" w:color="auto" w:sz="4" w:space="0"/>
            </w:tcBorders>
            <w:noWrap w:val="0"/>
            <w:vAlign w:val="center"/>
          </w:tcPr>
          <w:p w14:paraId="6C8E73C8">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人才培养</w:t>
            </w:r>
          </w:p>
        </w:tc>
        <w:tc>
          <w:tcPr>
            <w:tcW w:w="489" w:type="pct"/>
            <w:tcBorders>
              <w:top w:val="nil"/>
              <w:left w:val="nil"/>
              <w:bottom w:val="single" w:color="auto" w:sz="4" w:space="0"/>
              <w:right w:val="single" w:color="auto" w:sz="4" w:space="0"/>
            </w:tcBorders>
            <w:noWrap w:val="0"/>
            <w:vAlign w:val="center"/>
          </w:tcPr>
          <w:p w14:paraId="52CA9E44">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继续教育</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及培训</w:t>
            </w:r>
          </w:p>
        </w:tc>
        <w:tc>
          <w:tcPr>
            <w:tcW w:w="2868" w:type="pct"/>
            <w:tcBorders>
              <w:top w:val="nil"/>
              <w:left w:val="nil"/>
              <w:bottom w:val="single" w:color="auto" w:sz="4" w:space="0"/>
              <w:right w:val="single" w:color="auto" w:sz="4" w:space="0"/>
            </w:tcBorders>
            <w:noWrap w:val="0"/>
            <w:vAlign w:val="center"/>
          </w:tcPr>
          <w:p w14:paraId="772602C8">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每年均制定培训计划、有专门机构和人员、培训类型多样、培训人数达到一定规模：</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□具备以上全部情形，得0.5分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□具备以上情形中的3项，得0.3分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□具备以上情形中的2项，得0.2分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□具备以上情形中的1项，得0.1分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□未开展过相关培训，得0分 </w:t>
            </w:r>
          </w:p>
        </w:tc>
        <w:tc>
          <w:tcPr>
            <w:tcW w:w="283" w:type="pct"/>
            <w:tcBorders>
              <w:top w:val="nil"/>
              <w:left w:val="nil"/>
              <w:bottom w:val="single" w:color="auto" w:sz="4" w:space="0"/>
              <w:right w:val="single" w:color="auto" w:sz="4" w:space="0"/>
            </w:tcBorders>
            <w:noWrap/>
            <w:vAlign w:val="center"/>
          </w:tcPr>
          <w:p w14:paraId="0BDE0145">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0.5</w:t>
            </w:r>
          </w:p>
        </w:tc>
      </w:tr>
      <w:tr w14:paraId="455C1097">
        <w:tblPrEx>
          <w:tblCellMar>
            <w:top w:w="0" w:type="dxa"/>
            <w:left w:w="108" w:type="dxa"/>
            <w:bottom w:w="0" w:type="dxa"/>
            <w:right w:w="108" w:type="dxa"/>
          </w:tblCellMar>
        </w:tblPrEx>
        <w:trPr>
          <w:trHeight w:val="2948"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10ED9DE6">
            <w:pPr>
              <w:widowControl/>
              <w:jc w:val="left"/>
              <w:rPr>
                <w:rFonts w:ascii="宋体" w:hAnsi="宋体" w:cs="宋体"/>
                <w:color w:val="000000"/>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3A3F4643">
            <w:pPr>
              <w:widowControl/>
              <w:jc w:val="left"/>
              <w:rPr>
                <w:rFonts w:ascii="宋体" w:hAnsi="宋体" w:cs="宋体"/>
                <w:color w:val="000000"/>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312E1CE5">
            <w:pPr>
              <w:widowControl/>
              <w:jc w:val="left"/>
              <w:rPr>
                <w:rFonts w:ascii="宋体" w:hAnsi="宋体" w:cs="宋体"/>
                <w:color w:val="000000"/>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01EDCF84">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青年人才培养</w:t>
            </w:r>
          </w:p>
        </w:tc>
        <w:tc>
          <w:tcPr>
            <w:tcW w:w="2868" w:type="pct"/>
            <w:tcBorders>
              <w:top w:val="nil"/>
              <w:left w:val="nil"/>
              <w:bottom w:val="single" w:color="auto" w:sz="4" w:space="0"/>
              <w:right w:val="single" w:color="auto" w:sz="4" w:space="0"/>
            </w:tcBorders>
            <w:noWrap w:val="0"/>
            <w:vAlign w:val="center"/>
          </w:tcPr>
          <w:p w14:paraId="527BFE23">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有青年人才培养规划、专门的机构和人员、形式多样、参与人数多：</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□具备上述4种情形，得0.5分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□具备上述3种情形，得0.3分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□具备上述2种情形，得0.2分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□具备上述1种情形，得0.1分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□未开展过青年人才培养，得0分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注：</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1.青年人才培养活动的形式包括组织青年人才参加学术活动、课题研究、国际交流、继续教育、发表论文等。</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2.具备上述两种情形即可视为形式多样。</w:t>
            </w:r>
          </w:p>
        </w:tc>
        <w:tc>
          <w:tcPr>
            <w:tcW w:w="283" w:type="pct"/>
            <w:tcBorders>
              <w:top w:val="nil"/>
              <w:left w:val="nil"/>
              <w:bottom w:val="single" w:color="auto" w:sz="4" w:space="0"/>
              <w:right w:val="single" w:color="auto" w:sz="4" w:space="0"/>
            </w:tcBorders>
            <w:noWrap/>
            <w:vAlign w:val="center"/>
          </w:tcPr>
          <w:p w14:paraId="7D1F82F0">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0.5</w:t>
            </w:r>
          </w:p>
        </w:tc>
      </w:tr>
      <w:tr w14:paraId="73DB6AA4">
        <w:tblPrEx>
          <w:tblCellMar>
            <w:top w:w="0" w:type="dxa"/>
            <w:left w:w="108" w:type="dxa"/>
            <w:bottom w:w="0" w:type="dxa"/>
            <w:right w:w="108" w:type="dxa"/>
          </w:tblCellMar>
        </w:tblPrEx>
        <w:trPr>
          <w:trHeight w:val="1388"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291B0648">
            <w:pPr>
              <w:widowControl/>
              <w:jc w:val="left"/>
              <w:rPr>
                <w:rFonts w:ascii="宋体" w:hAnsi="宋体" w:cs="宋体"/>
                <w:color w:val="000000"/>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4432400A">
            <w:pPr>
              <w:widowControl/>
              <w:jc w:val="left"/>
              <w:rPr>
                <w:rFonts w:ascii="宋体" w:hAnsi="宋体" w:cs="宋体"/>
                <w:color w:val="000000"/>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50705071">
            <w:pPr>
              <w:widowControl/>
              <w:jc w:val="left"/>
              <w:rPr>
                <w:rFonts w:ascii="宋体" w:hAnsi="宋体" w:cs="宋体"/>
                <w:color w:val="000000"/>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4EBCBBDB">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专业人才举荐</w:t>
            </w:r>
          </w:p>
        </w:tc>
        <w:tc>
          <w:tcPr>
            <w:tcW w:w="2868" w:type="pct"/>
            <w:tcBorders>
              <w:top w:val="nil"/>
              <w:left w:val="nil"/>
              <w:bottom w:val="single" w:color="auto" w:sz="4" w:space="0"/>
              <w:right w:val="single" w:color="auto" w:sz="4" w:space="0"/>
            </w:tcBorders>
            <w:noWrap w:val="0"/>
            <w:vAlign w:val="center"/>
          </w:tcPr>
          <w:p w14:paraId="22F96C2B">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□多次参与人才举荐活动，活动效果显著，得0.5分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□多次参与人才举荐活动，得0.3分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□参与过人才举荐活动，得0.2分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□未参与过人才举荐活动，得0分</w:t>
            </w:r>
          </w:p>
        </w:tc>
        <w:tc>
          <w:tcPr>
            <w:tcW w:w="283" w:type="pct"/>
            <w:tcBorders>
              <w:top w:val="nil"/>
              <w:left w:val="nil"/>
              <w:bottom w:val="single" w:color="auto" w:sz="4" w:space="0"/>
              <w:right w:val="single" w:color="auto" w:sz="4" w:space="0"/>
            </w:tcBorders>
            <w:noWrap/>
            <w:vAlign w:val="center"/>
          </w:tcPr>
          <w:p w14:paraId="05967B31">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0.5</w:t>
            </w:r>
          </w:p>
        </w:tc>
      </w:tr>
      <w:tr w14:paraId="6B81B091">
        <w:tblPrEx>
          <w:tblCellMar>
            <w:top w:w="0" w:type="dxa"/>
            <w:left w:w="108" w:type="dxa"/>
            <w:bottom w:w="0" w:type="dxa"/>
            <w:right w:w="108" w:type="dxa"/>
          </w:tblCellMar>
        </w:tblPrEx>
        <w:trPr>
          <w:trHeight w:val="1494" w:hRule="atLeast"/>
        </w:trPr>
        <w:tc>
          <w:tcPr>
            <w:tcW w:w="445" w:type="pct"/>
            <w:vMerge w:val="restart"/>
            <w:tcBorders>
              <w:top w:val="nil"/>
              <w:left w:val="single" w:color="auto" w:sz="4" w:space="0"/>
              <w:bottom w:val="single" w:color="auto" w:sz="4" w:space="0"/>
              <w:right w:val="single" w:color="auto" w:sz="4" w:space="0"/>
            </w:tcBorders>
            <w:noWrap w:val="0"/>
            <w:vAlign w:val="center"/>
          </w:tcPr>
          <w:p w14:paraId="60F0D4DD">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工作绩效</w:t>
            </w:r>
          </w:p>
        </w:tc>
        <w:tc>
          <w:tcPr>
            <w:tcW w:w="457" w:type="pct"/>
            <w:vMerge w:val="restart"/>
            <w:tcBorders>
              <w:top w:val="nil"/>
              <w:left w:val="single" w:color="auto" w:sz="4" w:space="0"/>
              <w:bottom w:val="single" w:color="auto" w:sz="4" w:space="0"/>
              <w:right w:val="single" w:color="auto" w:sz="4" w:space="0"/>
            </w:tcBorders>
            <w:noWrap w:val="0"/>
            <w:vAlign w:val="center"/>
          </w:tcPr>
          <w:p w14:paraId="6906590D">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学术人才培育和队伍</w:t>
            </w: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建设</w:t>
            </w:r>
          </w:p>
        </w:tc>
        <w:tc>
          <w:tcPr>
            <w:tcW w:w="458" w:type="pct"/>
            <w:tcBorders>
              <w:top w:val="nil"/>
              <w:left w:val="nil"/>
              <w:bottom w:val="single" w:color="auto" w:sz="4" w:space="0"/>
              <w:right w:val="single" w:color="auto" w:sz="4" w:space="0"/>
            </w:tcBorders>
            <w:noWrap w:val="0"/>
            <w:vAlign w:val="center"/>
          </w:tcPr>
          <w:p w14:paraId="5DCD5956">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会员管理</w:t>
            </w:r>
          </w:p>
        </w:tc>
        <w:tc>
          <w:tcPr>
            <w:tcW w:w="489" w:type="pct"/>
            <w:tcBorders>
              <w:top w:val="nil"/>
              <w:left w:val="nil"/>
              <w:bottom w:val="single" w:color="auto" w:sz="4" w:space="0"/>
              <w:right w:val="single" w:color="auto" w:sz="4" w:space="0"/>
            </w:tcBorders>
            <w:noWrap w:val="0"/>
            <w:vAlign w:val="center"/>
          </w:tcPr>
          <w:p w14:paraId="2ED6AE5C">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会员数据库</w:t>
            </w:r>
          </w:p>
        </w:tc>
        <w:tc>
          <w:tcPr>
            <w:tcW w:w="2868" w:type="pct"/>
            <w:tcBorders>
              <w:top w:val="nil"/>
              <w:left w:val="nil"/>
              <w:bottom w:val="single" w:color="auto" w:sz="4" w:space="0"/>
              <w:right w:val="single" w:color="auto" w:sz="4" w:space="0"/>
            </w:tcBorders>
            <w:noWrap w:val="0"/>
            <w:vAlign w:val="center"/>
          </w:tcPr>
          <w:p w14:paraId="33829C9F">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□会员数据库项目设置科学、规范、齐全，能依据入会、退会和会费缴纳情况及时更新相关信息，得0.5分</w:t>
            </w:r>
          </w:p>
          <w:p w14:paraId="53112348">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 xml:space="preserve">□会员数据库项目设置科学、规范、齐全，但不能及时更新相关信息，得0.2分 </w:t>
            </w:r>
          </w:p>
          <w:p w14:paraId="1A137F14">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 xml:space="preserve">□建立了简单会员数据库，得0.1分 </w:t>
            </w:r>
            <w:r>
              <w:rPr>
                <w:rFonts w:hint="eastAsia" w:ascii="宋体" w:hAnsi="宋体" w:cs="宋体"/>
                <w:color w:val="000000"/>
                <w:kern w:val="0"/>
                <w:sz w:val="22"/>
                <w:szCs w:val="22"/>
                <w:highlight w:val="none"/>
              </w:rPr>
              <w:br w:type="page"/>
            </w:r>
          </w:p>
          <w:p w14:paraId="7BB00DC7">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□未建立会员数据库，得0分 </w:t>
            </w:r>
          </w:p>
        </w:tc>
        <w:tc>
          <w:tcPr>
            <w:tcW w:w="283" w:type="pct"/>
            <w:tcBorders>
              <w:top w:val="nil"/>
              <w:left w:val="nil"/>
              <w:bottom w:val="single" w:color="auto" w:sz="4" w:space="0"/>
              <w:right w:val="single" w:color="auto" w:sz="4" w:space="0"/>
            </w:tcBorders>
            <w:noWrap/>
            <w:vAlign w:val="center"/>
          </w:tcPr>
          <w:p w14:paraId="69520EFE">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0.5</w:t>
            </w:r>
          </w:p>
        </w:tc>
      </w:tr>
      <w:tr w14:paraId="0956A489">
        <w:tblPrEx>
          <w:tblCellMar>
            <w:top w:w="0" w:type="dxa"/>
            <w:left w:w="108" w:type="dxa"/>
            <w:bottom w:w="0" w:type="dxa"/>
            <w:right w:w="108" w:type="dxa"/>
          </w:tblCellMar>
        </w:tblPrEx>
        <w:trPr>
          <w:trHeight w:val="1829"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39086861">
            <w:pPr>
              <w:widowControl/>
              <w:jc w:val="left"/>
              <w:rPr>
                <w:rFonts w:ascii="宋体" w:hAnsi="宋体" w:cs="宋体"/>
                <w:color w:val="000000"/>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0B1BCEA4">
            <w:pPr>
              <w:widowControl/>
              <w:jc w:val="left"/>
              <w:rPr>
                <w:rFonts w:ascii="宋体" w:hAnsi="宋体" w:cs="宋体"/>
                <w:color w:val="000000"/>
                <w:kern w:val="0"/>
                <w:sz w:val="22"/>
                <w:szCs w:val="22"/>
                <w:highlight w:val="none"/>
              </w:rPr>
            </w:pPr>
          </w:p>
        </w:tc>
        <w:tc>
          <w:tcPr>
            <w:tcW w:w="458" w:type="pct"/>
            <w:vMerge w:val="restart"/>
            <w:tcBorders>
              <w:top w:val="nil"/>
              <w:left w:val="single" w:color="auto" w:sz="4" w:space="0"/>
              <w:bottom w:val="single" w:color="auto" w:sz="4" w:space="0"/>
              <w:right w:val="single" w:color="auto" w:sz="4" w:space="0"/>
            </w:tcBorders>
            <w:noWrap w:val="0"/>
            <w:vAlign w:val="center"/>
          </w:tcPr>
          <w:p w14:paraId="58EB1D5E">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学术自律</w:t>
            </w:r>
          </w:p>
        </w:tc>
        <w:tc>
          <w:tcPr>
            <w:tcW w:w="489" w:type="pct"/>
            <w:tcBorders>
              <w:top w:val="nil"/>
              <w:left w:val="nil"/>
              <w:bottom w:val="single" w:color="auto" w:sz="4" w:space="0"/>
              <w:right w:val="single" w:color="auto" w:sz="4" w:space="0"/>
            </w:tcBorders>
            <w:noWrap w:val="0"/>
            <w:vAlign w:val="center"/>
          </w:tcPr>
          <w:p w14:paraId="6314EF5F">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学术自律制度</w:t>
            </w:r>
          </w:p>
        </w:tc>
        <w:tc>
          <w:tcPr>
            <w:tcW w:w="2868" w:type="pct"/>
            <w:tcBorders>
              <w:top w:val="nil"/>
              <w:left w:val="nil"/>
              <w:bottom w:val="single" w:color="auto" w:sz="4" w:space="0"/>
              <w:right w:val="single" w:color="auto" w:sz="4" w:space="0"/>
            </w:tcBorders>
            <w:noWrap w:val="0"/>
            <w:vAlign w:val="center"/>
          </w:tcPr>
          <w:p w14:paraId="35898623">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□学术自律制度详细、规范，且以会员（代表）大会或理事会形式通过，并对外进行发布，得0.5分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□学术自律制度详细、规范，且以会员（代表）大会或理事会形式通过，得0.3分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□学术自律制度详细、规范，得0.1分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□学术自律制度不够详细、规范或者未制定学术自律制度，得0分 </w:t>
            </w:r>
          </w:p>
        </w:tc>
        <w:tc>
          <w:tcPr>
            <w:tcW w:w="283" w:type="pct"/>
            <w:tcBorders>
              <w:top w:val="nil"/>
              <w:left w:val="nil"/>
              <w:bottom w:val="single" w:color="auto" w:sz="4" w:space="0"/>
              <w:right w:val="single" w:color="auto" w:sz="4" w:space="0"/>
            </w:tcBorders>
            <w:noWrap/>
            <w:vAlign w:val="center"/>
          </w:tcPr>
          <w:p w14:paraId="7CD25C07">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0.5</w:t>
            </w:r>
          </w:p>
        </w:tc>
      </w:tr>
      <w:tr w14:paraId="78853C97">
        <w:tblPrEx>
          <w:tblCellMar>
            <w:top w:w="0" w:type="dxa"/>
            <w:left w:w="108" w:type="dxa"/>
            <w:bottom w:w="0" w:type="dxa"/>
            <w:right w:w="108" w:type="dxa"/>
          </w:tblCellMar>
        </w:tblPrEx>
        <w:trPr>
          <w:trHeight w:val="1245"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43C3CE0F">
            <w:pPr>
              <w:widowControl/>
              <w:jc w:val="left"/>
              <w:rPr>
                <w:rFonts w:ascii="宋体" w:hAnsi="宋体" w:cs="宋体"/>
                <w:color w:val="000000"/>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3D746D59">
            <w:pPr>
              <w:widowControl/>
              <w:jc w:val="left"/>
              <w:rPr>
                <w:rFonts w:ascii="宋体" w:hAnsi="宋体" w:cs="宋体"/>
                <w:color w:val="000000"/>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7B278F8F">
            <w:pPr>
              <w:widowControl/>
              <w:jc w:val="left"/>
              <w:rPr>
                <w:rFonts w:ascii="宋体" w:hAnsi="宋体" w:cs="宋体"/>
                <w:color w:val="000000"/>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34E6707F">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学术自律制度实施</w:t>
            </w:r>
          </w:p>
        </w:tc>
        <w:tc>
          <w:tcPr>
            <w:tcW w:w="2868" w:type="pct"/>
            <w:tcBorders>
              <w:top w:val="nil"/>
              <w:left w:val="nil"/>
              <w:bottom w:val="single" w:color="auto" w:sz="4" w:space="0"/>
              <w:right w:val="single" w:color="auto" w:sz="4" w:space="0"/>
            </w:tcBorders>
            <w:noWrap w:val="0"/>
            <w:vAlign w:val="center"/>
          </w:tcPr>
          <w:p w14:paraId="38312D4D">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□实施学术自律制度对规范学术行为、促进学科健康发展做出较大贡献，社会反响较好，得0.5分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□实施学术自律制度情况较好，得0.3分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□未实施学术自律制度，得0分 </w:t>
            </w:r>
          </w:p>
        </w:tc>
        <w:tc>
          <w:tcPr>
            <w:tcW w:w="283" w:type="pct"/>
            <w:tcBorders>
              <w:top w:val="nil"/>
              <w:left w:val="nil"/>
              <w:bottom w:val="single" w:color="auto" w:sz="4" w:space="0"/>
              <w:right w:val="single" w:color="auto" w:sz="4" w:space="0"/>
            </w:tcBorders>
            <w:noWrap/>
            <w:vAlign w:val="center"/>
          </w:tcPr>
          <w:p w14:paraId="54CB4C10">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0.5</w:t>
            </w:r>
          </w:p>
        </w:tc>
      </w:tr>
      <w:tr w14:paraId="163AEAB8">
        <w:tblPrEx>
          <w:tblCellMar>
            <w:top w:w="0" w:type="dxa"/>
            <w:left w:w="108" w:type="dxa"/>
            <w:bottom w:w="0" w:type="dxa"/>
            <w:right w:w="108" w:type="dxa"/>
          </w:tblCellMar>
        </w:tblPrEx>
        <w:trPr>
          <w:trHeight w:val="1702"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064F3064">
            <w:pPr>
              <w:widowControl/>
              <w:jc w:val="left"/>
              <w:rPr>
                <w:rFonts w:ascii="宋体" w:hAnsi="宋体" w:cs="宋体"/>
                <w:color w:val="000000"/>
                <w:kern w:val="0"/>
                <w:sz w:val="22"/>
                <w:szCs w:val="22"/>
                <w:highlight w:val="none"/>
              </w:rPr>
            </w:pPr>
          </w:p>
        </w:tc>
        <w:tc>
          <w:tcPr>
            <w:tcW w:w="457" w:type="pct"/>
            <w:vMerge w:val="restart"/>
            <w:tcBorders>
              <w:top w:val="nil"/>
              <w:left w:val="single" w:color="auto" w:sz="4" w:space="0"/>
              <w:bottom w:val="single" w:color="auto" w:sz="4" w:space="0"/>
              <w:right w:val="single" w:color="auto" w:sz="4" w:space="0"/>
            </w:tcBorders>
            <w:noWrap w:val="0"/>
            <w:vAlign w:val="center"/>
          </w:tcPr>
          <w:p w14:paraId="7D1A63BD">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交流与合作</w:t>
            </w:r>
          </w:p>
        </w:tc>
        <w:tc>
          <w:tcPr>
            <w:tcW w:w="458" w:type="pct"/>
            <w:tcBorders>
              <w:top w:val="nil"/>
              <w:left w:val="nil"/>
              <w:bottom w:val="single" w:color="auto" w:sz="4" w:space="0"/>
              <w:right w:val="single" w:color="auto" w:sz="4" w:space="0"/>
            </w:tcBorders>
            <w:noWrap w:val="0"/>
            <w:vAlign w:val="center"/>
          </w:tcPr>
          <w:p w14:paraId="2CCF5360">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国际交流</w:t>
            </w:r>
          </w:p>
        </w:tc>
        <w:tc>
          <w:tcPr>
            <w:tcW w:w="489" w:type="pct"/>
            <w:tcBorders>
              <w:top w:val="nil"/>
              <w:left w:val="nil"/>
              <w:bottom w:val="single" w:color="auto" w:sz="4" w:space="0"/>
              <w:right w:val="single" w:color="auto" w:sz="4" w:space="0"/>
            </w:tcBorders>
            <w:noWrap w:val="0"/>
            <w:vAlign w:val="center"/>
          </w:tcPr>
          <w:p w14:paraId="0EAF816D">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国际和港澳台学术活动次数和影响力</w:t>
            </w:r>
          </w:p>
        </w:tc>
        <w:tc>
          <w:tcPr>
            <w:tcW w:w="2868" w:type="pct"/>
            <w:tcBorders>
              <w:top w:val="nil"/>
              <w:left w:val="nil"/>
              <w:bottom w:val="single" w:color="auto" w:sz="4" w:space="0"/>
              <w:right w:val="single" w:color="auto" w:sz="4" w:space="0"/>
            </w:tcBorders>
            <w:noWrap w:val="0"/>
            <w:vAlign w:val="center"/>
          </w:tcPr>
          <w:p w14:paraId="463D623B">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□承办过国际组织年会，或者多次组织国际（含港澳台）学术活动，其中至少一个活动形成品牌，得0.</w:t>
            </w:r>
            <w:r>
              <w:rPr>
                <w:rFonts w:hint="eastAsia" w:ascii="宋体" w:hAnsi="宋体" w:cs="宋体"/>
                <w:color w:val="000000"/>
                <w:kern w:val="0"/>
                <w:sz w:val="22"/>
                <w:szCs w:val="22"/>
                <w:highlight w:val="none"/>
                <w:lang w:val="en-US" w:eastAsia="zh-CN"/>
              </w:rPr>
              <w:t>3</w:t>
            </w:r>
            <w:r>
              <w:rPr>
                <w:rFonts w:hint="eastAsia" w:ascii="宋体" w:hAnsi="宋体" w:cs="宋体"/>
                <w:color w:val="000000"/>
                <w:kern w:val="0"/>
                <w:sz w:val="22"/>
                <w:szCs w:val="22"/>
                <w:highlight w:val="none"/>
              </w:rPr>
              <w:t xml:space="preserve">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□多次组织了国际（含港澳台）学术活动，得0.</w:t>
            </w:r>
            <w:r>
              <w:rPr>
                <w:rFonts w:hint="eastAsia" w:ascii="宋体" w:hAnsi="宋体" w:cs="宋体"/>
                <w:color w:val="000000"/>
                <w:kern w:val="0"/>
                <w:sz w:val="22"/>
                <w:szCs w:val="22"/>
                <w:highlight w:val="none"/>
                <w:lang w:val="en-US" w:eastAsia="zh-CN"/>
              </w:rPr>
              <w:t>2</w:t>
            </w:r>
            <w:r>
              <w:rPr>
                <w:rFonts w:hint="eastAsia" w:ascii="宋体" w:hAnsi="宋体" w:cs="宋体"/>
                <w:color w:val="000000"/>
                <w:kern w:val="0"/>
                <w:sz w:val="22"/>
                <w:szCs w:val="22"/>
                <w:highlight w:val="none"/>
              </w:rPr>
              <w:t xml:space="preserve">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□组织过国际（含港澳台）学术活动，得0.</w:t>
            </w:r>
            <w:r>
              <w:rPr>
                <w:rFonts w:hint="eastAsia" w:ascii="宋体" w:hAnsi="宋体" w:cs="宋体"/>
                <w:color w:val="000000"/>
                <w:kern w:val="0"/>
                <w:sz w:val="22"/>
                <w:szCs w:val="22"/>
                <w:highlight w:val="none"/>
                <w:lang w:val="en-US" w:eastAsia="zh-CN"/>
              </w:rPr>
              <w:t>1</w:t>
            </w:r>
            <w:r>
              <w:rPr>
                <w:rFonts w:hint="eastAsia" w:ascii="宋体" w:hAnsi="宋体" w:cs="宋体"/>
                <w:color w:val="000000"/>
                <w:kern w:val="0"/>
                <w:sz w:val="22"/>
                <w:szCs w:val="22"/>
                <w:highlight w:val="none"/>
              </w:rPr>
              <w:t xml:space="preserve">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□没有组织或参加过国际（含港澳台）学术活动，得0分 </w:t>
            </w:r>
          </w:p>
        </w:tc>
        <w:tc>
          <w:tcPr>
            <w:tcW w:w="283" w:type="pct"/>
            <w:tcBorders>
              <w:top w:val="nil"/>
              <w:left w:val="nil"/>
              <w:bottom w:val="single" w:color="auto" w:sz="4" w:space="0"/>
              <w:right w:val="single" w:color="auto" w:sz="4" w:space="0"/>
            </w:tcBorders>
            <w:noWrap/>
            <w:vAlign w:val="center"/>
          </w:tcPr>
          <w:p w14:paraId="5904D588">
            <w:pPr>
              <w:widowControl/>
              <w:jc w:val="center"/>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rPr>
              <w:t>0.</w:t>
            </w:r>
            <w:r>
              <w:rPr>
                <w:rFonts w:hint="eastAsia" w:ascii="宋体" w:hAnsi="宋体" w:cs="宋体"/>
                <w:color w:val="000000"/>
                <w:kern w:val="0"/>
                <w:sz w:val="22"/>
                <w:szCs w:val="22"/>
                <w:highlight w:val="none"/>
                <w:lang w:val="en-US" w:eastAsia="zh-CN"/>
              </w:rPr>
              <w:t>3</w:t>
            </w:r>
          </w:p>
        </w:tc>
      </w:tr>
      <w:tr w14:paraId="794B4017">
        <w:tblPrEx>
          <w:tblCellMar>
            <w:top w:w="0" w:type="dxa"/>
            <w:left w:w="108" w:type="dxa"/>
            <w:bottom w:w="0" w:type="dxa"/>
            <w:right w:w="108" w:type="dxa"/>
          </w:tblCellMar>
        </w:tblPrEx>
        <w:trPr>
          <w:trHeight w:val="1819"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66D0A37B">
            <w:pPr>
              <w:widowControl/>
              <w:jc w:val="left"/>
              <w:rPr>
                <w:rFonts w:ascii="宋体" w:hAnsi="宋体" w:cs="宋体"/>
                <w:color w:val="000000"/>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02B4A44C">
            <w:pPr>
              <w:widowControl/>
              <w:jc w:val="left"/>
              <w:rPr>
                <w:rFonts w:ascii="宋体" w:hAnsi="宋体" w:cs="宋体"/>
                <w:color w:val="000000"/>
                <w:kern w:val="0"/>
                <w:sz w:val="22"/>
                <w:szCs w:val="22"/>
                <w:highlight w:val="none"/>
              </w:rPr>
            </w:pPr>
          </w:p>
        </w:tc>
        <w:tc>
          <w:tcPr>
            <w:tcW w:w="458" w:type="pct"/>
            <w:tcBorders>
              <w:top w:val="nil"/>
              <w:left w:val="nil"/>
              <w:bottom w:val="single" w:color="auto" w:sz="4" w:space="0"/>
              <w:right w:val="single" w:color="auto" w:sz="4" w:space="0"/>
            </w:tcBorders>
            <w:noWrap w:val="0"/>
            <w:vAlign w:val="center"/>
          </w:tcPr>
          <w:p w14:paraId="1A7C1F71">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项目合作</w:t>
            </w:r>
          </w:p>
        </w:tc>
        <w:tc>
          <w:tcPr>
            <w:tcW w:w="489" w:type="pct"/>
            <w:tcBorders>
              <w:top w:val="nil"/>
              <w:left w:val="nil"/>
              <w:bottom w:val="single" w:color="auto" w:sz="4" w:space="0"/>
              <w:right w:val="single" w:color="auto" w:sz="4" w:space="0"/>
            </w:tcBorders>
            <w:noWrap w:val="0"/>
            <w:vAlign w:val="center"/>
          </w:tcPr>
          <w:p w14:paraId="7620F439">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国际、国内合作项目</w:t>
            </w:r>
          </w:p>
        </w:tc>
        <w:tc>
          <w:tcPr>
            <w:tcW w:w="2868" w:type="pct"/>
            <w:tcBorders>
              <w:top w:val="nil"/>
              <w:left w:val="nil"/>
              <w:bottom w:val="single" w:color="auto" w:sz="4" w:space="0"/>
              <w:right w:val="single" w:color="auto" w:sz="4" w:space="0"/>
            </w:tcBorders>
            <w:noWrap w:val="0"/>
            <w:vAlign w:val="center"/>
          </w:tcPr>
          <w:p w14:paraId="24AC968D">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□长期开展与多个国家、国际组织合作项目或参与多个国内大型合作项目，得0.</w:t>
            </w:r>
            <w:r>
              <w:rPr>
                <w:rFonts w:hint="eastAsia" w:ascii="宋体" w:hAnsi="宋体" w:cs="宋体"/>
                <w:color w:val="000000"/>
                <w:kern w:val="0"/>
                <w:sz w:val="22"/>
                <w:szCs w:val="22"/>
                <w:highlight w:val="none"/>
                <w:lang w:val="en-US" w:eastAsia="zh-CN"/>
              </w:rPr>
              <w:t>7</w:t>
            </w:r>
            <w:r>
              <w:rPr>
                <w:rFonts w:hint="eastAsia" w:ascii="宋体" w:hAnsi="宋体" w:cs="宋体"/>
                <w:color w:val="000000"/>
                <w:kern w:val="0"/>
                <w:sz w:val="22"/>
                <w:szCs w:val="22"/>
                <w:highlight w:val="none"/>
              </w:rPr>
              <w:t>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□长期开展与一个国家、国际组织合作项目或参与一个国内大型合作项目，得0.</w:t>
            </w:r>
            <w:r>
              <w:rPr>
                <w:rFonts w:hint="eastAsia" w:ascii="宋体" w:hAnsi="宋体" w:cs="宋体"/>
                <w:color w:val="000000"/>
                <w:kern w:val="0"/>
                <w:sz w:val="22"/>
                <w:szCs w:val="22"/>
                <w:highlight w:val="none"/>
                <w:lang w:val="en-US" w:eastAsia="zh-CN"/>
              </w:rPr>
              <w:t>6</w:t>
            </w:r>
            <w:r>
              <w:rPr>
                <w:rFonts w:hint="eastAsia" w:ascii="宋体" w:hAnsi="宋体" w:cs="宋体"/>
                <w:color w:val="000000"/>
                <w:kern w:val="0"/>
                <w:sz w:val="22"/>
                <w:szCs w:val="22"/>
                <w:highlight w:val="none"/>
              </w:rPr>
              <w:t xml:space="preserve">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□开展过国际合作项目或参与过国内大型合作项目，得0.</w:t>
            </w:r>
            <w:r>
              <w:rPr>
                <w:rFonts w:hint="eastAsia" w:ascii="宋体" w:hAnsi="宋体" w:cs="宋体"/>
                <w:color w:val="000000"/>
                <w:kern w:val="0"/>
                <w:sz w:val="22"/>
                <w:szCs w:val="22"/>
                <w:highlight w:val="none"/>
                <w:lang w:val="en-US" w:eastAsia="zh-CN"/>
              </w:rPr>
              <w:t>5</w:t>
            </w:r>
            <w:r>
              <w:rPr>
                <w:rFonts w:hint="eastAsia" w:ascii="宋体" w:hAnsi="宋体" w:cs="宋体"/>
                <w:color w:val="000000"/>
                <w:kern w:val="0"/>
                <w:sz w:val="22"/>
                <w:szCs w:val="22"/>
                <w:highlight w:val="none"/>
              </w:rPr>
              <w:t xml:space="preserve">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□未开展，得0分 </w:t>
            </w:r>
          </w:p>
        </w:tc>
        <w:tc>
          <w:tcPr>
            <w:tcW w:w="283" w:type="pct"/>
            <w:tcBorders>
              <w:top w:val="nil"/>
              <w:left w:val="nil"/>
              <w:bottom w:val="single" w:color="auto" w:sz="4" w:space="0"/>
              <w:right w:val="single" w:color="auto" w:sz="4" w:space="0"/>
            </w:tcBorders>
            <w:noWrap/>
            <w:vAlign w:val="center"/>
          </w:tcPr>
          <w:p w14:paraId="1D9F2B50">
            <w:pPr>
              <w:widowControl/>
              <w:jc w:val="center"/>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rPr>
              <w:t>0.</w:t>
            </w:r>
            <w:r>
              <w:rPr>
                <w:rFonts w:hint="eastAsia" w:ascii="宋体" w:hAnsi="宋体" w:cs="宋体"/>
                <w:color w:val="000000"/>
                <w:kern w:val="0"/>
                <w:sz w:val="22"/>
                <w:szCs w:val="22"/>
                <w:highlight w:val="none"/>
                <w:lang w:val="en-US" w:eastAsia="zh-CN"/>
              </w:rPr>
              <w:t>7</w:t>
            </w:r>
          </w:p>
        </w:tc>
      </w:tr>
      <w:tr w14:paraId="382451C2">
        <w:tblPrEx>
          <w:tblCellMar>
            <w:top w:w="0" w:type="dxa"/>
            <w:left w:w="108" w:type="dxa"/>
            <w:bottom w:w="0" w:type="dxa"/>
            <w:right w:w="108" w:type="dxa"/>
          </w:tblCellMar>
        </w:tblPrEx>
        <w:trPr>
          <w:trHeight w:val="1919" w:hRule="atLeast"/>
        </w:trPr>
        <w:tc>
          <w:tcPr>
            <w:tcW w:w="445" w:type="pct"/>
            <w:tcBorders>
              <w:top w:val="nil"/>
              <w:left w:val="single" w:color="auto" w:sz="4" w:space="0"/>
              <w:bottom w:val="single" w:color="auto" w:sz="4" w:space="0"/>
              <w:right w:val="single" w:color="auto" w:sz="4" w:space="0"/>
            </w:tcBorders>
            <w:noWrap w:val="0"/>
            <w:vAlign w:val="center"/>
          </w:tcPr>
          <w:p w14:paraId="6D292F6D">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工作绩效</w:t>
            </w:r>
          </w:p>
        </w:tc>
        <w:tc>
          <w:tcPr>
            <w:tcW w:w="457" w:type="pct"/>
            <w:tcBorders>
              <w:top w:val="nil"/>
              <w:left w:val="nil"/>
              <w:bottom w:val="single" w:color="auto" w:sz="4" w:space="0"/>
              <w:right w:val="single" w:color="auto" w:sz="4" w:space="0"/>
            </w:tcBorders>
            <w:noWrap w:val="0"/>
            <w:vAlign w:val="center"/>
          </w:tcPr>
          <w:p w14:paraId="52E769CB">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交流与合作</w:t>
            </w:r>
          </w:p>
        </w:tc>
        <w:tc>
          <w:tcPr>
            <w:tcW w:w="458" w:type="pct"/>
            <w:tcBorders>
              <w:top w:val="nil"/>
              <w:left w:val="nil"/>
              <w:bottom w:val="single" w:color="auto" w:sz="4" w:space="0"/>
              <w:right w:val="single" w:color="auto" w:sz="4" w:space="0"/>
            </w:tcBorders>
            <w:noWrap w:val="0"/>
            <w:vAlign w:val="center"/>
          </w:tcPr>
          <w:p w14:paraId="719271BD">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国际、国内影响力</w:t>
            </w:r>
          </w:p>
        </w:tc>
        <w:tc>
          <w:tcPr>
            <w:tcW w:w="489" w:type="pct"/>
            <w:tcBorders>
              <w:top w:val="nil"/>
              <w:left w:val="nil"/>
              <w:bottom w:val="single" w:color="auto" w:sz="4" w:space="0"/>
              <w:right w:val="single" w:color="auto" w:sz="4" w:space="0"/>
            </w:tcBorders>
            <w:noWrap w:val="0"/>
            <w:vAlign w:val="center"/>
          </w:tcPr>
          <w:p w14:paraId="2342946F">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参加</w:t>
            </w:r>
            <w:r>
              <w:rPr>
                <w:rFonts w:hint="eastAsia" w:ascii="宋体" w:hAnsi="宋体" w:cs="宋体"/>
                <w:color w:val="000000"/>
                <w:kern w:val="0"/>
                <w:sz w:val="22"/>
                <w:szCs w:val="22"/>
                <w:highlight w:val="none"/>
                <w:lang w:eastAsia="zh-CN"/>
              </w:rPr>
              <w:t>国际组织、</w:t>
            </w:r>
            <w:r>
              <w:rPr>
                <w:rFonts w:hint="eastAsia" w:ascii="宋体" w:hAnsi="宋体" w:cs="宋体"/>
                <w:color w:val="000000"/>
                <w:kern w:val="0"/>
                <w:sz w:val="22"/>
                <w:szCs w:val="22"/>
                <w:highlight w:val="none"/>
              </w:rPr>
              <w:t>全国性</w:t>
            </w:r>
            <w:r>
              <w:rPr>
                <w:rFonts w:hint="eastAsia" w:ascii="宋体" w:hAnsi="宋体" w:cs="宋体"/>
                <w:color w:val="000000"/>
                <w:kern w:val="0"/>
                <w:sz w:val="22"/>
                <w:szCs w:val="22"/>
                <w:highlight w:val="none"/>
                <w:lang w:eastAsia="zh-CN"/>
              </w:rPr>
              <w:t>、全省性</w:t>
            </w:r>
            <w:r>
              <w:rPr>
                <w:rFonts w:hint="eastAsia" w:ascii="宋体" w:hAnsi="宋体" w:cs="宋体"/>
                <w:color w:val="000000"/>
                <w:kern w:val="0"/>
                <w:sz w:val="22"/>
                <w:szCs w:val="22"/>
                <w:highlight w:val="none"/>
              </w:rPr>
              <w:t>社会组织并担任职务</w:t>
            </w:r>
          </w:p>
        </w:tc>
        <w:tc>
          <w:tcPr>
            <w:tcW w:w="2868" w:type="pct"/>
            <w:tcBorders>
              <w:top w:val="nil"/>
              <w:left w:val="nil"/>
              <w:bottom w:val="single" w:color="auto" w:sz="4" w:space="0"/>
              <w:right w:val="single" w:color="auto" w:sz="4" w:space="0"/>
            </w:tcBorders>
            <w:noWrap w:val="0"/>
            <w:vAlign w:val="center"/>
          </w:tcPr>
          <w:p w14:paraId="5D7B3A24">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□有此类情况并担任重要职务，发挥了重要作用，得0.5分</w:t>
            </w:r>
            <w:r>
              <w:rPr>
                <w:rFonts w:hint="eastAsia" w:ascii="宋体" w:hAnsi="宋体" w:cs="宋体"/>
                <w:color w:val="000000"/>
                <w:kern w:val="0"/>
                <w:sz w:val="22"/>
                <w:szCs w:val="22"/>
                <w:highlight w:val="none"/>
              </w:rPr>
              <w:br w:type="page"/>
            </w:r>
          </w:p>
          <w:p w14:paraId="55F8D299">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□有此类情况，得0.3分 </w:t>
            </w:r>
            <w:r>
              <w:rPr>
                <w:rFonts w:hint="eastAsia" w:ascii="宋体" w:hAnsi="宋体" w:cs="宋体"/>
                <w:color w:val="000000"/>
                <w:kern w:val="0"/>
                <w:sz w:val="22"/>
                <w:szCs w:val="22"/>
                <w:highlight w:val="none"/>
              </w:rPr>
              <w:br w:type="page"/>
            </w:r>
          </w:p>
          <w:p w14:paraId="15B86134">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□无此类情况，得0分 </w:t>
            </w: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br w:type="page"/>
            </w:r>
          </w:p>
          <w:p w14:paraId="7AC07C3E">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注：对应的国际组织没有团体会员，会员以个人名义通过学会（研究会）推荐参加的，视为学会（研究会）参加国际组织。</w:t>
            </w:r>
          </w:p>
        </w:tc>
        <w:tc>
          <w:tcPr>
            <w:tcW w:w="283" w:type="pct"/>
            <w:tcBorders>
              <w:top w:val="nil"/>
              <w:left w:val="nil"/>
              <w:bottom w:val="single" w:color="auto" w:sz="4" w:space="0"/>
              <w:right w:val="single" w:color="auto" w:sz="4" w:space="0"/>
            </w:tcBorders>
            <w:noWrap/>
            <w:vAlign w:val="center"/>
          </w:tcPr>
          <w:p w14:paraId="135B01CF">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0.5</w:t>
            </w:r>
          </w:p>
        </w:tc>
      </w:tr>
      <w:tr w14:paraId="024955B5">
        <w:tblPrEx>
          <w:tblCellMar>
            <w:top w:w="0" w:type="dxa"/>
            <w:left w:w="108" w:type="dxa"/>
            <w:bottom w:w="0" w:type="dxa"/>
            <w:right w:w="108" w:type="dxa"/>
          </w:tblCellMar>
        </w:tblPrEx>
        <w:trPr>
          <w:trHeight w:val="1690" w:hRule="atLeast"/>
        </w:trPr>
        <w:tc>
          <w:tcPr>
            <w:tcW w:w="445" w:type="pct"/>
            <w:vMerge w:val="restart"/>
            <w:tcBorders>
              <w:top w:val="nil"/>
              <w:left w:val="single" w:color="auto" w:sz="4" w:space="0"/>
              <w:bottom w:val="single" w:color="auto" w:sz="4" w:space="0"/>
              <w:right w:val="single" w:color="auto" w:sz="4" w:space="0"/>
            </w:tcBorders>
            <w:noWrap w:val="0"/>
            <w:vAlign w:val="center"/>
          </w:tcPr>
          <w:p w14:paraId="1846AC5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社会评价</w:t>
            </w:r>
          </w:p>
        </w:tc>
        <w:tc>
          <w:tcPr>
            <w:tcW w:w="457" w:type="pct"/>
            <w:vMerge w:val="restart"/>
            <w:tcBorders>
              <w:top w:val="nil"/>
              <w:left w:val="single" w:color="auto" w:sz="4" w:space="0"/>
              <w:bottom w:val="single" w:color="auto" w:sz="4" w:space="0"/>
              <w:right w:val="single" w:color="auto" w:sz="4" w:space="0"/>
            </w:tcBorders>
            <w:noWrap w:val="0"/>
            <w:vAlign w:val="center"/>
          </w:tcPr>
          <w:p w14:paraId="295F9A4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诚信建设</w:t>
            </w:r>
          </w:p>
        </w:tc>
        <w:tc>
          <w:tcPr>
            <w:tcW w:w="458" w:type="pct"/>
            <w:vMerge w:val="restart"/>
            <w:tcBorders>
              <w:top w:val="nil"/>
              <w:left w:val="single" w:color="auto" w:sz="4" w:space="0"/>
              <w:bottom w:val="single" w:color="auto" w:sz="4" w:space="0"/>
              <w:right w:val="single" w:color="auto" w:sz="4" w:space="0"/>
            </w:tcBorders>
            <w:noWrap w:val="0"/>
            <w:vAlign w:val="center"/>
          </w:tcPr>
          <w:p w14:paraId="7DE1A45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遵纪守法</w:t>
            </w:r>
          </w:p>
        </w:tc>
        <w:tc>
          <w:tcPr>
            <w:tcW w:w="489" w:type="pct"/>
            <w:tcBorders>
              <w:top w:val="nil"/>
              <w:left w:val="nil"/>
              <w:bottom w:val="single" w:color="auto" w:sz="4" w:space="0"/>
              <w:right w:val="single" w:color="auto" w:sz="4" w:space="0"/>
            </w:tcBorders>
            <w:noWrap w:val="0"/>
            <w:vAlign w:val="center"/>
          </w:tcPr>
          <w:p w14:paraId="689D287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受行政处罚</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情况</w:t>
            </w:r>
          </w:p>
        </w:tc>
        <w:tc>
          <w:tcPr>
            <w:tcW w:w="2868" w:type="pct"/>
            <w:tcBorders>
              <w:top w:val="nil"/>
              <w:left w:val="nil"/>
              <w:bottom w:val="single" w:color="auto" w:sz="4" w:space="0"/>
              <w:right w:val="single" w:color="auto" w:sz="4" w:space="0"/>
            </w:tcBorders>
            <w:noWrap w:val="0"/>
            <w:vAlign w:val="center"/>
          </w:tcPr>
          <w:p w14:paraId="083AE909">
            <w:pPr>
              <w:widowControl/>
              <w:jc w:val="left"/>
              <w:rPr>
                <w:rFonts w:ascii="宋体" w:hAnsi="宋体" w:cs="宋体"/>
                <w:kern w:val="0"/>
                <w:sz w:val="22"/>
                <w:szCs w:val="22"/>
                <w:highlight w:val="none"/>
              </w:rPr>
            </w:pPr>
            <w:r>
              <w:rPr>
                <w:rFonts w:hint="eastAsia" w:ascii="宋体" w:hAnsi="宋体" w:cs="宋体"/>
                <w:kern w:val="0"/>
                <w:sz w:val="22"/>
                <w:szCs w:val="22"/>
                <w:highlight w:val="none"/>
              </w:rPr>
              <w:t>□近两年内有此类情况，得0分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□近两年内无此类情况，得1分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注：包括社会团体及负责人受到的行政处罚。行政处罚决定应当已经作出，包括复议和诉讼阶段。</w:t>
            </w:r>
          </w:p>
        </w:tc>
        <w:tc>
          <w:tcPr>
            <w:tcW w:w="283" w:type="pct"/>
            <w:tcBorders>
              <w:top w:val="nil"/>
              <w:left w:val="nil"/>
              <w:bottom w:val="single" w:color="auto" w:sz="4" w:space="0"/>
              <w:right w:val="single" w:color="auto" w:sz="4" w:space="0"/>
            </w:tcBorders>
            <w:noWrap/>
            <w:vAlign w:val="center"/>
          </w:tcPr>
          <w:p w14:paraId="1A91EF6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4CD4CC30">
        <w:tblPrEx>
          <w:tblCellMar>
            <w:top w:w="0" w:type="dxa"/>
            <w:left w:w="108" w:type="dxa"/>
            <w:bottom w:w="0" w:type="dxa"/>
            <w:right w:w="108" w:type="dxa"/>
          </w:tblCellMar>
        </w:tblPrEx>
        <w:trPr>
          <w:trHeight w:val="1119"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7EFE73CE">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17630BDA">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120C96AE">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7DAE9A9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受有关部门约谈、通报、责令整改情况</w:t>
            </w:r>
          </w:p>
        </w:tc>
        <w:tc>
          <w:tcPr>
            <w:tcW w:w="2868" w:type="pct"/>
            <w:tcBorders>
              <w:top w:val="nil"/>
              <w:left w:val="nil"/>
              <w:bottom w:val="single" w:color="auto" w:sz="4" w:space="0"/>
              <w:right w:val="single" w:color="auto" w:sz="4" w:space="0"/>
            </w:tcBorders>
            <w:noWrap w:val="0"/>
            <w:vAlign w:val="center"/>
          </w:tcPr>
          <w:p w14:paraId="172AA8D3">
            <w:pPr>
              <w:widowControl/>
              <w:jc w:val="left"/>
              <w:rPr>
                <w:rFonts w:ascii="宋体" w:hAnsi="宋体" w:cs="宋体"/>
                <w:kern w:val="0"/>
                <w:sz w:val="22"/>
                <w:szCs w:val="22"/>
                <w:highlight w:val="none"/>
              </w:rPr>
            </w:pPr>
            <w:r>
              <w:rPr>
                <w:rFonts w:hint="eastAsia" w:ascii="宋体" w:hAnsi="宋体" w:cs="宋体"/>
                <w:kern w:val="0"/>
                <w:sz w:val="22"/>
                <w:szCs w:val="22"/>
                <w:highlight w:val="none"/>
              </w:rPr>
              <w:t>□近两年内有此类情况，得0分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□近两年内无此类情况，得1分 </w:t>
            </w:r>
          </w:p>
        </w:tc>
        <w:tc>
          <w:tcPr>
            <w:tcW w:w="283" w:type="pct"/>
            <w:tcBorders>
              <w:top w:val="nil"/>
              <w:left w:val="nil"/>
              <w:bottom w:val="single" w:color="auto" w:sz="4" w:space="0"/>
              <w:right w:val="single" w:color="auto" w:sz="4" w:space="0"/>
            </w:tcBorders>
            <w:noWrap/>
            <w:vAlign w:val="center"/>
          </w:tcPr>
          <w:p w14:paraId="006705B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47C18EAC">
        <w:tblPrEx>
          <w:tblCellMar>
            <w:top w:w="0" w:type="dxa"/>
            <w:left w:w="108" w:type="dxa"/>
            <w:bottom w:w="0" w:type="dxa"/>
            <w:right w:w="108" w:type="dxa"/>
          </w:tblCellMar>
        </w:tblPrEx>
        <w:trPr>
          <w:trHeight w:val="1377"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7A7F711B">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65209A27">
            <w:pPr>
              <w:widowControl/>
              <w:jc w:val="left"/>
              <w:rPr>
                <w:rFonts w:ascii="宋体" w:hAnsi="宋体" w:cs="宋体"/>
                <w:kern w:val="0"/>
                <w:sz w:val="22"/>
                <w:szCs w:val="22"/>
                <w:highlight w:val="none"/>
              </w:rPr>
            </w:pPr>
          </w:p>
        </w:tc>
        <w:tc>
          <w:tcPr>
            <w:tcW w:w="458" w:type="pct"/>
            <w:vMerge w:val="restart"/>
            <w:tcBorders>
              <w:top w:val="nil"/>
              <w:left w:val="single" w:color="auto" w:sz="4" w:space="0"/>
              <w:bottom w:val="single" w:color="auto" w:sz="4" w:space="0"/>
              <w:right w:val="single" w:color="auto" w:sz="4" w:space="0"/>
            </w:tcBorders>
            <w:noWrap w:val="0"/>
            <w:vAlign w:val="center"/>
          </w:tcPr>
          <w:p w14:paraId="77EEAC7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信息公开</w:t>
            </w:r>
          </w:p>
        </w:tc>
        <w:tc>
          <w:tcPr>
            <w:tcW w:w="489" w:type="pct"/>
            <w:tcBorders>
              <w:top w:val="nil"/>
              <w:left w:val="nil"/>
              <w:bottom w:val="single" w:color="auto" w:sz="4" w:space="0"/>
              <w:right w:val="single" w:color="auto" w:sz="4" w:space="0"/>
            </w:tcBorders>
            <w:noWrap w:val="0"/>
            <w:vAlign w:val="center"/>
          </w:tcPr>
          <w:p w14:paraId="1C11B63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建立新闻发言人制度</w:t>
            </w:r>
          </w:p>
        </w:tc>
        <w:tc>
          <w:tcPr>
            <w:tcW w:w="2868" w:type="pct"/>
            <w:tcBorders>
              <w:top w:val="nil"/>
              <w:left w:val="nil"/>
              <w:bottom w:val="single" w:color="auto" w:sz="4" w:space="0"/>
              <w:right w:val="single" w:color="auto" w:sz="4" w:space="0"/>
            </w:tcBorders>
            <w:noWrap w:val="0"/>
            <w:vAlign w:val="center"/>
          </w:tcPr>
          <w:p w14:paraId="299D77F7">
            <w:pPr>
              <w:widowControl/>
              <w:rPr>
                <w:rFonts w:ascii="宋体" w:hAnsi="宋体" w:cs="宋体"/>
                <w:kern w:val="0"/>
                <w:sz w:val="22"/>
                <w:szCs w:val="22"/>
                <w:highlight w:val="none"/>
              </w:rPr>
            </w:pPr>
            <w:r>
              <w:rPr>
                <w:rFonts w:hint="eastAsia" w:ascii="宋体" w:hAnsi="宋体" w:cs="宋体"/>
                <w:kern w:val="0"/>
                <w:sz w:val="22"/>
                <w:szCs w:val="22"/>
                <w:highlight w:val="none"/>
              </w:rPr>
              <w:t xml:space="preserve">□建立新闻发布制度，明确1名政治可靠、业务精通的负责人为新闻发言人，定期发布相关信息，得0.5分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□建立新闻发布制度，未明确发新闻发言人，或发布信息较少，得0.3分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□未建立新闻发布制度，也未发布相关信息，得0分                                                                                                                                            </w:t>
            </w:r>
          </w:p>
        </w:tc>
        <w:tc>
          <w:tcPr>
            <w:tcW w:w="283" w:type="pct"/>
            <w:tcBorders>
              <w:top w:val="nil"/>
              <w:left w:val="nil"/>
              <w:bottom w:val="single" w:color="auto" w:sz="4" w:space="0"/>
              <w:right w:val="single" w:color="auto" w:sz="4" w:space="0"/>
            </w:tcBorders>
            <w:noWrap/>
            <w:vAlign w:val="center"/>
          </w:tcPr>
          <w:p w14:paraId="0846FC6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5BB1AD09">
        <w:tblPrEx>
          <w:tblCellMar>
            <w:top w:w="0" w:type="dxa"/>
            <w:left w:w="108" w:type="dxa"/>
            <w:bottom w:w="0" w:type="dxa"/>
            <w:right w:w="108" w:type="dxa"/>
          </w:tblCellMar>
        </w:tblPrEx>
        <w:trPr>
          <w:trHeight w:val="1992"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530E1E86">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6F954D71">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63F48DC4">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0FD31EF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建立社会组织联络员制度</w:t>
            </w:r>
          </w:p>
        </w:tc>
        <w:tc>
          <w:tcPr>
            <w:tcW w:w="2868" w:type="pct"/>
            <w:tcBorders>
              <w:top w:val="nil"/>
              <w:left w:val="nil"/>
              <w:bottom w:val="single" w:color="auto" w:sz="4" w:space="0"/>
              <w:right w:val="single" w:color="auto" w:sz="4" w:space="0"/>
            </w:tcBorders>
            <w:noWrap w:val="0"/>
            <w:vAlign w:val="center"/>
          </w:tcPr>
          <w:p w14:paraId="7FAD2F85">
            <w:pPr>
              <w:widowControl/>
              <w:jc w:val="left"/>
              <w:rPr>
                <w:rFonts w:ascii="宋体" w:hAnsi="宋体" w:cs="宋体"/>
                <w:kern w:val="0"/>
                <w:sz w:val="22"/>
                <w:szCs w:val="22"/>
                <w:highlight w:val="none"/>
              </w:rPr>
            </w:pPr>
            <w:r>
              <w:rPr>
                <w:rFonts w:hint="eastAsia" w:ascii="宋体" w:hAnsi="宋体" w:cs="宋体"/>
                <w:kern w:val="0"/>
                <w:sz w:val="22"/>
                <w:szCs w:val="22"/>
                <w:highlight w:val="none"/>
              </w:rPr>
              <w:t>□明确1名负责人为社会组织联络员，认真学习社会组织政策,经常关注登记管理机关网站，并加强与登记管理机关联络，得0.5分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□明确1名非社团负责人为社会组织联络员，学习社会组织政策,定期关注登记管理机关网站，与登记管理机关保持联络，得0.2分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□未建立社会组织联络员制度，得0分</w:t>
            </w:r>
          </w:p>
        </w:tc>
        <w:tc>
          <w:tcPr>
            <w:tcW w:w="283" w:type="pct"/>
            <w:tcBorders>
              <w:top w:val="nil"/>
              <w:left w:val="nil"/>
              <w:bottom w:val="single" w:color="auto" w:sz="4" w:space="0"/>
              <w:right w:val="single" w:color="auto" w:sz="4" w:space="0"/>
            </w:tcBorders>
            <w:noWrap/>
            <w:vAlign w:val="center"/>
          </w:tcPr>
          <w:p w14:paraId="5803157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133C7D2D">
        <w:tblPrEx>
          <w:tblCellMar>
            <w:top w:w="0" w:type="dxa"/>
            <w:left w:w="108" w:type="dxa"/>
            <w:bottom w:w="0" w:type="dxa"/>
            <w:right w:w="108" w:type="dxa"/>
          </w:tblCellMar>
        </w:tblPrEx>
        <w:trPr>
          <w:trHeight w:val="3337" w:hRule="atLeast"/>
        </w:trPr>
        <w:tc>
          <w:tcPr>
            <w:tcW w:w="445" w:type="pct"/>
            <w:vMerge w:val="restart"/>
            <w:tcBorders>
              <w:top w:val="nil"/>
              <w:left w:val="single" w:color="auto" w:sz="4" w:space="0"/>
              <w:bottom w:val="single" w:color="auto" w:sz="4" w:space="0"/>
              <w:right w:val="single" w:color="auto" w:sz="4" w:space="0"/>
            </w:tcBorders>
            <w:noWrap w:val="0"/>
            <w:vAlign w:val="center"/>
          </w:tcPr>
          <w:p w14:paraId="5308E6E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社会评价 </w:t>
            </w:r>
          </w:p>
        </w:tc>
        <w:tc>
          <w:tcPr>
            <w:tcW w:w="457" w:type="pct"/>
            <w:vMerge w:val="restart"/>
            <w:tcBorders>
              <w:top w:val="nil"/>
              <w:left w:val="single" w:color="auto" w:sz="4" w:space="0"/>
              <w:bottom w:val="single" w:color="auto" w:sz="4" w:space="0"/>
              <w:right w:val="single" w:color="auto" w:sz="4" w:space="0"/>
            </w:tcBorders>
            <w:noWrap w:val="0"/>
            <w:vAlign w:val="center"/>
          </w:tcPr>
          <w:p w14:paraId="11DF9D5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诚信建设 </w:t>
            </w:r>
          </w:p>
        </w:tc>
        <w:tc>
          <w:tcPr>
            <w:tcW w:w="458" w:type="pct"/>
            <w:vMerge w:val="restart"/>
            <w:tcBorders>
              <w:top w:val="nil"/>
              <w:left w:val="single" w:color="auto" w:sz="4" w:space="0"/>
              <w:bottom w:val="single" w:color="auto" w:sz="4" w:space="0"/>
              <w:right w:val="single" w:color="auto" w:sz="4" w:space="0"/>
            </w:tcBorders>
            <w:noWrap w:val="0"/>
            <w:vAlign w:val="center"/>
          </w:tcPr>
          <w:p w14:paraId="1378034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信息公开</w:t>
            </w:r>
          </w:p>
        </w:tc>
        <w:tc>
          <w:tcPr>
            <w:tcW w:w="489" w:type="pct"/>
            <w:tcBorders>
              <w:top w:val="nil"/>
              <w:left w:val="nil"/>
              <w:bottom w:val="single" w:color="auto" w:sz="4" w:space="0"/>
              <w:right w:val="single" w:color="auto" w:sz="4" w:space="0"/>
            </w:tcBorders>
            <w:noWrap w:val="0"/>
            <w:vAlign w:val="center"/>
          </w:tcPr>
          <w:p w14:paraId="6D749F8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公开内容</w:t>
            </w:r>
          </w:p>
        </w:tc>
        <w:tc>
          <w:tcPr>
            <w:tcW w:w="2868" w:type="pct"/>
            <w:tcBorders>
              <w:top w:val="nil"/>
              <w:left w:val="nil"/>
              <w:bottom w:val="single" w:color="auto" w:sz="4" w:space="0"/>
              <w:right w:val="single" w:color="auto" w:sz="4" w:space="0"/>
            </w:tcBorders>
            <w:noWrap w:val="0"/>
            <w:vAlign w:val="center"/>
          </w:tcPr>
          <w:p w14:paraId="0BADB555">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以下应向社会公开的信息中，及时公开并动态更新，得0.3分，未公开或者未更新，得0分：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法人登记证书；税务登记证；经核准的章程；组织机构设置；负责人、理事会及监事会成员名单；接受国家拨款或者社会捐赠、资助的资金使用情况；接受政府职能委托、授权、转移情况；大型赛事活动；法律、法规、规章、章程规定的其他应当公开的信息。</w:t>
            </w:r>
          </w:p>
          <w:p w14:paraId="15841462">
            <w:pPr>
              <w:widowControl/>
              <w:jc w:val="left"/>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以下应向会员公开的信息中，及时公开并动态更新，得0.2分，未公开或者未更新，得0分：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会员（会员代表）大会、理事会（常务理事会）、监事会的决议；月度、季度、半年、年度财务报告；会员名册；理事会、监事会年度工作报告；其他重大活动情况。</w:t>
            </w:r>
          </w:p>
        </w:tc>
        <w:tc>
          <w:tcPr>
            <w:tcW w:w="283" w:type="pct"/>
            <w:tcBorders>
              <w:top w:val="nil"/>
              <w:left w:val="nil"/>
              <w:bottom w:val="single" w:color="auto" w:sz="4" w:space="0"/>
              <w:right w:val="single" w:color="auto" w:sz="4" w:space="0"/>
            </w:tcBorders>
            <w:noWrap/>
            <w:vAlign w:val="center"/>
          </w:tcPr>
          <w:p w14:paraId="1D3FB53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6DFE63B2">
        <w:tblPrEx>
          <w:tblCellMar>
            <w:top w:w="0" w:type="dxa"/>
            <w:left w:w="108" w:type="dxa"/>
            <w:bottom w:w="0" w:type="dxa"/>
            <w:right w:w="108" w:type="dxa"/>
          </w:tblCellMar>
        </w:tblPrEx>
        <w:trPr>
          <w:trHeight w:val="4660"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0E66B18E">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318F99D0">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45D69995">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4ABCA6E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公开方式</w:t>
            </w:r>
          </w:p>
        </w:tc>
        <w:tc>
          <w:tcPr>
            <w:tcW w:w="2868" w:type="pct"/>
            <w:tcBorders>
              <w:top w:val="nil"/>
              <w:left w:val="nil"/>
              <w:bottom w:val="single" w:color="auto" w:sz="4" w:space="0"/>
              <w:right w:val="single" w:color="auto" w:sz="4" w:space="0"/>
            </w:tcBorders>
            <w:noWrap w:val="0"/>
            <w:vAlign w:val="center"/>
          </w:tcPr>
          <w:p w14:paraId="5CCE56F8">
            <w:pPr>
              <w:widowControl/>
              <w:jc w:val="left"/>
              <w:rPr>
                <w:rFonts w:ascii="宋体" w:hAnsi="宋体" w:cs="宋体"/>
                <w:kern w:val="0"/>
                <w:sz w:val="22"/>
                <w:szCs w:val="22"/>
                <w:highlight w:val="none"/>
              </w:rPr>
            </w:pPr>
            <w:r>
              <w:rPr>
                <w:rFonts w:hint="eastAsia" w:ascii="宋体" w:hAnsi="宋体" w:cs="宋体"/>
                <w:kern w:val="0"/>
                <w:sz w:val="22"/>
                <w:szCs w:val="22"/>
                <w:highlight w:val="none"/>
              </w:rPr>
              <w:t>□信息公开方式多样，公开范围能够覆盖社会组织的活动地域，能够满足信息公开的要求，得0.2分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□信息公开方式较为简单，或公开范围未能完全覆盖社会组织的活动地域，基本能够满足信息公开的要求，得0.1分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□信息公开方式单一，公开范围过小，不能满足信息公开的要求，得0分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注：信息公开方式主要包括网站、报刊、广播、电视、内部刊物、悬挂证书牌匾等。</w:t>
            </w:r>
          </w:p>
        </w:tc>
        <w:tc>
          <w:tcPr>
            <w:tcW w:w="283" w:type="pct"/>
            <w:tcBorders>
              <w:top w:val="nil"/>
              <w:left w:val="nil"/>
              <w:bottom w:val="single" w:color="auto" w:sz="4" w:space="0"/>
              <w:right w:val="single" w:color="auto" w:sz="4" w:space="0"/>
            </w:tcBorders>
            <w:noWrap/>
            <w:vAlign w:val="center"/>
          </w:tcPr>
          <w:p w14:paraId="72B8D88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0.2</w:t>
            </w:r>
          </w:p>
        </w:tc>
      </w:tr>
      <w:tr w14:paraId="6A093468">
        <w:tblPrEx>
          <w:tblCellMar>
            <w:top w:w="0" w:type="dxa"/>
            <w:left w:w="108" w:type="dxa"/>
            <w:bottom w:w="0" w:type="dxa"/>
            <w:right w:w="108" w:type="dxa"/>
          </w:tblCellMar>
        </w:tblPrEx>
        <w:trPr>
          <w:trHeight w:val="1494" w:hRule="atLeast"/>
        </w:trPr>
        <w:tc>
          <w:tcPr>
            <w:tcW w:w="445" w:type="pct"/>
            <w:vMerge w:val="restart"/>
            <w:tcBorders>
              <w:top w:val="nil"/>
              <w:left w:val="single" w:color="auto" w:sz="4" w:space="0"/>
              <w:bottom w:val="single" w:color="auto" w:sz="4" w:space="0"/>
              <w:right w:val="single" w:color="auto" w:sz="4" w:space="0"/>
            </w:tcBorders>
            <w:noWrap w:val="0"/>
            <w:vAlign w:val="center"/>
          </w:tcPr>
          <w:p w14:paraId="2BC7D72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社会评价</w:t>
            </w:r>
          </w:p>
        </w:tc>
        <w:tc>
          <w:tcPr>
            <w:tcW w:w="457" w:type="pct"/>
            <w:vMerge w:val="restart"/>
            <w:tcBorders>
              <w:top w:val="nil"/>
              <w:left w:val="single" w:color="auto" w:sz="4" w:space="0"/>
              <w:bottom w:val="single" w:color="auto" w:sz="4" w:space="0"/>
              <w:right w:val="single" w:color="auto" w:sz="4" w:space="0"/>
            </w:tcBorders>
            <w:noWrap w:val="0"/>
            <w:vAlign w:val="center"/>
          </w:tcPr>
          <w:p w14:paraId="19ED95B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诚信建设</w:t>
            </w:r>
          </w:p>
        </w:tc>
        <w:tc>
          <w:tcPr>
            <w:tcW w:w="458" w:type="pct"/>
            <w:vMerge w:val="restart"/>
            <w:tcBorders>
              <w:top w:val="nil"/>
              <w:left w:val="single" w:color="auto" w:sz="4" w:space="0"/>
              <w:bottom w:val="single" w:color="auto" w:sz="4" w:space="0"/>
              <w:right w:val="single" w:color="auto" w:sz="4" w:space="0"/>
            </w:tcBorders>
            <w:noWrap w:val="0"/>
            <w:vAlign w:val="center"/>
          </w:tcPr>
          <w:p w14:paraId="0065159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财经纪律</w:t>
            </w:r>
          </w:p>
        </w:tc>
        <w:tc>
          <w:tcPr>
            <w:tcW w:w="489" w:type="pct"/>
            <w:tcBorders>
              <w:top w:val="nil"/>
              <w:left w:val="nil"/>
              <w:bottom w:val="single" w:color="auto" w:sz="4" w:space="0"/>
              <w:right w:val="single" w:color="auto" w:sz="4" w:space="0"/>
            </w:tcBorders>
            <w:noWrap w:val="0"/>
            <w:vAlign w:val="center"/>
          </w:tcPr>
          <w:p w14:paraId="3752519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乱发津贴、补贴或领导干部违规领取薪酬</w:t>
            </w:r>
          </w:p>
        </w:tc>
        <w:tc>
          <w:tcPr>
            <w:tcW w:w="2868" w:type="pct"/>
            <w:vMerge w:val="restart"/>
            <w:tcBorders>
              <w:top w:val="nil"/>
              <w:left w:val="single" w:color="auto" w:sz="4" w:space="0"/>
              <w:bottom w:val="single" w:color="auto" w:sz="4" w:space="0"/>
              <w:right w:val="single" w:color="auto" w:sz="4" w:space="0"/>
            </w:tcBorders>
            <w:noWrap w:val="0"/>
            <w:vAlign w:val="center"/>
          </w:tcPr>
          <w:p w14:paraId="60BE4251">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以下各项情形均不存在的，得8分；存在任何一项的，本三级指标得0分：</w:t>
            </w:r>
            <w:r>
              <w:rPr>
                <w:rFonts w:hint="eastAsia" w:ascii="宋体" w:hAnsi="宋体" w:cs="宋体"/>
                <w:kern w:val="0"/>
                <w:sz w:val="22"/>
                <w:szCs w:val="22"/>
                <w:highlight w:val="none"/>
              </w:rPr>
              <w:br w:type="page"/>
            </w:r>
          </w:p>
          <w:p w14:paraId="40818E0C">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 xml:space="preserve">□乱发津贴、补贴或领导干部违规领取薪酬 </w:t>
            </w:r>
          </w:p>
          <w:p w14:paraId="357AC352">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 xml:space="preserve">□违规报销费用 </w:t>
            </w:r>
          </w:p>
          <w:p w14:paraId="57E75D88">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 xml:space="preserve">□利用主管部门影响或行政资源不当牟利 </w:t>
            </w:r>
            <w:r>
              <w:rPr>
                <w:rFonts w:hint="eastAsia" w:ascii="宋体" w:hAnsi="宋体" w:cs="宋体"/>
                <w:kern w:val="0"/>
                <w:sz w:val="22"/>
                <w:szCs w:val="22"/>
                <w:highlight w:val="none"/>
              </w:rPr>
              <w:br w:type="page"/>
            </w:r>
          </w:p>
          <w:p w14:paraId="48F41F01">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 xml:space="preserve">□违规开展营利性活动或违法收费 </w:t>
            </w:r>
            <w:r>
              <w:rPr>
                <w:rFonts w:hint="eastAsia" w:ascii="宋体" w:hAnsi="宋体" w:cs="宋体"/>
                <w:kern w:val="0"/>
                <w:sz w:val="22"/>
                <w:szCs w:val="22"/>
                <w:highlight w:val="none"/>
              </w:rPr>
              <w:br w:type="page"/>
            </w:r>
          </w:p>
          <w:p w14:paraId="2F83DAF4">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 xml:space="preserve">□侵占、挪用、私分社团资产或挥霍浪费社团资产 </w:t>
            </w:r>
            <w:r>
              <w:rPr>
                <w:rFonts w:hint="eastAsia" w:ascii="宋体" w:hAnsi="宋体" w:cs="宋体"/>
                <w:kern w:val="0"/>
                <w:sz w:val="22"/>
                <w:szCs w:val="22"/>
                <w:highlight w:val="none"/>
              </w:rPr>
              <w:br w:type="page"/>
            </w:r>
          </w:p>
          <w:p w14:paraId="48EBF2F3">
            <w:pPr>
              <w:widowControl/>
              <w:jc w:val="left"/>
              <w:rPr>
                <w:rFonts w:ascii="宋体" w:hAnsi="宋体" w:cs="宋体"/>
                <w:kern w:val="0"/>
                <w:sz w:val="22"/>
                <w:szCs w:val="22"/>
                <w:highlight w:val="none"/>
              </w:rPr>
            </w:pPr>
            <w:r>
              <w:rPr>
                <w:rFonts w:hint="eastAsia" w:ascii="宋体" w:hAnsi="宋体" w:cs="宋体"/>
                <w:kern w:val="0"/>
                <w:sz w:val="22"/>
                <w:szCs w:val="22"/>
                <w:highlight w:val="none"/>
              </w:rPr>
              <w:t>□内部交易、徇私经营</w:t>
            </w:r>
          </w:p>
        </w:tc>
        <w:tc>
          <w:tcPr>
            <w:tcW w:w="283" w:type="pct"/>
            <w:tcBorders>
              <w:top w:val="nil"/>
              <w:left w:val="nil"/>
              <w:bottom w:val="single" w:color="auto" w:sz="4" w:space="0"/>
              <w:right w:val="single" w:color="auto" w:sz="4" w:space="0"/>
            </w:tcBorders>
            <w:noWrap/>
            <w:vAlign w:val="center"/>
          </w:tcPr>
          <w:p w14:paraId="0AE29A9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381210EE">
        <w:tblPrEx>
          <w:tblCellMar>
            <w:top w:w="0" w:type="dxa"/>
            <w:left w:w="108" w:type="dxa"/>
            <w:bottom w:w="0" w:type="dxa"/>
            <w:right w:w="108" w:type="dxa"/>
          </w:tblCellMar>
        </w:tblPrEx>
        <w:trPr>
          <w:trHeight w:val="975"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03417B8C">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12688C5C">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38B75FFE">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7D61B68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违规报销费用</w:t>
            </w:r>
          </w:p>
        </w:tc>
        <w:tc>
          <w:tcPr>
            <w:tcW w:w="2868" w:type="pct"/>
            <w:vMerge w:val="continue"/>
            <w:tcBorders>
              <w:top w:val="nil"/>
              <w:left w:val="single" w:color="auto" w:sz="4" w:space="0"/>
              <w:bottom w:val="single" w:color="auto" w:sz="4" w:space="0"/>
              <w:right w:val="single" w:color="auto" w:sz="4" w:space="0"/>
            </w:tcBorders>
            <w:noWrap w:val="0"/>
            <w:vAlign w:val="center"/>
          </w:tcPr>
          <w:p w14:paraId="4963F6DE">
            <w:pPr>
              <w:widowControl/>
              <w:jc w:val="left"/>
              <w:rPr>
                <w:rFonts w:ascii="宋体" w:hAnsi="宋体" w:cs="宋体"/>
                <w:kern w:val="0"/>
                <w:sz w:val="22"/>
                <w:szCs w:val="22"/>
                <w:highlight w:val="none"/>
              </w:rPr>
            </w:pPr>
          </w:p>
        </w:tc>
        <w:tc>
          <w:tcPr>
            <w:tcW w:w="283" w:type="pct"/>
            <w:tcBorders>
              <w:top w:val="nil"/>
              <w:left w:val="nil"/>
              <w:bottom w:val="single" w:color="auto" w:sz="4" w:space="0"/>
              <w:right w:val="single" w:color="auto" w:sz="4" w:space="0"/>
            </w:tcBorders>
            <w:noWrap/>
            <w:vAlign w:val="center"/>
          </w:tcPr>
          <w:p w14:paraId="4EF9CF1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5AEACEC0">
        <w:tblPrEx>
          <w:tblCellMar>
            <w:top w:w="0" w:type="dxa"/>
            <w:left w:w="108" w:type="dxa"/>
            <w:bottom w:w="0" w:type="dxa"/>
            <w:right w:w="108" w:type="dxa"/>
          </w:tblCellMar>
        </w:tblPrEx>
        <w:trPr>
          <w:trHeight w:val="1557"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20858C3B">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3CF736AA">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28B9263B">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78F17F3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利用主管部门影响或行政资源不当牟利</w:t>
            </w:r>
          </w:p>
        </w:tc>
        <w:tc>
          <w:tcPr>
            <w:tcW w:w="2868" w:type="pct"/>
            <w:vMerge w:val="continue"/>
            <w:tcBorders>
              <w:top w:val="nil"/>
              <w:left w:val="single" w:color="auto" w:sz="4" w:space="0"/>
              <w:bottom w:val="single" w:color="auto" w:sz="4" w:space="0"/>
              <w:right w:val="single" w:color="auto" w:sz="4" w:space="0"/>
            </w:tcBorders>
            <w:noWrap w:val="0"/>
            <w:vAlign w:val="center"/>
          </w:tcPr>
          <w:p w14:paraId="64DB5D9C">
            <w:pPr>
              <w:widowControl/>
              <w:jc w:val="left"/>
              <w:rPr>
                <w:rFonts w:ascii="宋体" w:hAnsi="宋体" w:cs="宋体"/>
                <w:kern w:val="0"/>
                <w:sz w:val="22"/>
                <w:szCs w:val="22"/>
                <w:highlight w:val="none"/>
              </w:rPr>
            </w:pPr>
          </w:p>
        </w:tc>
        <w:tc>
          <w:tcPr>
            <w:tcW w:w="283" w:type="pct"/>
            <w:tcBorders>
              <w:top w:val="nil"/>
              <w:left w:val="nil"/>
              <w:bottom w:val="single" w:color="auto" w:sz="4" w:space="0"/>
              <w:right w:val="single" w:color="auto" w:sz="4" w:space="0"/>
            </w:tcBorders>
            <w:noWrap/>
            <w:vAlign w:val="center"/>
          </w:tcPr>
          <w:p w14:paraId="171F62B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1E220E83">
        <w:tblPrEx>
          <w:tblCellMar>
            <w:top w:w="0" w:type="dxa"/>
            <w:left w:w="108" w:type="dxa"/>
            <w:bottom w:w="0" w:type="dxa"/>
            <w:right w:w="108" w:type="dxa"/>
          </w:tblCellMar>
        </w:tblPrEx>
        <w:trPr>
          <w:trHeight w:val="1395"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65F4C9DC">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60EFEB23">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5649E175">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4832A15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违规开展营利性活动或违法收费</w:t>
            </w:r>
          </w:p>
        </w:tc>
        <w:tc>
          <w:tcPr>
            <w:tcW w:w="2868" w:type="pct"/>
            <w:vMerge w:val="continue"/>
            <w:tcBorders>
              <w:top w:val="nil"/>
              <w:left w:val="single" w:color="auto" w:sz="4" w:space="0"/>
              <w:bottom w:val="single" w:color="auto" w:sz="4" w:space="0"/>
              <w:right w:val="single" w:color="auto" w:sz="4" w:space="0"/>
            </w:tcBorders>
            <w:noWrap w:val="0"/>
            <w:vAlign w:val="center"/>
          </w:tcPr>
          <w:p w14:paraId="003AAFBE">
            <w:pPr>
              <w:widowControl/>
              <w:jc w:val="left"/>
              <w:rPr>
                <w:rFonts w:ascii="宋体" w:hAnsi="宋体" w:cs="宋体"/>
                <w:kern w:val="0"/>
                <w:sz w:val="22"/>
                <w:szCs w:val="22"/>
                <w:highlight w:val="none"/>
              </w:rPr>
            </w:pPr>
          </w:p>
        </w:tc>
        <w:tc>
          <w:tcPr>
            <w:tcW w:w="283" w:type="pct"/>
            <w:tcBorders>
              <w:top w:val="nil"/>
              <w:left w:val="nil"/>
              <w:bottom w:val="single" w:color="auto" w:sz="4" w:space="0"/>
              <w:right w:val="single" w:color="auto" w:sz="4" w:space="0"/>
            </w:tcBorders>
            <w:noWrap/>
            <w:vAlign w:val="center"/>
          </w:tcPr>
          <w:p w14:paraId="54C8573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w:t>
            </w:r>
          </w:p>
        </w:tc>
      </w:tr>
      <w:tr w14:paraId="19A6E008">
        <w:tblPrEx>
          <w:tblCellMar>
            <w:top w:w="0" w:type="dxa"/>
            <w:left w:w="108" w:type="dxa"/>
            <w:bottom w:w="0" w:type="dxa"/>
            <w:right w:w="108" w:type="dxa"/>
          </w:tblCellMar>
        </w:tblPrEx>
        <w:trPr>
          <w:trHeight w:val="1639"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32C31DEA">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643F3CFF">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1AD0584E">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0D51E43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侵占、挪用、私分社团资产或挥霍浪费社团资产</w:t>
            </w:r>
          </w:p>
        </w:tc>
        <w:tc>
          <w:tcPr>
            <w:tcW w:w="2868" w:type="pct"/>
            <w:vMerge w:val="continue"/>
            <w:tcBorders>
              <w:top w:val="nil"/>
              <w:left w:val="single" w:color="auto" w:sz="4" w:space="0"/>
              <w:bottom w:val="single" w:color="auto" w:sz="4" w:space="0"/>
              <w:right w:val="single" w:color="auto" w:sz="4" w:space="0"/>
            </w:tcBorders>
            <w:noWrap w:val="0"/>
            <w:vAlign w:val="center"/>
          </w:tcPr>
          <w:p w14:paraId="0139C337">
            <w:pPr>
              <w:widowControl/>
              <w:jc w:val="left"/>
              <w:rPr>
                <w:rFonts w:ascii="宋体" w:hAnsi="宋体" w:cs="宋体"/>
                <w:kern w:val="0"/>
                <w:sz w:val="22"/>
                <w:szCs w:val="22"/>
                <w:highlight w:val="none"/>
              </w:rPr>
            </w:pPr>
          </w:p>
        </w:tc>
        <w:tc>
          <w:tcPr>
            <w:tcW w:w="283" w:type="pct"/>
            <w:tcBorders>
              <w:top w:val="nil"/>
              <w:left w:val="nil"/>
              <w:bottom w:val="single" w:color="auto" w:sz="4" w:space="0"/>
              <w:right w:val="single" w:color="auto" w:sz="4" w:space="0"/>
            </w:tcBorders>
            <w:noWrap/>
            <w:vAlign w:val="center"/>
          </w:tcPr>
          <w:p w14:paraId="6EFACB2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w:t>
            </w:r>
          </w:p>
        </w:tc>
      </w:tr>
      <w:tr w14:paraId="180752CD">
        <w:tblPrEx>
          <w:tblCellMar>
            <w:top w:w="0" w:type="dxa"/>
            <w:left w:w="108" w:type="dxa"/>
            <w:bottom w:w="0" w:type="dxa"/>
            <w:right w:w="108" w:type="dxa"/>
          </w:tblCellMar>
        </w:tblPrEx>
        <w:trPr>
          <w:trHeight w:val="927"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2BD71E4F">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186D65EE">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0C7462DE">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4213CB0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内部交易、徇私经营</w:t>
            </w:r>
          </w:p>
        </w:tc>
        <w:tc>
          <w:tcPr>
            <w:tcW w:w="2868" w:type="pct"/>
            <w:vMerge w:val="continue"/>
            <w:tcBorders>
              <w:top w:val="nil"/>
              <w:left w:val="single" w:color="auto" w:sz="4" w:space="0"/>
              <w:bottom w:val="single" w:color="auto" w:sz="4" w:space="0"/>
              <w:right w:val="single" w:color="auto" w:sz="4" w:space="0"/>
            </w:tcBorders>
            <w:noWrap w:val="0"/>
            <w:vAlign w:val="center"/>
          </w:tcPr>
          <w:p w14:paraId="1D96AA23">
            <w:pPr>
              <w:widowControl/>
              <w:jc w:val="left"/>
              <w:rPr>
                <w:rFonts w:ascii="宋体" w:hAnsi="宋体" w:cs="宋体"/>
                <w:kern w:val="0"/>
                <w:sz w:val="22"/>
                <w:szCs w:val="22"/>
                <w:highlight w:val="none"/>
              </w:rPr>
            </w:pPr>
          </w:p>
        </w:tc>
        <w:tc>
          <w:tcPr>
            <w:tcW w:w="283" w:type="pct"/>
            <w:tcBorders>
              <w:top w:val="nil"/>
              <w:left w:val="nil"/>
              <w:bottom w:val="single" w:color="auto" w:sz="4" w:space="0"/>
              <w:right w:val="single" w:color="auto" w:sz="4" w:space="0"/>
            </w:tcBorders>
            <w:noWrap/>
            <w:vAlign w:val="center"/>
          </w:tcPr>
          <w:p w14:paraId="159BBDD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335321A5">
        <w:tblPrEx>
          <w:tblCellMar>
            <w:top w:w="0" w:type="dxa"/>
            <w:left w:w="108" w:type="dxa"/>
            <w:bottom w:w="0" w:type="dxa"/>
            <w:right w:w="108" w:type="dxa"/>
          </w:tblCellMar>
        </w:tblPrEx>
        <w:trPr>
          <w:trHeight w:val="2203" w:hRule="atLeast"/>
        </w:trPr>
        <w:tc>
          <w:tcPr>
            <w:tcW w:w="445" w:type="pct"/>
            <w:vMerge w:val="restart"/>
            <w:tcBorders>
              <w:top w:val="nil"/>
              <w:left w:val="single" w:color="auto" w:sz="4" w:space="0"/>
              <w:bottom w:val="single" w:color="auto" w:sz="4" w:space="0"/>
              <w:right w:val="single" w:color="auto" w:sz="4" w:space="0"/>
            </w:tcBorders>
            <w:noWrap w:val="0"/>
            <w:vAlign w:val="center"/>
          </w:tcPr>
          <w:p w14:paraId="130FC9F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社会评价</w:t>
            </w:r>
          </w:p>
        </w:tc>
        <w:tc>
          <w:tcPr>
            <w:tcW w:w="457" w:type="pct"/>
            <w:vMerge w:val="restart"/>
            <w:tcBorders>
              <w:top w:val="nil"/>
              <w:left w:val="single" w:color="auto" w:sz="4" w:space="0"/>
              <w:bottom w:val="single" w:color="auto" w:sz="4" w:space="0"/>
              <w:right w:val="single" w:color="auto" w:sz="4" w:space="0"/>
            </w:tcBorders>
            <w:noWrap w:val="0"/>
            <w:vAlign w:val="center"/>
          </w:tcPr>
          <w:p w14:paraId="7338EA1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诚信建设</w:t>
            </w:r>
          </w:p>
        </w:tc>
        <w:tc>
          <w:tcPr>
            <w:tcW w:w="458" w:type="pct"/>
            <w:vMerge w:val="restart"/>
            <w:tcBorders>
              <w:top w:val="nil"/>
              <w:left w:val="single" w:color="auto" w:sz="4" w:space="0"/>
              <w:bottom w:val="single" w:color="auto" w:sz="4" w:space="0"/>
              <w:right w:val="single" w:color="auto" w:sz="4" w:space="0"/>
            </w:tcBorders>
            <w:noWrap w:val="0"/>
            <w:vAlign w:val="center"/>
          </w:tcPr>
          <w:p w14:paraId="3792E27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接受监管</w:t>
            </w:r>
          </w:p>
        </w:tc>
        <w:tc>
          <w:tcPr>
            <w:tcW w:w="489" w:type="pct"/>
            <w:tcBorders>
              <w:top w:val="nil"/>
              <w:left w:val="nil"/>
              <w:bottom w:val="single" w:color="auto" w:sz="4" w:space="0"/>
              <w:right w:val="single" w:color="auto" w:sz="4" w:space="0"/>
            </w:tcBorders>
            <w:noWrap w:val="0"/>
            <w:vAlign w:val="center"/>
          </w:tcPr>
          <w:p w14:paraId="27E8244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重大事项报告</w:t>
            </w:r>
          </w:p>
        </w:tc>
        <w:tc>
          <w:tcPr>
            <w:tcW w:w="2868" w:type="pct"/>
            <w:tcBorders>
              <w:top w:val="nil"/>
              <w:left w:val="nil"/>
              <w:bottom w:val="single" w:color="auto" w:sz="4" w:space="0"/>
              <w:right w:val="single" w:color="auto" w:sz="4" w:space="0"/>
            </w:tcBorders>
            <w:noWrap w:val="0"/>
            <w:vAlign w:val="center"/>
          </w:tcPr>
          <w:p w14:paraId="1529FA9D">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以下重大事项报告内容均报告的，得1分，任何一项未报告的，得0分：</w:t>
            </w:r>
            <w:r>
              <w:rPr>
                <w:rFonts w:hint="eastAsia" w:ascii="宋体" w:hAnsi="宋体" w:cs="宋体"/>
                <w:kern w:val="0"/>
                <w:sz w:val="22"/>
                <w:szCs w:val="22"/>
                <w:highlight w:val="none"/>
              </w:rPr>
              <w:br w:type="page"/>
            </w:r>
          </w:p>
          <w:p w14:paraId="66899549">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□召开重要会议，包括成立大会、换届会议</w:t>
            </w:r>
            <w:r>
              <w:rPr>
                <w:rFonts w:hint="eastAsia" w:ascii="宋体" w:hAnsi="宋体" w:cs="宋体"/>
                <w:kern w:val="0"/>
                <w:sz w:val="22"/>
                <w:szCs w:val="22"/>
                <w:highlight w:val="none"/>
              </w:rPr>
              <w:br w:type="page"/>
            </w:r>
          </w:p>
          <w:p w14:paraId="7991CF86">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□主要负责人发生变化</w:t>
            </w:r>
            <w:r>
              <w:rPr>
                <w:rFonts w:hint="eastAsia" w:ascii="宋体" w:hAnsi="宋体" w:cs="宋体"/>
                <w:kern w:val="0"/>
                <w:sz w:val="22"/>
                <w:szCs w:val="22"/>
                <w:highlight w:val="none"/>
              </w:rPr>
              <w:br w:type="page"/>
            </w:r>
          </w:p>
          <w:p w14:paraId="3A20E8D3">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□开展涉外活动，包括吸收境外人士担任本组织名誉职务或决策机构成员，接受境外组织、个人捐赠及资助，邀请境外人士或境外组织参加活动并加入国际组织</w:t>
            </w:r>
          </w:p>
          <w:p w14:paraId="4D758D74">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□设立经济实体</w:t>
            </w:r>
            <w:r>
              <w:rPr>
                <w:rFonts w:hint="eastAsia" w:ascii="宋体" w:hAnsi="宋体" w:cs="宋体"/>
                <w:kern w:val="0"/>
                <w:sz w:val="22"/>
                <w:szCs w:val="22"/>
                <w:highlight w:val="none"/>
              </w:rPr>
              <w:br w:type="page"/>
            </w:r>
          </w:p>
          <w:p w14:paraId="7003AFB5">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□开展重要活动，包括参加重大投资项目，接受和使用重大捐赠及资助</w:t>
            </w:r>
            <w:r>
              <w:rPr>
                <w:rFonts w:hint="eastAsia" w:ascii="宋体" w:hAnsi="宋体" w:cs="宋体"/>
                <w:kern w:val="0"/>
                <w:sz w:val="22"/>
                <w:szCs w:val="22"/>
                <w:highlight w:val="none"/>
              </w:rPr>
              <w:br w:type="page"/>
            </w:r>
          </w:p>
          <w:p w14:paraId="08000621">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□在活动中发现重要社情动态</w:t>
            </w:r>
            <w:r>
              <w:rPr>
                <w:rFonts w:hint="eastAsia" w:ascii="宋体" w:hAnsi="宋体" w:cs="宋体"/>
                <w:kern w:val="0"/>
                <w:sz w:val="22"/>
                <w:szCs w:val="22"/>
                <w:highlight w:val="none"/>
              </w:rPr>
              <w:br w:type="page"/>
            </w:r>
          </w:p>
          <w:p w14:paraId="61BDFAAB">
            <w:pPr>
              <w:widowControl/>
              <w:jc w:val="left"/>
              <w:rPr>
                <w:rFonts w:ascii="宋体" w:hAnsi="宋体" w:cs="宋体"/>
                <w:kern w:val="0"/>
                <w:sz w:val="22"/>
                <w:szCs w:val="22"/>
                <w:highlight w:val="none"/>
              </w:rPr>
            </w:pPr>
            <w:r>
              <w:rPr>
                <w:rFonts w:hint="eastAsia" w:ascii="宋体" w:hAnsi="宋体" w:cs="宋体"/>
                <w:kern w:val="0"/>
                <w:sz w:val="22"/>
                <w:szCs w:val="22"/>
                <w:highlight w:val="none"/>
              </w:rPr>
              <w:t>□发生重大突发事件等</w:t>
            </w:r>
          </w:p>
        </w:tc>
        <w:tc>
          <w:tcPr>
            <w:tcW w:w="283" w:type="pct"/>
            <w:tcBorders>
              <w:top w:val="nil"/>
              <w:left w:val="nil"/>
              <w:bottom w:val="single" w:color="auto" w:sz="4" w:space="0"/>
              <w:right w:val="single" w:color="auto" w:sz="4" w:space="0"/>
            </w:tcBorders>
            <w:noWrap/>
            <w:vAlign w:val="center"/>
          </w:tcPr>
          <w:p w14:paraId="5183821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24CF4CBB">
        <w:tblPrEx>
          <w:tblCellMar>
            <w:top w:w="0" w:type="dxa"/>
            <w:left w:w="108" w:type="dxa"/>
            <w:bottom w:w="0" w:type="dxa"/>
            <w:right w:w="108" w:type="dxa"/>
          </w:tblCellMar>
        </w:tblPrEx>
        <w:trPr>
          <w:trHeight w:val="1600"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221522A9">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0AFB4301">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1D3A2EA4">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64B9DCC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评比达标表彰报批</w:t>
            </w:r>
          </w:p>
        </w:tc>
        <w:tc>
          <w:tcPr>
            <w:tcW w:w="2868" w:type="pct"/>
            <w:tcBorders>
              <w:top w:val="nil"/>
              <w:left w:val="nil"/>
              <w:bottom w:val="single" w:color="auto" w:sz="4" w:space="0"/>
              <w:right w:val="single" w:color="auto" w:sz="4" w:space="0"/>
            </w:tcBorders>
            <w:noWrap w:val="0"/>
            <w:vAlign w:val="center"/>
          </w:tcPr>
          <w:p w14:paraId="0D31B7AE">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□经有关机关批准开展评比达标表彰活动，且严格遵守《社会组织评比达标表彰活动管理暂行规定》有关规定，得1分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□经有关机关批准开展评比达标表彰活动，但存在违反《社会组织评比达标表彰活动管理暂行规定》的情形，得0分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□未经报批开展评比达标表彰活动，得0分</w:t>
            </w:r>
          </w:p>
        </w:tc>
        <w:tc>
          <w:tcPr>
            <w:tcW w:w="283" w:type="pct"/>
            <w:tcBorders>
              <w:top w:val="nil"/>
              <w:left w:val="nil"/>
              <w:bottom w:val="single" w:color="auto" w:sz="4" w:space="0"/>
              <w:right w:val="single" w:color="auto" w:sz="4" w:space="0"/>
            </w:tcBorders>
            <w:noWrap/>
            <w:vAlign w:val="center"/>
          </w:tcPr>
          <w:p w14:paraId="0D0902B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69F9540D">
        <w:tblPrEx>
          <w:tblCellMar>
            <w:top w:w="0" w:type="dxa"/>
            <w:left w:w="108" w:type="dxa"/>
            <w:bottom w:w="0" w:type="dxa"/>
            <w:right w:w="108" w:type="dxa"/>
          </w:tblCellMar>
        </w:tblPrEx>
        <w:trPr>
          <w:trHeight w:val="1411"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0FC13859">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764A1B8C">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40BEE331">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49A3C9E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举办研讨会论坛报批</w:t>
            </w:r>
          </w:p>
        </w:tc>
        <w:tc>
          <w:tcPr>
            <w:tcW w:w="2868" w:type="pct"/>
            <w:tcBorders>
              <w:top w:val="nil"/>
              <w:left w:val="nil"/>
              <w:bottom w:val="single" w:color="auto" w:sz="4" w:space="0"/>
              <w:right w:val="single" w:color="auto" w:sz="4" w:space="0"/>
            </w:tcBorders>
            <w:noWrap w:val="0"/>
            <w:vAlign w:val="center"/>
          </w:tcPr>
          <w:p w14:paraId="0F093334">
            <w:pPr>
              <w:widowControl/>
              <w:jc w:val="left"/>
              <w:rPr>
                <w:rFonts w:ascii="宋体" w:hAnsi="宋体" w:cs="宋体"/>
                <w:kern w:val="0"/>
                <w:sz w:val="22"/>
                <w:szCs w:val="22"/>
                <w:highlight w:val="none"/>
              </w:rPr>
            </w:pPr>
            <w:r>
              <w:rPr>
                <w:rFonts w:hint="eastAsia" w:ascii="宋体" w:hAnsi="宋体" w:cs="宋体"/>
                <w:kern w:val="0"/>
                <w:sz w:val="22"/>
                <w:szCs w:val="22"/>
                <w:highlight w:val="none"/>
              </w:rPr>
              <w:t>□经有关机关批准举办研讨会、论坛，且严格遵守《社会组织举办研讨会论坛活动管理办法》有关规定，得1分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□经有关机关批准举办研讨会、论坛，但存在违反《社会组织举办研讨会论坛活动管理办法》的情形，得0分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□未经报批举办研讨会、论坛活动，得0分</w:t>
            </w:r>
          </w:p>
        </w:tc>
        <w:tc>
          <w:tcPr>
            <w:tcW w:w="283" w:type="pct"/>
            <w:tcBorders>
              <w:top w:val="nil"/>
              <w:left w:val="nil"/>
              <w:bottom w:val="single" w:color="auto" w:sz="4" w:space="0"/>
              <w:right w:val="single" w:color="auto" w:sz="4" w:space="0"/>
            </w:tcBorders>
            <w:noWrap/>
            <w:vAlign w:val="center"/>
          </w:tcPr>
          <w:p w14:paraId="14225B8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4D48F89A">
        <w:tblPrEx>
          <w:tblCellMar>
            <w:top w:w="0" w:type="dxa"/>
            <w:left w:w="108" w:type="dxa"/>
            <w:bottom w:w="0" w:type="dxa"/>
            <w:right w:w="108" w:type="dxa"/>
          </w:tblCellMar>
        </w:tblPrEx>
        <w:trPr>
          <w:trHeight w:val="1247"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65749FB3">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0C1E9F26">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1FFA4BF1">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68192D2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完成登记管理机关及其他部门部署的工作任务</w:t>
            </w:r>
          </w:p>
        </w:tc>
        <w:tc>
          <w:tcPr>
            <w:tcW w:w="2868" w:type="pct"/>
            <w:tcBorders>
              <w:top w:val="nil"/>
              <w:left w:val="nil"/>
              <w:bottom w:val="single" w:color="auto" w:sz="4" w:space="0"/>
              <w:right w:val="single" w:color="auto" w:sz="4" w:space="0"/>
            </w:tcBorders>
            <w:noWrap w:val="0"/>
            <w:vAlign w:val="center"/>
          </w:tcPr>
          <w:p w14:paraId="00DF2BAF">
            <w:pPr>
              <w:widowControl/>
              <w:jc w:val="left"/>
              <w:rPr>
                <w:rFonts w:ascii="宋体" w:hAnsi="宋体" w:cs="宋体"/>
                <w:kern w:val="0"/>
                <w:sz w:val="22"/>
                <w:szCs w:val="22"/>
                <w:highlight w:val="none"/>
              </w:rPr>
            </w:pPr>
            <w:r>
              <w:rPr>
                <w:rFonts w:hint="eastAsia" w:ascii="宋体" w:hAnsi="宋体" w:cs="宋体"/>
                <w:kern w:val="0"/>
                <w:sz w:val="22"/>
                <w:szCs w:val="22"/>
                <w:highlight w:val="none"/>
              </w:rPr>
              <w:t>□对登记管理机关及其他部门部署的工作任务完成较好，得1分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□对登记管理机关及其他部门部署的工作任务完成一般，得0.5分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□未按照登记管理机关及其他部门的要求完成有关工作任务，得0分</w:t>
            </w:r>
          </w:p>
        </w:tc>
        <w:tc>
          <w:tcPr>
            <w:tcW w:w="283" w:type="pct"/>
            <w:tcBorders>
              <w:top w:val="nil"/>
              <w:left w:val="nil"/>
              <w:bottom w:val="single" w:color="auto" w:sz="4" w:space="0"/>
              <w:right w:val="single" w:color="auto" w:sz="4" w:space="0"/>
            </w:tcBorders>
            <w:noWrap/>
            <w:vAlign w:val="center"/>
          </w:tcPr>
          <w:p w14:paraId="1ED80FF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71C19BB9">
        <w:tblPrEx>
          <w:tblCellMar>
            <w:top w:w="0" w:type="dxa"/>
            <w:left w:w="108" w:type="dxa"/>
            <w:bottom w:w="0" w:type="dxa"/>
            <w:right w:w="108" w:type="dxa"/>
          </w:tblCellMar>
        </w:tblPrEx>
        <w:trPr>
          <w:trHeight w:val="1251"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2159770E">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01A8279D">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046E4E4C">
            <w:pPr>
              <w:widowControl/>
              <w:jc w:val="left"/>
              <w:rPr>
                <w:rFonts w:ascii="宋体" w:hAnsi="宋体" w:cs="宋体"/>
                <w:kern w:val="0"/>
                <w:sz w:val="22"/>
                <w:szCs w:val="22"/>
                <w:highlight w:val="none"/>
              </w:rPr>
            </w:pPr>
          </w:p>
        </w:tc>
        <w:tc>
          <w:tcPr>
            <w:tcW w:w="489" w:type="pct"/>
            <w:tcBorders>
              <w:top w:val="nil"/>
              <w:left w:val="nil"/>
              <w:bottom w:val="single" w:color="auto" w:sz="4" w:space="0"/>
              <w:right w:val="single" w:color="auto" w:sz="4" w:space="0"/>
            </w:tcBorders>
            <w:noWrap w:val="0"/>
            <w:vAlign w:val="center"/>
          </w:tcPr>
          <w:p w14:paraId="1898D658">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积极参加登记管理机关举办的各项活动</w:t>
            </w:r>
          </w:p>
        </w:tc>
        <w:tc>
          <w:tcPr>
            <w:tcW w:w="2868" w:type="pct"/>
            <w:tcBorders>
              <w:top w:val="nil"/>
              <w:left w:val="nil"/>
              <w:bottom w:val="single" w:color="auto" w:sz="4" w:space="0"/>
              <w:right w:val="single" w:color="auto" w:sz="4" w:space="0"/>
            </w:tcBorders>
            <w:noWrap w:val="0"/>
            <w:vAlign w:val="center"/>
          </w:tcPr>
          <w:p w14:paraId="7F1EE0C2">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□积极参加登记管理机关举办的各项活动，得1分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□未按照要求参加登记管理机关举办的各项活动，得0分</w:t>
            </w:r>
          </w:p>
        </w:tc>
        <w:tc>
          <w:tcPr>
            <w:tcW w:w="283" w:type="pct"/>
            <w:tcBorders>
              <w:top w:val="nil"/>
              <w:left w:val="nil"/>
              <w:bottom w:val="single" w:color="auto" w:sz="4" w:space="0"/>
              <w:right w:val="single" w:color="auto" w:sz="4" w:space="0"/>
            </w:tcBorders>
            <w:noWrap/>
            <w:vAlign w:val="center"/>
          </w:tcPr>
          <w:p w14:paraId="67BABD7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05283CE7">
        <w:tblPrEx>
          <w:tblCellMar>
            <w:top w:w="0" w:type="dxa"/>
            <w:left w:w="108" w:type="dxa"/>
            <w:bottom w:w="0" w:type="dxa"/>
            <w:right w:w="108" w:type="dxa"/>
          </w:tblCellMar>
        </w:tblPrEx>
        <w:trPr>
          <w:trHeight w:val="3195" w:hRule="atLeast"/>
        </w:trPr>
        <w:tc>
          <w:tcPr>
            <w:tcW w:w="445" w:type="pct"/>
            <w:vMerge w:val="restart"/>
            <w:tcBorders>
              <w:top w:val="nil"/>
              <w:left w:val="single" w:color="auto" w:sz="4" w:space="0"/>
              <w:bottom w:val="single" w:color="auto" w:sz="4" w:space="0"/>
              <w:right w:val="single" w:color="auto" w:sz="4" w:space="0"/>
            </w:tcBorders>
            <w:noWrap w:val="0"/>
            <w:vAlign w:val="center"/>
          </w:tcPr>
          <w:p w14:paraId="7BA411A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社会评价</w:t>
            </w:r>
          </w:p>
        </w:tc>
        <w:tc>
          <w:tcPr>
            <w:tcW w:w="457" w:type="pct"/>
            <w:vMerge w:val="restart"/>
            <w:tcBorders>
              <w:top w:val="nil"/>
              <w:left w:val="single" w:color="auto" w:sz="4" w:space="0"/>
              <w:bottom w:val="single" w:color="auto" w:sz="4" w:space="0"/>
              <w:right w:val="single" w:color="auto" w:sz="4" w:space="0"/>
            </w:tcBorders>
            <w:noWrap w:val="0"/>
            <w:vAlign w:val="center"/>
          </w:tcPr>
          <w:p w14:paraId="51490EB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内部评价</w:t>
            </w:r>
          </w:p>
        </w:tc>
        <w:tc>
          <w:tcPr>
            <w:tcW w:w="458" w:type="pct"/>
            <w:tcBorders>
              <w:top w:val="nil"/>
              <w:left w:val="nil"/>
              <w:bottom w:val="single" w:color="auto" w:sz="4" w:space="0"/>
              <w:right w:val="single" w:color="auto" w:sz="4" w:space="0"/>
            </w:tcBorders>
            <w:noWrap w:val="0"/>
            <w:vAlign w:val="center"/>
          </w:tcPr>
          <w:p w14:paraId="2118932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会员评价</w:t>
            </w:r>
          </w:p>
        </w:tc>
        <w:tc>
          <w:tcPr>
            <w:tcW w:w="489" w:type="pct"/>
            <w:tcBorders>
              <w:top w:val="nil"/>
              <w:left w:val="nil"/>
              <w:bottom w:val="single" w:color="auto" w:sz="4" w:space="0"/>
              <w:right w:val="single" w:color="auto" w:sz="4" w:space="0"/>
            </w:tcBorders>
            <w:noWrap w:val="0"/>
            <w:vAlign w:val="center"/>
          </w:tcPr>
          <w:p w14:paraId="0E388DC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对召开会员大会、民主办会、信息公开、维护行业利益、接受会员监督、会费管理等内容的评价</w:t>
            </w:r>
          </w:p>
        </w:tc>
        <w:tc>
          <w:tcPr>
            <w:tcW w:w="2868" w:type="pct"/>
            <w:tcBorders>
              <w:top w:val="nil"/>
              <w:left w:val="nil"/>
              <w:bottom w:val="single" w:color="auto" w:sz="4" w:space="0"/>
              <w:right w:val="single" w:color="auto" w:sz="4" w:space="0"/>
            </w:tcBorders>
            <w:noWrap w:val="0"/>
            <w:vAlign w:val="center"/>
          </w:tcPr>
          <w:p w14:paraId="69C9BDC2">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通过会员通讯录，进行抽样调查，按百分比评分  </w:t>
            </w:r>
            <w:r>
              <w:rPr>
                <w:rFonts w:hint="eastAsia" w:ascii="宋体" w:hAnsi="宋体" w:cs="宋体"/>
                <w:kern w:val="0"/>
                <w:sz w:val="22"/>
                <w:szCs w:val="22"/>
                <w:highlight w:val="none"/>
              </w:rPr>
              <w:br w:type="page"/>
            </w:r>
          </w:p>
        </w:tc>
        <w:tc>
          <w:tcPr>
            <w:tcW w:w="283" w:type="pct"/>
            <w:tcBorders>
              <w:top w:val="nil"/>
              <w:left w:val="nil"/>
              <w:bottom w:val="single" w:color="auto" w:sz="4" w:space="0"/>
              <w:right w:val="single" w:color="auto" w:sz="4" w:space="0"/>
            </w:tcBorders>
            <w:noWrap/>
            <w:vAlign w:val="center"/>
          </w:tcPr>
          <w:p w14:paraId="4E5AB28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47112733">
        <w:tblPrEx>
          <w:tblCellMar>
            <w:top w:w="0" w:type="dxa"/>
            <w:left w:w="108" w:type="dxa"/>
            <w:bottom w:w="0" w:type="dxa"/>
            <w:right w:w="108" w:type="dxa"/>
          </w:tblCellMar>
        </w:tblPrEx>
        <w:trPr>
          <w:trHeight w:val="2091"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7EBD93C4">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0D1CBA37">
            <w:pPr>
              <w:widowControl/>
              <w:jc w:val="left"/>
              <w:rPr>
                <w:rFonts w:ascii="宋体" w:hAnsi="宋体" w:cs="宋体"/>
                <w:kern w:val="0"/>
                <w:sz w:val="22"/>
                <w:szCs w:val="22"/>
                <w:highlight w:val="none"/>
              </w:rPr>
            </w:pPr>
          </w:p>
        </w:tc>
        <w:tc>
          <w:tcPr>
            <w:tcW w:w="458" w:type="pct"/>
            <w:tcBorders>
              <w:top w:val="nil"/>
              <w:left w:val="nil"/>
              <w:bottom w:val="single" w:color="auto" w:sz="4" w:space="0"/>
              <w:right w:val="single" w:color="auto" w:sz="4" w:space="0"/>
            </w:tcBorders>
            <w:noWrap w:val="0"/>
            <w:vAlign w:val="center"/>
          </w:tcPr>
          <w:p w14:paraId="7E19483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班子成员评价</w:t>
            </w:r>
          </w:p>
        </w:tc>
        <w:tc>
          <w:tcPr>
            <w:tcW w:w="489" w:type="pct"/>
            <w:tcBorders>
              <w:top w:val="nil"/>
              <w:left w:val="nil"/>
              <w:bottom w:val="single" w:color="auto" w:sz="4" w:space="0"/>
              <w:right w:val="single" w:color="auto" w:sz="4" w:space="0"/>
            </w:tcBorders>
            <w:noWrap w:val="0"/>
            <w:vAlign w:val="center"/>
          </w:tcPr>
          <w:p w14:paraId="5D74F6D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对领导班子、规范化管理、财务公开、创新能力的评价</w:t>
            </w:r>
          </w:p>
        </w:tc>
        <w:tc>
          <w:tcPr>
            <w:tcW w:w="2868" w:type="pct"/>
            <w:tcBorders>
              <w:top w:val="nil"/>
              <w:left w:val="nil"/>
              <w:bottom w:val="single" w:color="auto" w:sz="4" w:space="0"/>
              <w:right w:val="single" w:color="auto" w:sz="4" w:space="0"/>
            </w:tcBorders>
            <w:noWrap w:val="0"/>
            <w:vAlign w:val="center"/>
          </w:tcPr>
          <w:p w14:paraId="17E12EB8">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按百分比评分 </w:t>
            </w:r>
          </w:p>
        </w:tc>
        <w:tc>
          <w:tcPr>
            <w:tcW w:w="283" w:type="pct"/>
            <w:tcBorders>
              <w:top w:val="nil"/>
              <w:left w:val="nil"/>
              <w:bottom w:val="single" w:color="auto" w:sz="4" w:space="0"/>
              <w:right w:val="single" w:color="auto" w:sz="4" w:space="0"/>
            </w:tcBorders>
            <w:noWrap/>
            <w:vAlign w:val="center"/>
          </w:tcPr>
          <w:p w14:paraId="2949F5B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379483B1">
        <w:tblPrEx>
          <w:tblCellMar>
            <w:top w:w="0" w:type="dxa"/>
            <w:left w:w="108" w:type="dxa"/>
            <w:bottom w:w="0" w:type="dxa"/>
            <w:right w:w="108" w:type="dxa"/>
          </w:tblCellMar>
        </w:tblPrEx>
        <w:trPr>
          <w:trHeight w:val="1427"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4E61FC80">
            <w:pPr>
              <w:widowControl/>
              <w:jc w:val="left"/>
              <w:rPr>
                <w:rFonts w:ascii="宋体" w:hAnsi="宋体" w:cs="宋体"/>
                <w:kern w:val="0"/>
                <w:sz w:val="22"/>
                <w:szCs w:val="22"/>
                <w:highlight w:val="none"/>
              </w:rPr>
            </w:pPr>
          </w:p>
        </w:tc>
        <w:tc>
          <w:tcPr>
            <w:tcW w:w="457" w:type="pct"/>
            <w:vMerge w:val="restart"/>
            <w:tcBorders>
              <w:top w:val="nil"/>
              <w:left w:val="single" w:color="auto" w:sz="4" w:space="0"/>
              <w:bottom w:val="single" w:color="auto" w:sz="4" w:space="0"/>
              <w:right w:val="single" w:color="auto" w:sz="4" w:space="0"/>
            </w:tcBorders>
            <w:noWrap w:val="0"/>
            <w:vAlign w:val="center"/>
          </w:tcPr>
          <w:p w14:paraId="003F59D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外部评价</w:t>
            </w:r>
          </w:p>
        </w:tc>
        <w:tc>
          <w:tcPr>
            <w:tcW w:w="458" w:type="pct"/>
            <w:tcBorders>
              <w:top w:val="nil"/>
              <w:left w:val="nil"/>
              <w:bottom w:val="single" w:color="auto" w:sz="4" w:space="0"/>
              <w:right w:val="single" w:color="auto" w:sz="4" w:space="0"/>
            </w:tcBorders>
            <w:noWrap w:val="0"/>
            <w:vAlign w:val="center"/>
          </w:tcPr>
          <w:p w14:paraId="0B3813D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政府部门评价</w:t>
            </w:r>
          </w:p>
        </w:tc>
        <w:tc>
          <w:tcPr>
            <w:tcW w:w="489" w:type="pct"/>
            <w:tcBorders>
              <w:top w:val="nil"/>
              <w:left w:val="nil"/>
              <w:bottom w:val="single" w:color="auto" w:sz="4" w:space="0"/>
              <w:right w:val="single" w:color="auto" w:sz="4" w:space="0"/>
            </w:tcBorders>
            <w:noWrap w:val="0"/>
            <w:vAlign w:val="center"/>
          </w:tcPr>
          <w:p w14:paraId="2457E31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政府部门的表彰奖励</w:t>
            </w:r>
          </w:p>
        </w:tc>
        <w:tc>
          <w:tcPr>
            <w:tcW w:w="2868" w:type="pct"/>
            <w:tcBorders>
              <w:top w:val="nil"/>
              <w:left w:val="nil"/>
              <w:bottom w:val="single" w:color="auto" w:sz="4" w:space="0"/>
              <w:right w:val="single" w:color="auto" w:sz="4" w:space="0"/>
            </w:tcBorders>
            <w:noWrap w:val="0"/>
            <w:vAlign w:val="center"/>
          </w:tcPr>
          <w:p w14:paraId="61207AC3">
            <w:pPr>
              <w:widowControl/>
              <w:jc w:val="left"/>
              <w:rPr>
                <w:rFonts w:ascii="宋体" w:hAnsi="宋体" w:cs="宋体"/>
                <w:kern w:val="0"/>
                <w:sz w:val="22"/>
                <w:szCs w:val="22"/>
                <w:highlight w:val="none"/>
              </w:rPr>
            </w:pPr>
            <w:r>
              <w:rPr>
                <w:rFonts w:hint="eastAsia" w:ascii="宋体" w:hAnsi="宋体" w:cs="宋体"/>
                <w:kern w:val="0"/>
                <w:sz w:val="22"/>
                <w:szCs w:val="22"/>
                <w:highlight w:val="none"/>
                <w:lang w:eastAsia="zh-CN"/>
              </w:rPr>
              <w:t>市</w:t>
            </w:r>
            <w:r>
              <w:rPr>
                <w:rFonts w:hint="eastAsia" w:ascii="宋体" w:hAnsi="宋体" w:cs="宋体"/>
                <w:kern w:val="0"/>
                <w:sz w:val="22"/>
                <w:szCs w:val="22"/>
                <w:highlight w:val="none"/>
              </w:rPr>
              <w:t>以上领导对其典型经验给予批示表扬1次得1分，在</w:t>
            </w:r>
            <w:r>
              <w:rPr>
                <w:rFonts w:hint="eastAsia" w:ascii="宋体" w:hAnsi="宋体" w:cs="宋体"/>
                <w:kern w:val="0"/>
                <w:sz w:val="22"/>
                <w:szCs w:val="22"/>
                <w:highlight w:val="none"/>
                <w:lang w:eastAsia="zh-CN"/>
              </w:rPr>
              <w:t>市</w:t>
            </w:r>
            <w:r>
              <w:rPr>
                <w:rFonts w:hint="eastAsia" w:ascii="宋体" w:hAnsi="宋体" w:cs="宋体"/>
                <w:kern w:val="0"/>
                <w:sz w:val="22"/>
                <w:szCs w:val="22"/>
                <w:highlight w:val="none"/>
              </w:rPr>
              <w:t>级部门及</w:t>
            </w:r>
            <w:r>
              <w:rPr>
                <w:rFonts w:hint="eastAsia" w:ascii="宋体" w:hAnsi="宋体" w:cs="宋体"/>
                <w:kern w:val="0"/>
                <w:sz w:val="22"/>
                <w:szCs w:val="22"/>
                <w:highlight w:val="none"/>
                <w:lang w:eastAsia="zh-CN"/>
              </w:rPr>
              <w:t>区县</w:t>
            </w:r>
            <w:r>
              <w:rPr>
                <w:rFonts w:hint="eastAsia" w:ascii="宋体" w:hAnsi="宋体" w:cs="宋体"/>
                <w:kern w:val="0"/>
                <w:sz w:val="22"/>
                <w:szCs w:val="22"/>
                <w:highlight w:val="none"/>
              </w:rPr>
              <w:t>党委政府工作会议上作典型发言1次得0.2分,</w:t>
            </w:r>
            <w:r>
              <w:rPr>
                <w:rFonts w:hint="eastAsia" w:ascii="宋体" w:hAnsi="宋体" w:cs="宋体"/>
                <w:kern w:val="0"/>
                <w:sz w:val="22"/>
                <w:szCs w:val="22"/>
                <w:highlight w:val="none"/>
                <w:lang w:eastAsia="zh-CN"/>
              </w:rPr>
              <w:t>市</w:t>
            </w:r>
            <w:r>
              <w:rPr>
                <w:rFonts w:hint="eastAsia" w:ascii="宋体" w:hAnsi="宋体" w:cs="宋体"/>
                <w:kern w:val="0"/>
                <w:sz w:val="22"/>
                <w:szCs w:val="22"/>
                <w:highlight w:val="none"/>
              </w:rPr>
              <w:t>级部门及</w:t>
            </w:r>
            <w:r>
              <w:rPr>
                <w:rFonts w:hint="eastAsia" w:ascii="宋体" w:hAnsi="宋体" w:cs="宋体"/>
                <w:kern w:val="0"/>
                <w:sz w:val="22"/>
                <w:szCs w:val="22"/>
                <w:highlight w:val="none"/>
                <w:lang w:eastAsia="zh-CN"/>
              </w:rPr>
              <w:t>区县</w:t>
            </w:r>
            <w:r>
              <w:rPr>
                <w:rFonts w:hint="eastAsia" w:ascii="宋体" w:hAnsi="宋体" w:cs="宋体"/>
                <w:kern w:val="0"/>
                <w:sz w:val="22"/>
                <w:szCs w:val="22"/>
                <w:highlight w:val="none"/>
              </w:rPr>
              <w:t>党委政府表彰和奖励1次得0.5分，加满为止。</w:t>
            </w:r>
          </w:p>
        </w:tc>
        <w:tc>
          <w:tcPr>
            <w:tcW w:w="283" w:type="pct"/>
            <w:tcBorders>
              <w:top w:val="nil"/>
              <w:left w:val="nil"/>
              <w:bottom w:val="single" w:color="auto" w:sz="4" w:space="0"/>
              <w:right w:val="single" w:color="auto" w:sz="4" w:space="0"/>
            </w:tcBorders>
            <w:noWrap/>
            <w:vAlign w:val="center"/>
          </w:tcPr>
          <w:p w14:paraId="172891D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7C5AE3DD">
        <w:tblPrEx>
          <w:tblCellMar>
            <w:top w:w="0" w:type="dxa"/>
            <w:left w:w="108" w:type="dxa"/>
            <w:bottom w:w="0" w:type="dxa"/>
            <w:right w:w="108" w:type="dxa"/>
          </w:tblCellMar>
        </w:tblPrEx>
        <w:trPr>
          <w:trHeight w:val="1247" w:hRule="atLeast"/>
        </w:trPr>
        <w:tc>
          <w:tcPr>
            <w:tcW w:w="445" w:type="pct"/>
            <w:vMerge w:val="continue"/>
            <w:tcBorders>
              <w:top w:val="nil"/>
              <w:left w:val="single" w:color="auto" w:sz="4" w:space="0"/>
              <w:bottom w:val="single" w:color="auto" w:sz="4" w:space="0"/>
              <w:right w:val="single" w:color="auto" w:sz="4" w:space="0"/>
            </w:tcBorders>
            <w:noWrap w:val="0"/>
            <w:vAlign w:val="center"/>
          </w:tcPr>
          <w:p w14:paraId="28BD4ABC">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69174830">
            <w:pPr>
              <w:widowControl/>
              <w:jc w:val="left"/>
              <w:rPr>
                <w:rFonts w:ascii="宋体" w:hAnsi="宋体" w:cs="宋体"/>
                <w:kern w:val="0"/>
                <w:sz w:val="22"/>
                <w:szCs w:val="22"/>
                <w:highlight w:val="none"/>
              </w:rPr>
            </w:pPr>
          </w:p>
        </w:tc>
        <w:tc>
          <w:tcPr>
            <w:tcW w:w="458" w:type="pct"/>
            <w:tcBorders>
              <w:top w:val="nil"/>
              <w:left w:val="nil"/>
              <w:bottom w:val="single" w:color="auto" w:sz="4" w:space="0"/>
              <w:right w:val="single" w:color="auto" w:sz="4" w:space="0"/>
            </w:tcBorders>
            <w:noWrap w:val="0"/>
            <w:vAlign w:val="center"/>
          </w:tcPr>
          <w:p w14:paraId="606EB3E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社会评价</w:t>
            </w:r>
          </w:p>
        </w:tc>
        <w:tc>
          <w:tcPr>
            <w:tcW w:w="489" w:type="pct"/>
            <w:tcBorders>
              <w:top w:val="nil"/>
              <w:left w:val="nil"/>
              <w:bottom w:val="single" w:color="auto" w:sz="4" w:space="0"/>
              <w:right w:val="single" w:color="auto" w:sz="4" w:space="0"/>
            </w:tcBorders>
            <w:noWrap w:val="0"/>
            <w:vAlign w:val="center"/>
          </w:tcPr>
          <w:p w14:paraId="531CD88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行业领域及服务对象评价</w:t>
            </w:r>
          </w:p>
        </w:tc>
        <w:tc>
          <w:tcPr>
            <w:tcW w:w="2868" w:type="pct"/>
            <w:tcBorders>
              <w:top w:val="nil"/>
              <w:left w:val="nil"/>
              <w:bottom w:val="single" w:color="auto" w:sz="4" w:space="0"/>
              <w:right w:val="single" w:color="auto" w:sz="4" w:space="0"/>
            </w:tcBorders>
            <w:noWrap w:val="0"/>
            <w:vAlign w:val="center"/>
          </w:tcPr>
          <w:p w14:paraId="14DB8EBA">
            <w:pPr>
              <w:widowControl/>
              <w:jc w:val="left"/>
              <w:rPr>
                <w:rFonts w:ascii="宋体" w:hAnsi="宋体" w:cs="宋体"/>
                <w:kern w:val="0"/>
                <w:sz w:val="22"/>
                <w:szCs w:val="22"/>
                <w:highlight w:val="none"/>
              </w:rPr>
            </w:pPr>
            <w:r>
              <w:rPr>
                <w:rFonts w:hint="eastAsia" w:ascii="宋体" w:hAnsi="宋体" w:cs="宋体"/>
                <w:kern w:val="0"/>
                <w:sz w:val="22"/>
                <w:szCs w:val="22"/>
                <w:highlight w:val="none"/>
              </w:rPr>
              <w:t>受到同类全国性</w:t>
            </w:r>
            <w:r>
              <w:rPr>
                <w:rFonts w:hint="eastAsia" w:ascii="宋体" w:hAnsi="宋体" w:cs="宋体"/>
                <w:kern w:val="0"/>
                <w:sz w:val="22"/>
                <w:szCs w:val="22"/>
                <w:highlight w:val="none"/>
                <w:lang w:eastAsia="zh-CN"/>
              </w:rPr>
              <w:t>、全省性</w:t>
            </w:r>
            <w:r>
              <w:rPr>
                <w:rFonts w:hint="eastAsia" w:ascii="宋体" w:hAnsi="宋体" w:cs="宋体"/>
                <w:kern w:val="0"/>
                <w:sz w:val="22"/>
                <w:szCs w:val="22"/>
                <w:highlight w:val="none"/>
              </w:rPr>
              <w:t>组织</w:t>
            </w:r>
            <w:r>
              <w:rPr>
                <w:rFonts w:hint="eastAsia" w:ascii="宋体" w:hAnsi="宋体" w:cs="宋体"/>
                <w:kern w:val="0"/>
                <w:sz w:val="22"/>
                <w:szCs w:val="22"/>
                <w:highlight w:val="none"/>
                <w:lang w:eastAsia="zh-CN"/>
              </w:rPr>
              <w:t>，</w:t>
            </w:r>
            <w:r>
              <w:rPr>
                <w:rFonts w:hint="eastAsia" w:ascii="宋体" w:hAnsi="宋体" w:cs="宋体"/>
                <w:kern w:val="0"/>
                <w:sz w:val="22"/>
                <w:szCs w:val="22"/>
                <w:highlight w:val="none"/>
              </w:rPr>
              <w:t>行业领域内的其他组织</w:t>
            </w:r>
            <w:r>
              <w:rPr>
                <w:rFonts w:hint="eastAsia" w:ascii="宋体" w:hAnsi="宋体" w:cs="宋体"/>
                <w:kern w:val="0"/>
                <w:sz w:val="22"/>
                <w:szCs w:val="22"/>
                <w:highlight w:val="none"/>
                <w:lang w:eastAsia="zh-CN"/>
              </w:rPr>
              <w:t>，</w:t>
            </w:r>
            <w:r>
              <w:rPr>
                <w:rFonts w:hint="eastAsia" w:ascii="宋体" w:hAnsi="宋体" w:cs="宋体"/>
                <w:kern w:val="0"/>
                <w:sz w:val="22"/>
                <w:szCs w:val="22"/>
                <w:highlight w:val="none"/>
              </w:rPr>
              <w:t>会员以外服务对象的表扬，得0.5分</w:t>
            </w:r>
          </w:p>
        </w:tc>
        <w:tc>
          <w:tcPr>
            <w:tcW w:w="283" w:type="pct"/>
            <w:tcBorders>
              <w:top w:val="nil"/>
              <w:left w:val="nil"/>
              <w:bottom w:val="single" w:color="auto" w:sz="4" w:space="0"/>
              <w:right w:val="single" w:color="auto" w:sz="4" w:space="0"/>
            </w:tcBorders>
            <w:noWrap/>
            <w:vAlign w:val="center"/>
          </w:tcPr>
          <w:p w14:paraId="62164D8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bl>
    <w:p w14:paraId="0C254F83">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2JmN2NhNTRkMTk3NTJiZmZlOGNiMTkwNTczMGQifQ=="/>
  </w:docVars>
  <w:rsids>
    <w:rsidRoot w:val="00000000"/>
    <w:rsid w:val="4814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0</Words>
  <Characters>0</Characters>
  <Lines>0</Lines>
  <Paragraphs>0</Paragraphs>
  <TotalTime>0</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2024-07-02T03:17:20Z</dcterms:created>
  <dc:creator>Administrator</dc:creator>
  <cp:lastModifiedBy>Administrator</cp:lastModifiedBy>
  <dcterms:modified xsi:type="dcterms:W3CDTF">2024-07-02T03:17:54Z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1B2CC3590A1F4A1591551F6D14537C84_12</vt:lpwstr>
  </property>
</Properties>
</file>