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淄博市淄川区民政局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2023年政府信息公开工作年度报告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所列数据</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统计期限</w:t>
      </w: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年1月1日</w:t>
      </w:r>
      <w:r>
        <w:rPr>
          <w:rFonts w:hint="eastAsia" w:ascii="仿宋_GB2312" w:hAnsi="仿宋_GB2312" w:eastAsia="仿宋_GB2312" w:cs="仿宋_GB2312"/>
          <w:sz w:val="32"/>
          <w:szCs w:val="32"/>
          <w:lang w:eastAsia="zh-CN"/>
        </w:rPr>
        <w:t>起，</w:t>
      </w:r>
      <w:r>
        <w:rPr>
          <w:rFonts w:hint="eastAsia" w:ascii="仿宋_GB2312" w:hAnsi="仿宋_GB2312" w:eastAsia="仿宋_GB2312" w:cs="仿宋_GB2312"/>
          <w:sz w:val="32"/>
          <w:szCs w:val="32"/>
        </w:rPr>
        <w:t>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w:t>
      </w:r>
      <w:r>
        <w:rPr>
          <w:rFonts w:hint="eastAsia" w:ascii="仿宋_GB2312" w:hAnsi="仿宋_GB2312" w:eastAsia="仿宋_GB2312" w:cs="仿宋_GB2312"/>
          <w:sz w:val="32"/>
          <w:szCs w:val="32"/>
          <w:lang w:eastAsia="zh-CN"/>
        </w:rPr>
        <w:t>止</w:t>
      </w:r>
      <w:r>
        <w:rPr>
          <w:rFonts w:hint="eastAsia" w:ascii="仿宋_GB2312" w:hAnsi="仿宋_GB2312" w:eastAsia="仿宋_GB2312" w:cs="仿宋_GB2312"/>
          <w:sz w:val="32"/>
          <w:szCs w:val="32"/>
        </w:rPr>
        <w:t>。如对报告内容有疑问，请与淄博市淄川区民政局联系（地址：山东省淄博市淄川区松龄东路49号；邮编：25510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电话：0533-5282038；</w:t>
      </w:r>
      <w:r>
        <w:rPr>
          <w:rFonts w:hint="eastAsia" w:ascii="仿宋_GB2312" w:hAnsi="仿宋_GB2312" w:eastAsia="仿宋_GB2312" w:cs="仿宋_GB2312"/>
          <w:sz w:val="32"/>
          <w:szCs w:val="32"/>
          <w:lang w:eastAsia="zh-CN"/>
        </w:rPr>
        <w:t>电子</w:t>
      </w:r>
      <w:r>
        <w:rPr>
          <w:rFonts w:hint="eastAsia" w:ascii="仿宋_GB2312" w:hAnsi="仿宋_GB2312" w:eastAsia="仿宋_GB2312" w:cs="仿宋_GB2312"/>
          <w:sz w:val="32"/>
          <w:szCs w:val="32"/>
        </w:rPr>
        <w:t>邮箱：</w:t>
      </w:r>
      <w:r>
        <w:rPr>
          <w:rFonts w:hint="eastAsia" w:ascii="仿宋_GB2312" w:hAnsi="仿宋_GB2312" w:eastAsia="仿宋_GB2312" w:cs="仿宋_GB2312"/>
          <w:color w:val="auto"/>
          <w:sz w:val="32"/>
          <w:szCs w:val="32"/>
          <w:u w:val="none"/>
        </w:rPr>
        <w:t>zcmzbgs@zb.shandong.cn）。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6"/>
          <w:rFonts w:hint="eastAsia" w:ascii="仿宋_GB2312" w:hAnsi="仿宋_GB2312" w:eastAsia="仿宋_GB2312" w:cs="仿宋_GB2312"/>
          <w:b w:val="0"/>
          <w:bCs w:val="0"/>
          <w:i w:val="0"/>
          <w:iCs w:val="0"/>
          <w:caps w:val="0"/>
          <w:color w:val="000000"/>
          <w:spacing w:val="0"/>
          <w:sz w:val="32"/>
          <w:szCs w:val="32"/>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2023年淄川区民政局政府信息公开工作认真贯彻执行《中华人民共和国政府信息公开条例》。紧紧围绕“民政为民、民政爱民”工作理念，实实在在推进民政法治建设工作，积极推动各项行政权力公开透明。及时梳理和及时整改网站栏目，补充网站信息，突出可读性、便利性，稳妥有序地推进政府信息公开各项工作。</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1.</w:t>
      </w:r>
      <w:r>
        <w:rPr>
          <w:rFonts w:hint="eastAsia" w:ascii="仿宋_GB2312" w:hAnsi="仿宋_GB2312" w:eastAsia="仿宋_GB2312" w:cs="仿宋_GB2312"/>
          <w:i w:val="0"/>
          <w:iCs w:val="0"/>
          <w:caps w:val="0"/>
          <w:color w:val="000000"/>
          <w:spacing w:val="0"/>
          <w:sz w:val="32"/>
          <w:szCs w:val="32"/>
        </w:rPr>
        <w:t>主动公开</w:t>
      </w:r>
      <w:r>
        <w:rPr>
          <w:rFonts w:hint="eastAsia" w:ascii="仿宋_GB2312" w:hAnsi="仿宋_GB2312" w:eastAsia="仿宋_GB2312" w:cs="仿宋_GB2312"/>
          <w:i w:val="0"/>
          <w:iCs w:val="0"/>
          <w:caps w:val="0"/>
          <w:color w:val="000000"/>
          <w:spacing w:val="0"/>
          <w:sz w:val="32"/>
          <w:szCs w:val="32"/>
          <w:lang w:eastAsia="zh-CN"/>
        </w:rPr>
        <w:t>方面</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val="en-US"/>
        </w:rPr>
        <w:t>202</w:t>
      </w: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年，淄川区民政局主动公开政府信息</w:t>
      </w:r>
      <w:r>
        <w:rPr>
          <w:rFonts w:hint="eastAsia" w:ascii="仿宋_GB2312" w:hAnsi="仿宋_GB2312" w:eastAsia="仿宋_GB2312" w:cs="仿宋_GB2312"/>
          <w:i w:val="0"/>
          <w:iCs w:val="0"/>
          <w:caps w:val="0"/>
          <w:color w:val="000000"/>
          <w:spacing w:val="0"/>
          <w:sz w:val="32"/>
          <w:szCs w:val="32"/>
          <w:lang w:val="en-US"/>
        </w:rPr>
        <w:t>2</w:t>
      </w:r>
      <w:r>
        <w:rPr>
          <w:rFonts w:hint="eastAsia" w:ascii="仿宋_GB2312" w:hAnsi="仿宋_GB2312" w:eastAsia="仿宋_GB2312" w:cs="仿宋_GB2312"/>
          <w:i w:val="0"/>
          <w:iCs w:val="0"/>
          <w:caps w:val="0"/>
          <w:color w:val="000000"/>
          <w:spacing w:val="0"/>
          <w:sz w:val="32"/>
          <w:szCs w:val="32"/>
          <w:lang w:val="en-US" w:eastAsia="zh-CN"/>
        </w:rPr>
        <w:t>40</w:t>
      </w:r>
      <w:r>
        <w:rPr>
          <w:rFonts w:hint="eastAsia" w:ascii="仿宋_GB2312" w:hAnsi="仿宋_GB2312" w:eastAsia="仿宋_GB2312" w:cs="仿宋_GB2312"/>
          <w:i w:val="0"/>
          <w:iCs w:val="0"/>
          <w:caps w:val="0"/>
          <w:color w:val="000000"/>
          <w:spacing w:val="0"/>
          <w:sz w:val="32"/>
          <w:szCs w:val="32"/>
        </w:rPr>
        <w:t>条，主要涉及全区民政事业的基本情况、各项政策落实情况、规划计划、重要部署执行等动态信息。</w:t>
      </w:r>
      <w:r>
        <w:rPr>
          <w:rFonts w:hint="eastAsia" w:ascii="仿宋_GB2312" w:hAnsi="仿宋_GB2312" w:eastAsia="仿宋_GB2312" w:cs="仿宋_GB2312"/>
          <w:i w:val="0"/>
          <w:iCs w:val="0"/>
          <w:caps w:val="0"/>
          <w:color w:val="000000"/>
          <w:spacing w:val="0"/>
          <w:sz w:val="32"/>
          <w:szCs w:val="32"/>
          <w:lang w:eastAsia="zh-CN"/>
        </w:rPr>
        <w:t>每月及时公开群众密切关注的临时救助、城乡低保、特困、经济困难老年人、残疾人补贴等人员名单。</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2.依申请公开工作方面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2023年，淄川区民政局收到政府信息公开申请2件，涉及城乡地名和婚姻登记方面，全部依法依规予以办理。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3.政府信息管理方面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eastAsia="zh-CN"/>
        </w:rPr>
        <w:t>加强组织领导，</w:t>
      </w:r>
      <w:r>
        <w:rPr>
          <w:rFonts w:hint="eastAsia" w:ascii="仿宋_GB2312" w:hAnsi="仿宋_GB2312" w:eastAsia="仿宋_GB2312" w:cs="仿宋_GB2312"/>
          <w:i w:val="0"/>
          <w:iCs w:val="0"/>
          <w:caps w:val="0"/>
          <w:color w:val="000000"/>
          <w:spacing w:val="0"/>
          <w:sz w:val="32"/>
          <w:szCs w:val="32"/>
        </w:rPr>
        <w:t>完善工作机制，及时安排专人负责全局信息公开维护和更新，并认真做好年度工作总结和报告的统计、编制和报送工作；进一步规范政府信息公开内容发布，定期对政府网站进行梳理排查，坚决杜绝政务公开工作中泄露个人隐私情况的发生，遵循“谁公开、谁负责”的原则</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严格落实三审制度</w:t>
      </w:r>
      <w:r>
        <w:rPr>
          <w:rFonts w:hint="eastAsia" w:ascii="仿宋_GB2312" w:hAnsi="仿宋_GB2312" w:eastAsia="仿宋_GB2312" w:cs="仿宋_GB2312"/>
          <w:i w:val="0"/>
          <w:iCs w:val="0"/>
          <w:caps w:val="0"/>
          <w:color w:val="000000"/>
          <w:spacing w:val="0"/>
          <w:sz w:val="32"/>
          <w:szCs w:val="32"/>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20" w:leftChars="0" w:right="0" w:rightChars="0" w:firstLine="320" w:firstLineChars="1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4.平台建设方面</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shd w:val="clear" w:fill="FFFFFF"/>
        </w:rPr>
        <w:t>充分发挥政府门户网站为信息公开第一平台作用，</w:t>
      </w:r>
      <w:r>
        <w:rPr>
          <w:rFonts w:hint="eastAsia" w:ascii="仿宋_GB2312" w:hAnsi="仿宋_GB2312" w:eastAsia="仿宋_GB2312" w:cs="仿宋_GB2312"/>
          <w:i w:val="0"/>
          <w:iCs w:val="0"/>
          <w:caps w:val="0"/>
          <w:color w:val="000000"/>
          <w:spacing w:val="0"/>
          <w:sz w:val="32"/>
          <w:szCs w:val="32"/>
          <w:shd w:val="clear" w:fill="FFFFFF"/>
          <w:lang w:eastAsia="zh-CN"/>
        </w:rPr>
        <w:t>不断细化公开信息目录，</w:t>
      </w:r>
      <w:r>
        <w:rPr>
          <w:rFonts w:hint="eastAsia" w:ascii="仿宋_GB2312" w:hAnsi="仿宋_GB2312" w:eastAsia="仿宋_GB2312" w:cs="仿宋_GB2312"/>
          <w:i w:val="0"/>
          <w:iCs w:val="0"/>
          <w:caps w:val="0"/>
          <w:color w:val="000000"/>
          <w:spacing w:val="0"/>
          <w:sz w:val="32"/>
          <w:szCs w:val="32"/>
          <w:shd w:val="clear" w:fill="FFFFFF"/>
          <w:lang w:val="en-US" w:eastAsia="zh-CN"/>
        </w:rPr>
        <w:t>聚焦社会关切和民生实事，定期进行栏目信息维护，</w:t>
      </w:r>
      <w:r>
        <w:rPr>
          <w:rFonts w:hint="eastAsia" w:ascii="仿宋_GB2312" w:hAnsi="仿宋_GB2312" w:eastAsia="仿宋_GB2312" w:cs="仿宋_GB2312"/>
          <w:i w:val="0"/>
          <w:iCs w:val="0"/>
          <w:caps w:val="0"/>
          <w:color w:val="000000"/>
          <w:spacing w:val="0"/>
          <w:sz w:val="32"/>
          <w:szCs w:val="32"/>
          <w:shd w:val="clear" w:fill="FFFFFF"/>
        </w:rPr>
        <w:t>确保栏目公开信息内容及时、全面。</w:t>
      </w:r>
      <w:r>
        <w:rPr>
          <w:rFonts w:hint="eastAsia" w:ascii="仿宋_GB2312" w:hAnsi="仿宋_GB2312" w:eastAsia="仿宋_GB2312" w:cs="仿宋_GB2312"/>
          <w:i w:val="0"/>
          <w:iCs w:val="0"/>
          <w:caps w:val="0"/>
          <w:color w:val="000000"/>
          <w:spacing w:val="0"/>
          <w:sz w:val="32"/>
          <w:szCs w:val="32"/>
          <w:shd w:val="clear" w:fill="FFFFFF"/>
          <w:lang w:val="en-US" w:eastAsia="zh-CN"/>
        </w:rPr>
        <w:t>加强平台专技培训，</w:t>
      </w:r>
      <w:r>
        <w:rPr>
          <w:rFonts w:hint="eastAsia" w:ascii="仿宋_GB2312" w:hAnsi="仿宋_GB2312" w:eastAsia="仿宋_GB2312" w:cs="仿宋_GB2312"/>
          <w:i w:val="0"/>
          <w:iCs w:val="0"/>
          <w:caps w:val="0"/>
          <w:color w:val="000000"/>
          <w:spacing w:val="0"/>
          <w:sz w:val="32"/>
          <w:szCs w:val="32"/>
          <w:shd w:val="clear" w:fill="FFFFFF"/>
          <w:lang w:eastAsia="zh-CN"/>
        </w:rPr>
        <w:t>不断提高人员素质，进一步健全政务公开平台建设。</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20" w:leftChars="0" w:right="0" w:rightChars="0" w:firstLine="320" w:firstLineChars="1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5.监督保障方面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eastAsia="zh-CN"/>
        </w:rPr>
        <w:t>一是</w:t>
      </w:r>
      <w:r>
        <w:rPr>
          <w:rFonts w:hint="eastAsia" w:ascii="仿宋_GB2312" w:hAnsi="仿宋_GB2312" w:eastAsia="仿宋_GB2312" w:cs="仿宋_GB2312"/>
          <w:i w:val="0"/>
          <w:iCs w:val="0"/>
          <w:caps w:val="0"/>
          <w:color w:val="000000"/>
          <w:spacing w:val="0"/>
          <w:sz w:val="32"/>
          <w:szCs w:val="32"/>
          <w:shd w:val="clear" w:fill="FFFFFF"/>
        </w:rPr>
        <w:t>做到“四个明确</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明确工作任务、明确具体要求、明确责任</w:t>
      </w:r>
      <w:r>
        <w:rPr>
          <w:rFonts w:hint="eastAsia" w:ascii="仿宋_GB2312" w:hAnsi="仿宋_GB2312" w:eastAsia="仿宋_GB2312" w:cs="仿宋_GB2312"/>
          <w:i w:val="0"/>
          <w:iCs w:val="0"/>
          <w:caps w:val="0"/>
          <w:color w:val="000000"/>
          <w:spacing w:val="0"/>
          <w:sz w:val="32"/>
          <w:szCs w:val="32"/>
          <w:shd w:val="clear" w:fill="FFFFFF"/>
          <w:lang w:eastAsia="zh-CN"/>
        </w:rPr>
        <w:t>科室</w:t>
      </w:r>
      <w:r>
        <w:rPr>
          <w:rFonts w:hint="eastAsia" w:ascii="仿宋_GB2312" w:hAnsi="仿宋_GB2312" w:eastAsia="仿宋_GB2312" w:cs="仿宋_GB2312"/>
          <w:i w:val="0"/>
          <w:iCs w:val="0"/>
          <w:caps w:val="0"/>
          <w:color w:val="000000"/>
          <w:spacing w:val="0"/>
          <w:sz w:val="32"/>
          <w:szCs w:val="32"/>
          <w:shd w:val="clear" w:fill="FFFFFF"/>
        </w:rPr>
        <w:t>、明确时限要求，为全面推进政务公开工作提供有力保障。</w:t>
      </w:r>
      <w:r>
        <w:rPr>
          <w:rFonts w:hint="eastAsia" w:ascii="仿宋_GB2312" w:hAnsi="仿宋_GB2312" w:eastAsia="仿宋_GB2312" w:cs="仿宋_GB2312"/>
          <w:i w:val="0"/>
          <w:iCs w:val="0"/>
          <w:caps w:val="0"/>
          <w:color w:val="000000"/>
          <w:spacing w:val="0"/>
          <w:sz w:val="32"/>
          <w:szCs w:val="32"/>
          <w:shd w:val="clear" w:fill="FFFFFF"/>
          <w:lang w:eastAsia="zh-CN"/>
        </w:rPr>
        <w:t>二</w:t>
      </w:r>
      <w:r>
        <w:rPr>
          <w:rFonts w:hint="eastAsia" w:ascii="仿宋_GB2312" w:hAnsi="仿宋_GB2312" w:eastAsia="仿宋_GB2312" w:cs="仿宋_GB2312"/>
          <w:i w:val="0"/>
          <w:iCs w:val="0"/>
          <w:caps w:val="0"/>
          <w:color w:val="000000"/>
          <w:spacing w:val="0"/>
          <w:sz w:val="32"/>
          <w:szCs w:val="32"/>
          <w:shd w:val="clear" w:fill="FFFFFF"/>
        </w:rPr>
        <w:t>是对政务信息的公开，层层把关，力求所公开的信息合法合规合理合情，并不定期开展涉及社会主体及公民个人隐私信息泄露的排查工作，切实维护好政府机密信息和公民个人信息的安全。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both"/>
        <w:rPr>
          <w:rStyle w:val="6"/>
          <w:rFonts w:hint="eastAsia" w:ascii="仿宋_GB2312" w:hAnsi="仿宋_GB2312" w:eastAsia="仿宋_GB2312" w:cs="仿宋_GB2312"/>
          <w:b/>
          <w:bCs/>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both"/>
        <w:rPr>
          <w:rStyle w:val="6"/>
          <w:rFonts w:hint="eastAsia" w:ascii="仿宋_GB2312" w:hAnsi="仿宋_GB2312" w:eastAsia="仿宋_GB2312" w:cs="仿宋_GB2312"/>
          <w:b/>
          <w:bCs/>
          <w:i w:val="0"/>
          <w:iCs w:val="0"/>
          <w:caps w:val="0"/>
          <w:color w:val="000000"/>
          <w:spacing w:val="0"/>
          <w:sz w:val="24"/>
          <w:szCs w:val="24"/>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71" w:leftChars="0" w:right="0" w:rightChars="0" w:firstLine="640" w:firstLineChars="200"/>
        <w:jc w:val="both"/>
        <w:rPr>
          <w:rStyle w:val="6"/>
          <w:rFonts w:hint="eastAsia" w:ascii="仿宋_GB2312" w:hAnsi="仿宋_GB2312" w:eastAsia="仿宋_GB2312" w:cs="仿宋_GB2312"/>
          <w:b/>
          <w:bCs/>
          <w:i w:val="0"/>
          <w:iCs w:val="0"/>
          <w:caps w:val="0"/>
          <w:color w:val="000000"/>
          <w:spacing w:val="0"/>
          <w:sz w:val="24"/>
          <w:szCs w:val="24"/>
        </w:rPr>
      </w:pPr>
      <w:r>
        <w:rPr>
          <w:rStyle w:val="6"/>
          <w:rFonts w:hint="eastAsia" w:ascii="仿宋_GB2312" w:hAnsi="仿宋_GB2312" w:eastAsia="仿宋_GB2312" w:cs="仿宋_GB2312"/>
          <w:b w:val="0"/>
          <w:bCs w:val="0"/>
          <w:i w:val="0"/>
          <w:iCs w:val="0"/>
          <w:caps w:val="0"/>
          <w:color w:val="000000"/>
          <w:spacing w:val="0"/>
          <w:sz w:val="32"/>
          <w:szCs w:val="32"/>
          <w:lang w:eastAsia="zh-CN"/>
        </w:rPr>
        <w:t>二、</w:t>
      </w:r>
      <w:r>
        <w:rPr>
          <w:rStyle w:val="6"/>
          <w:rFonts w:hint="eastAsia" w:ascii="仿宋_GB2312" w:hAnsi="仿宋_GB2312" w:eastAsia="仿宋_GB2312" w:cs="仿宋_GB2312"/>
          <w:b w:val="0"/>
          <w:bCs w:val="0"/>
          <w:i w:val="0"/>
          <w:iCs w:val="0"/>
          <w:caps w:val="0"/>
          <w:color w:val="000000"/>
          <w:spacing w:val="0"/>
          <w:sz w:val="32"/>
          <w:szCs w:val="32"/>
        </w:rPr>
        <w:t>主动公开政府信息情况</w:t>
      </w:r>
    </w:p>
    <w:tbl>
      <w:tblPr>
        <w:tblStyle w:val="4"/>
        <w:tblW w:w="73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45"/>
        <w:gridCol w:w="1845"/>
        <w:gridCol w:w="1845"/>
        <w:gridCol w:w="1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9"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color w:val="00000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9" w:hRule="atLeast"/>
          <w:jc w:val="center"/>
        </w:trPr>
        <w:tc>
          <w:tcPr>
            <w:tcW w:w="1250" w:type="pct"/>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color w:val="000000"/>
                <w:sz w:val="20"/>
                <w:szCs w:val="20"/>
              </w:rPr>
              <w:t>信息内容</w:t>
            </w:r>
          </w:p>
        </w:tc>
        <w:tc>
          <w:tcPr>
            <w:tcW w:w="1250" w:type="pct"/>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color w:val="000000"/>
                <w:sz w:val="20"/>
                <w:szCs w:val="20"/>
              </w:rPr>
              <w:t>本年制发件数</w:t>
            </w:r>
          </w:p>
        </w:tc>
        <w:tc>
          <w:tcPr>
            <w:tcW w:w="1250" w:type="pct"/>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color w:val="000000"/>
                <w:sz w:val="20"/>
                <w:szCs w:val="20"/>
              </w:rPr>
              <w:t>本年废止件数</w:t>
            </w:r>
          </w:p>
        </w:tc>
        <w:tc>
          <w:tcPr>
            <w:tcW w:w="1250" w:type="pct"/>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color w:val="000000"/>
                <w:sz w:val="20"/>
                <w:szCs w:val="20"/>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2" w:hRule="atLeast"/>
          <w:jc w:val="center"/>
        </w:trPr>
        <w:tc>
          <w:tcPr>
            <w:tcW w:w="1250" w:type="pct"/>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color w:val="000000"/>
                <w:sz w:val="20"/>
                <w:szCs w:val="20"/>
              </w:rPr>
              <w:t>规章</w:t>
            </w:r>
          </w:p>
        </w:tc>
        <w:tc>
          <w:tcPr>
            <w:tcW w:w="1250" w:type="pct"/>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color w:val="000000"/>
                <w:sz w:val="20"/>
                <w:szCs w:val="20"/>
              </w:rPr>
              <w:t>0</w:t>
            </w:r>
          </w:p>
        </w:tc>
        <w:tc>
          <w:tcPr>
            <w:tcW w:w="1250" w:type="pct"/>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color w:val="000000"/>
                <w:sz w:val="21"/>
                <w:szCs w:val="21"/>
              </w:rPr>
              <w:t>0</w:t>
            </w:r>
          </w:p>
        </w:tc>
        <w:tc>
          <w:tcPr>
            <w:tcW w:w="1250" w:type="pct"/>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color w:val="00000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2" w:hRule="atLeast"/>
          <w:jc w:val="center"/>
        </w:trPr>
        <w:tc>
          <w:tcPr>
            <w:tcW w:w="1250" w:type="pct"/>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color w:val="000000"/>
                <w:sz w:val="20"/>
                <w:szCs w:val="20"/>
              </w:rPr>
              <w:t>行政规范性文件</w:t>
            </w:r>
          </w:p>
        </w:tc>
        <w:tc>
          <w:tcPr>
            <w:tcW w:w="1250" w:type="pct"/>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color w:val="000000"/>
                <w:sz w:val="21"/>
                <w:szCs w:val="21"/>
              </w:rPr>
              <w:t>0</w:t>
            </w:r>
          </w:p>
        </w:tc>
        <w:tc>
          <w:tcPr>
            <w:tcW w:w="1250" w:type="pct"/>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color w:val="000000"/>
                <w:sz w:val="21"/>
                <w:szCs w:val="21"/>
              </w:rPr>
              <w:t>0</w:t>
            </w:r>
          </w:p>
        </w:tc>
        <w:tc>
          <w:tcPr>
            <w:tcW w:w="1250" w:type="pct"/>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color w:val="00000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9" w:hRule="atLeast"/>
          <w:jc w:val="center"/>
        </w:trPr>
        <w:tc>
          <w:tcPr>
            <w:tcW w:w="5000" w:type="pct"/>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color w:val="00000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9" w:hRule="atLeast"/>
          <w:jc w:val="center"/>
        </w:trPr>
        <w:tc>
          <w:tcPr>
            <w:tcW w:w="1250" w:type="pct"/>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color w:val="000000"/>
                <w:sz w:val="20"/>
                <w:szCs w:val="20"/>
              </w:rPr>
              <w:t>信息内容</w:t>
            </w:r>
          </w:p>
        </w:tc>
        <w:tc>
          <w:tcPr>
            <w:tcW w:w="3750" w:type="pct"/>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color w:val="000000"/>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2" w:hRule="atLeast"/>
          <w:jc w:val="center"/>
        </w:trPr>
        <w:tc>
          <w:tcPr>
            <w:tcW w:w="1250" w:type="pct"/>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color w:val="000000"/>
                <w:sz w:val="20"/>
                <w:szCs w:val="20"/>
              </w:rPr>
              <w:t>行政许可</w:t>
            </w:r>
          </w:p>
        </w:tc>
        <w:tc>
          <w:tcPr>
            <w:tcW w:w="3750" w:type="pct"/>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color w:val="00000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9" w:hRule="atLeast"/>
          <w:jc w:val="center"/>
        </w:trPr>
        <w:tc>
          <w:tcPr>
            <w:tcW w:w="5000" w:type="pct"/>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color w:val="00000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9" w:hRule="atLeast"/>
          <w:jc w:val="center"/>
        </w:trPr>
        <w:tc>
          <w:tcPr>
            <w:tcW w:w="1250" w:type="pct"/>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rPr>
            </w:pPr>
            <w:r>
              <w:rPr>
                <w:rFonts w:hint="eastAsia" w:ascii="仿宋_GB2312" w:hAnsi="仿宋_GB2312" w:eastAsia="仿宋_GB2312" w:cs="仿宋_GB2312"/>
                <w:color w:val="000000"/>
                <w:sz w:val="20"/>
                <w:szCs w:val="20"/>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rPr>
            </w:pPr>
            <w:r>
              <w:rPr>
                <w:rFonts w:hint="eastAsia" w:ascii="仿宋_GB2312" w:hAnsi="仿宋_GB2312" w:eastAsia="仿宋_GB2312" w:cs="仿宋_GB2312"/>
                <w:color w:val="000000"/>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2" w:hRule="atLeast"/>
          <w:jc w:val="center"/>
        </w:trPr>
        <w:tc>
          <w:tcPr>
            <w:tcW w:w="1250" w:type="pct"/>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color w:val="000000"/>
                <w:sz w:val="20"/>
                <w:szCs w:val="20"/>
              </w:rPr>
              <w:t>行政处罚</w:t>
            </w:r>
          </w:p>
        </w:tc>
        <w:tc>
          <w:tcPr>
            <w:tcW w:w="3750" w:type="pct"/>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color w:val="00000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2" w:hRule="atLeast"/>
          <w:jc w:val="center"/>
        </w:trPr>
        <w:tc>
          <w:tcPr>
            <w:tcW w:w="1250" w:type="pct"/>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color w:val="000000"/>
                <w:sz w:val="20"/>
                <w:szCs w:val="20"/>
              </w:rPr>
              <w:t>行政强制</w:t>
            </w:r>
          </w:p>
        </w:tc>
        <w:tc>
          <w:tcPr>
            <w:tcW w:w="3750" w:type="pct"/>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color w:val="00000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9" w:hRule="atLeast"/>
          <w:jc w:val="center"/>
        </w:trPr>
        <w:tc>
          <w:tcPr>
            <w:tcW w:w="5000" w:type="pct"/>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color w:val="00000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9" w:hRule="atLeast"/>
          <w:jc w:val="center"/>
        </w:trPr>
        <w:tc>
          <w:tcPr>
            <w:tcW w:w="1250" w:type="pct"/>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color w:val="000000"/>
                <w:sz w:val="20"/>
                <w:szCs w:val="20"/>
              </w:rPr>
              <w:t>信息内容</w:t>
            </w:r>
          </w:p>
        </w:tc>
        <w:tc>
          <w:tcPr>
            <w:tcW w:w="3750" w:type="pct"/>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color w:val="000000"/>
                <w:sz w:val="20"/>
                <w:szCs w:val="20"/>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1250" w:type="pct"/>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color w:val="000000"/>
                <w:sz w:val="20"/>
                <w:szCs w:val="20"/>
              </w:rPr>
              <w:t>行政事业性收费</w:t>
            </w:r>
          </w:p>
        </w:tc>
        <w:tc>
          <w:tcPr>
            <w:tcW w:w="3750" w:type="pct"/>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color w:val="000000"/>
                <w:sz w:val="21"/>
                <w:szCs w:val="21"/>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both"/>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24"/>
          <w:szCs w:val="24"/>
          <w:lang w:val="en-US"/>
        </w:rPr>
        <w:t>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both"/>
        <w:textAlignment w:val="auto"/>
        <w:rPr>
          <w:rStyle w:val="6"/>
          <w:rFonts w:hint="eastAsia" w:ascii="仿宋_GB2312" w:hAnsi="仿宋_GB2312" w:eastAsia="仿宋_GB2312" w:cs="仿宋_GB2312"/>
          <w:b w:val="0"/>
          <w:bCs w:val="0"/>
          <w:i w:val="0"/>
          <w:iCs w:val="0"/>
          <w:caps w:val="0"/>
          <w:color w:val="000000"/>
          <w:spacing w:val="0"/>
          <w:sz w:val="32"/>
          <w:szCs w:val="32"/>
          <w:shd w:val="clear" w:fill="FFFFFF"/>
        </w:rPr>
      </w:pPr>
      <w:r>
        <w:rPr>
          <w:rStyle w:val="6"/>
          <w:rFonts w:hint="eastAsia" w:ascii="仿宋_GB2312" w:hAnsi="仿宋_GB2312" w:eastAsia="仿宋_GB2312" w:cs="仿宋_GB2312"/>
          <w:b w:val="0"/>
          <w:bCs w:val="0"/>
          <w:i w:val="0"/>
          <w:iCs w:val="0"/>
          <w:caps w:val="0"/>
          <w:color w:val="000000"/>
          <w:spacing w:val="0"/>
          <w:sz w:val="32"/>
          <w:szCs w:val="32"/>
          <w:shd w:val="clear" w:fill="FFFFFF"/>
        </w:rPr>
        <w:t>收到和处理政府信息公开申请情况</w:t>
      </w:r>
    </w:p>
    <w:tbl>
      <w:tblPr>
        <w:tblStyle w:val="4"/>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66"/>
        <w:gridCol w:w="818"/>
        <w:gridCol w:w="2801"/>
        <w:gridCol w:w="596"/>
        <w:gridCol w:w="596"/>
        <w:gridCol w:w="596"/>
        <w:gridCol w:w="596"/>
        <w:gridCol w:w="596"/>
        <w:gridCol w:w="604"/>
        <w:gridCol w:w="60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1" w:hRule="atLeast"/>
        </w:trPr>
        <w:tc>
          <w:tcPr>
            <w:tcW w:w="2529" w:type="pct"/>
            <w:gridSpan w:val="3"/>
            <w:vMerge w:val="restart"/>
            <w:tcBorders>
              <w:top w:val="single" w:color="auto" w:sz="8" w:space="0"/>
              <w:left w:val="single" w:color="auto" w:sz="8" w:space="0"/>
              <w:bottom w:val="outset"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color w:val="000000"/>
                <w:sz w:val="20"/>
                <w:szCs w:val="20"/>
              </w:rPr>
              <w:t>（本列数据的勾稽关系为：第一项加第二项之和，等于第三项加第四项之和）</w:t>
            </w:r>
          </w:p>
        </w:tc>
        <w:tc>
          <w:tcPr>
            <w:tcW w:w="2470" w:type="pct"/>
            <w:gridSpan w:val="7"/>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color w:val="00000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5" w:hRule="atLeast"/>
        </w:trPr>
        <w:tc>
          <w:tcPr>
            <w:tcW w:w="2529" w:type="pct"/>
            <w:gridSpan w:val="3"/>
            <w:vMerge w:val="continue"/>
            <w:tcBorders>
              <w:top w:val="single" w:color="auto" w:sz="8" w:space="0"/>
              <w:left w:val="single" w:color="auto" w:sz="8" w:space="0"/>
              <w:bottom w:val="outset" w:color="auto" w:sz="8" w:space="0"/>
              <w:right w:val="single" w:color="auto" w:sz="8" w:space="0"/>
            </w:tcBorders>
            <w:shd w:val="clear" w:color="auto" w:fill="FFFFFF"/>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c>
          <w:tcPr>
            <w:tcW w:w="352" w:type="pct"/>
            <w:vMerge w:val="restar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color w:val="000000"/>
                <w:sz w:val="20"/>
                <w:szCs w:val="20"/>
              </w:rPr>
              <w:t>自然人</w:t>
            </w:r>
          </w:p>
        </w:tc>
        <w:tc>
          <w:tcPr>
            <w:tcW w:w="1764" w:type="pct"/>
            <w:gridSpan w:val="5"/>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color w:val="000000"/>
                <w:sz w:val="20"/>
                <w:szCs w:val="20"/>
              </w:rPr>
              <w:t>法人或其他组织</w:t>
            </w:r>
          </w:p>
        </w:tc>
        <w:tc>
          <w:tcPr>
            <w:tcW w:w="353" w:type="pct"/>
            <w:vMerge w:val="restart"/>
            <w:tcBorders>
              <w:top w:val="single" w:color="auto" w:sz="8" w:space="0"/>
              <w:left w:val="nil"/>
              <w:bottom w:val="outset"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color w:val="00000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trPr>
        <w:tc>
          <w:tcPr>
            <w:tcW w:w="2529" w:type="pct"/>
            <w:gridSpan w:val="3"/>
            <w:vMerge w:val="continue"/>
            <w:tcBorders>
              <w:top w:val="single" w:color="auto" w:sz="8" w:space="0"/>
              <w:left w:val="single" w:color="auto" w:sz="8" w:space="0"/>
              <w:bottom w:val="outset" w:color="auto" w:sz="8" w:space="0"/>
              <w:right w:val="single" w:color="auto" w:sz="8" w:space="0"/>
            </w:tcBorders>
            <w:shd w:val="clear" w:color="auto" w:fill="FFFFFF"/>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c>
          <w:tcPr>
            <w:tcW w:w="352" w:type="pct"/>
            <w:vMerge w:val="continue"/>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eastAsia" w:ascii="仿宋_GB2312" w:hAnsi="仿宋_GB2312" w:eastAsia="仿宋_GB2312" w:cs="仿宋_GB2312"/>
                <w:sz w:val="24"/>
                <w:szCs w:val="24"/>
              </w:rPr>
            </w:pP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color w:val="000000"/>
                <w:sz w:val="20"/>
                <w:szCs w:val="20"/>
              </w:rPr>
              <w:t>商业</w:t>
            </w:r>
          </w:p>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color w:val="000000"/>
                <w:sz w:val="20"/>
                <w:szCs w:val="20"/>
              </w:rPr>
              <w:t>企业</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color w:val="000000"/>
                <w:sz w:val="20"/>
                <w:szCs w:val="20"/>
              </w:rPr>
              <w:t>科研</w:t>
            </w:r>
          </w:p>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color w:val="000000"/>
                <w:sz w:val="20"/>
                <w:szCs w:val="20"/>
              </w:rPr>
              <w:t>机构</w:t>
            </w:r>
          </w:p>
        </w:tc>
        <w:tc>
          <w:tcPr>
            <w:tcW w:w="352" w:type="pct"/>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color w:val="000000"/>
                <w:sz w:val="20"/>
                <w:szCs w:val="20"/>
              </w:rPr>
              <w:t>社会公益组织</w:t>
            </w:r>
          </w:p>
        </w:tc>
        <w:tc>
          <w:tcPr>
            <w:tcW w:w="352" w:type="pct"/>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color w:val="000000"/>
                <w:sz w:val="20"/>
                <w:szCs w:val="20"/>
              </w:rPr>
              <w:t>法律服务机构</w:t>
            </w:r>
          </w:p>
        </w:tc>
        <w:tc>
          <w:tcPr>
            <w:tcW w:w="353" w:type="pct"/>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color w:val="000000"/>
                <w:sz w:val="20"/>
                <w:szCs w:val="20"/>
              </w:rPr>
              <w:t>其他</w:t>
            </w:r>
          </w:p>
        </w:tc>
        <w:tc>
          <w:tcPr>
            <w:tcW w:w="353" w:type="pct"/>
            <w:vMerge w:val="continue"/>
            <w:tcBorders>
              <w:top w:val="single" w:color="auto" w:sz="8" w:space="0"/>
              <w:left w:val="nil"/>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eastAsia" w:ascii="仿宋_GB2312" w:hAnsi="仿宋_GB2312" w:eastAsia="仿宋_GB2312" w:cs="仿宋_GB2312"/>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2529" w:type="pct"/>
            <w:gridSpan w:val="3"/>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color w:val="000000"/>
                <w:sz w:val="20"/>
                <w:szCs w:val="20"/>
              </w:rPr>
              <w:t>一、本年新收政府信息公开申请数量</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5" w:hRule="atLeast"/>
        </w:trPr>
        <w:tc>
          <w:tcPr>
            <w:tcW w:w="2529" w:type="pct"/>
            <w:gridSpan w:val="3"/>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color w:val="000000"/>
                <w:sz w:val="20"/>
                <w:szCs w:val="20"/>
              </w:rPr>
              <w:t>二、上年结转政府信息公开申请数量</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5" w:hRule="atLeast"/>
        </w:trPr>
        <w:tc>
          <w:tcPr>
            <w:tcW w:w="393" w:type="pct"/>
            <w:vMerge w:val="restart"/>
            <w:tcBorders>
              <w:top w:val="nil"/>
              <w:left w:val="single" w:color="auto" w:sz="8" w:space="0"/>
              <w:bottom w:val="outset"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color w:val="000000"/>
                <w:sz w:val="20"/>
                <w:szCs w:val="20"/>
              </w:rPr>
              <w:t>三、本年度办理结果</w:t>
            </w:r>
          </w:p>
        </w:tc>
        <w:tc>
          <w:tcPr>
            <w:tcW w:w="2135" w:type="pct"/>
            <w:gridSpan w:val="2"/>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color w:val="000000"/>
                <w:sz w:val="20"/>
                <w:szCs w:val="20"/>
              </w:rPr>
              <w:t>（一）予以公开</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393" w:type="pct"/>
            <w:vMerge w:val="continue"/>
            <w:tcBorders>
              <w:top w:val="nil"/>
              <w:left w:val="single" w:color="auto" w:sz="8" w:space="0"/>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eastAsia" w:ascii="仿宋_GB2312" w:hAnsi="仿宋_GB2312" w:eastAsia="仿宋_GB2312" w:cs="仿宋_GB2312"/>
                <w:sz w:val="24"/>
                <w:szCs w:val="24"/>
              </w:rPr>
            </w:pPr>
          </w:p>
        </w:tc>
        <w:tc>
          <w:tcPr>
            <w:tcW w:w="2135" w:type="pct"/>
            <w:gridSpan w:val="2"/>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color w:val="000000"/>
                <w:sz w:val="20"/>
                <w:szCs w:val="20"/>
              </w:rPr>
              <w:t>（二）部分公开（区分处理的，只计这一情形，不计其他情形）</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393" w:type="pct"/>
            <w:vMerge w:val="continue"/>
            <w:tcBorders>
              <w:top w:val="nil"/>
              <w:left w:val="single" w:color="auto" w:sz="8" w:space="0"/>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eastAsia" w:ascii="仿宋_GB2312" w:hAnsi="仿宋_GB2312" w:eastAsia="仿宋_GB2312" w:cs="仿宋_GB2312"/>
                <w:sz w:val="24"/>
                <w:szCs w:val="24"/>
              </w:rPr>
            </w:pPr>
          </w:p>
        </w:tc>
        <w:tc>
          <w:tcPr>
            <w:tcW w:w="483" w:type="pct"/>
            <w:vMerge w:val="restart"/>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color w:val="000000"/>
                <w:sz w:val="20"/>
                <w:szCs w:val="20"/>
              </w:rPr>
              <w:t>（三）不予公开</w:t>
            </w:r>
          </w:p>
        </w:tc>
        <w:tc>
          <w:tcPr>
            <w:tcW w:w="1651"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color w:val="000000"/>
                <w:sz w:val="20"/>
                <w:szCs w:val="20"/>
              </w:rPr>
              <w:t>1.</w:t>
            </w:r>
            <w:r>
              <w:rPr>
                <w:rFonts w:hint="eastAsia" w:ascii="仿宋_GB2312" w:hAnsi="仿宋_GB2312" w:eastAsia="仿宋_GB2312" w:cs="仿宋_GB2312"/>
                <w:color w:val="000000"/>
                <w:sz w:val="20"/>
                <w:szCs w:val="20"/>
              </w:rPr>
              <w:t>属于国家秘密</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393" w:type="pct"/>
            <w:vMerge w:val="continue"/>
            <w:tcBorders>
              <w:top w:val="nil"/>
              <w:left w:val="single" w:color="auto" w:sz="8" w:space="0"/>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eastAsia" w:ascii="仿宋_GB2312" w:hAnsi="仿宋_GB2312" w:eastAsia="仿宋_GB2312" w:cs="仿宋_GB2312"/>
                <w:sz w:val="24"/>
                <w:szCs w:val="24"/>
              </w:rPr>
            </w:pPr>
          </w:p>
        </w:tc>
        <w:tc>
          <w:tcPr>
            <w:tcW w:w="483" w:type="pct"/>
            <w:vMerge w:val="continue"/>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eastAsia" w:ascii="仿宋_GB2312" w:hAnsi="仿宋_GB2312" w:eastAsia="仿宋_GB2312" w:cs="仿宋_GB2312"/>
                <w:sz w:val="24"/>
                <w:szCs w:val="24"/>
              </w:rPr>
            </w:pPr>
          </w:p>
        </w:tc>
        <w:tc>
          <w:tcPr>
            <w:tcW w:w="1651"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color w:val="000000"/>
                <w:sz w:val="20"/>
                <w:szCs w:val="20"/>
              </w:rPr>
              <w:t>2.</w:t>
            </w:r>
            <w:r>
              <w:rPr>
                <w:rFonts w:hint="eastAsia" w:ascii="仿宋_GB2312" w:hAnsi="仿宋_GB2312" w:eastAsia="仿宋_GB2312" w:cs="仿宋_GB2312"/>
                <w:color w:val="000000"/>
                <w:sz w:val="20"/>
                <w:szCs w:val="20"/>
              </w:rPr>
              <w:t>其他法律行政法规禁止公开</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393" w:type="pct"/>
            <w:vMerge w:val="continue"/>
            <w:tcBorders>
              <w:top w:val="nil"/>
              <w:left w:val="single" w:color="auto" w:sz="8" w:space="0"/>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eastAsia" w:ascii="仿宋_GB2312" w:hAnsi="仿宋_GB2312" w:eastAsia="仿宋_GB2312" w:cs="仿宋_GB2312"/>
                <w:sz w:val="24"/>
                <w:szCs w:val="24"/>
              </w:rPr>
            </w:pPr>
          </w:p>
        </w:tc>
        <w:tc>
          <w:tcPr>
            <w:tcW w:w="483" w:type="pct"/>
            <w:vMerge w:val="continue"/>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eastAsia" w:ascii="仿宋_GB2312" w:hAnsi="仿宋_GB2312" w:eastAsia="仿宋_GB2312" w:cs="仿宋_GB2312"/>
                <w:sz w:val="24"/>
                <w:szCs w:val="24"/>
              </w:rPr>
            </w:pPr>
          </w:p>
        </w:tc>
        <w:tc>
          <w:tcPr>
            <w:tcW w:w="1651"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color w:val="000000"/>
                <w:sz w:val="20"/>
                <w:szCs w:val="20"/>
              </w:rPr>
              <w:t>3.</w:t>
            </w:r>
            <w:r>
              <w:rPr>
                <w:rFonts w:hint="eastAsia" w:ascii="仿宋_GB2312" w:hAnsi="仿宋_GB2312" w:eastAsia="仿宋_GB2312" w:cs="仿宋_GB2312"/>
                <w:color w:val="000000"/>
                <w:sz w:val="20"/>
                <w:szCs w:val="20"/>
              </w:rPr>
              <w:t>危及</w:t>
            </w: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rPr>
              <w:t>三安全一稳定</w:t>
            </w:r>
            <w:r>
              <w:rPr>
                <w:rFonts w:hint="eastAsia" w:ascii="仿宋_GB2312" w:hAnsi="仿宋_GB2312" w:eastAsia="仿宋_GB2312" w:cs="仿宋_GB2312"/>
                <w:color w:val="000000"/>
                <w:sz w:val="20"/>
                <w:szCs w:val="20"/>
              </w:rPr>
              <w:t>”</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393" w:type="pct"/>
            <w:vMerge w:val="continue"/>
            <w:tcBorders>
              <w:top w:val="nil"/>
              <w:left w:val="single" w:color="auto" w:sz="8" w:space="0"/>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eastAsia" w:ascii="仿宋_GB2312" w:hAnsi="仿宋_GB2312" w:eastAsia="仿宋_GB2312" w:cs="仿宋_GB2312"/>
                <w:sz w:val="24"/>
                <w:szCs w:val="24"/>
              </w:rPr>
            </w:pPr>
          </w:p>
        </w:tc>
        <w:tc>
          <w:tcPr>
            <w:tcW w:w="483" w:type="pct"/>
            <w:vMerge w:val="continue"/>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eastAsia" w:ascii="仿宋_GB2312" w:hAnsi="仿宋_GB2312" w:eastAsia="仿宋_GB2312" w:cs="仿宋_GB2312"/>
                <w:sz w:val="24"/>
                <w:szCs w:val="24"/>
              </w:rPr>
            </w:pPr>
          </w:p>
        </w:tc>
        <w:tc>
          <w:tcPr>
            <w:tcW w:w="1651"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color w:val="000000"/>
                <w:sz w:val="20"/>
                <w:szCs w:val="20"/>
              </w:rPr>
              <w:t>4.</w:t>
            </w:r>
            <w:r>
              <w:rPr>
                <w:rFonts w:hint="eastAsia" w:ascii="仿宋_GB2312" w:hAnsi="仿宋_GB2312" w:eastAsia="仿宋_GB2312" w:cs="仿宋_GB2312"/>
                <w:color w:val="000000"/>
                <w:sz w:val="20"/>
                <w:szCs w:val="20"/>
              </w:rPr>
              <w:t>保护第三方合法权益</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393" w:type="pct"/>
            <w:vMerge w:val="continue"/>
            <w:tcBorders>
              <w:top w:val="nil"/>
              <w:left w:val="single" w:color="auto" w:sz="8" w:space="0"/>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eastAsia" w:ascii="仿宋_GB2312" w:hAnsi="仿宋_GB2312" w:eastAsia="仿宋_GB2312" w:cs="仿宋_GB2312"/>
                <w:sz w:val="24"/>
                <w:szCs w:val="24"/>
              </w:rPr>
            </w:pPr>
          </w:p>
        </w:tc>
        <w:tc>
          <w:tcPr>
            <w:tcW w:w="483" w:type="pct"/>
            <w:vMerge w:val="continue"/>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eastAsia" w:ascii="仿宋_GB2312" w:hAnsi="仿宋_GB2312" w:eastAsia="仿宋_GB2312" w:cs="仿宋_GB2312"/>
                <w:sz w:val="24"/>
                <w:szCs w:val="24"/>
              </w:rPr>
            </w:pPr>
          </w:p>
        </w:tc>
        <w:tc>
          <w:tcPr>
            <w:tcW w:w="1651"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color w:val="000000"/>
                <w:sz w:val="20"/>
                <w:szCs w:val="20"/>
              </w:rPr>
              <w:t>5.</w:t>
            </w:r>
            <w:r>
              <w:rPr>
                <w:rFonts w:hint="eastAsia" w:ascii="仿宋_GB2312" w:hAnsi="仿宋_GB2312" w:eastAsia="仿宋_GB2312" w:cs="仿宋_GB2312"/>
                <w:color w:val="000000"/>
                <w:sz w:val="20"/>
                <w:szCs w:val="20"/>
              </w:rPr>
              <w:t>属于三类内部事务信息</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393" w:type="pct"/>
            <w:vMerge w:val="continue"/>
            <w:tcBorders>
              <w:top w:val="nil"/>
              <w:left w:val="single" w:color="auto" w:sz="8" w:space="0"/>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eastAsia" w:ascii="仿宋_GB2312" w:hAnsi="仿宋_GB2312" w:eastAsia="仿宋_GB2312" w:cs="仿宋_GB2312"/>
                <w:sz w:val="24"/>
                <w:szCs w:val="24"/>
              </w:rPr>
            </w:pPr>
          </w:p>
        </w:tc>
        <w:tc>
          <w:tcPr>
            <w:tcW w:w="483" w:type="pct"/>
            <w:vMerge w:val="continue"/>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eastAsia" w:ascii="仿宋_GB2312" w:hAnsi="仿宋_GB2312" w:eastAsia="仿宋_GB2312" w:cs="仿宋_GB2312"/>
                <w:sz w:val="24"/>
                <w:szCs w:val="24"/>
              </w:rPr>
            </w:pPr>
          </w:p>
        </w:tc>
        <w:tc>
          <w:tcPr>
            <w:tcW w:w="1651"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color w:val="000000"/>
                <w:sz w:val="20"/>
                <w:szCs w:val="20"/>
              </w:rPr>
              <w:t>6.</w:t>
            </w:r>
            <w:r>
              <w:rPr>
                <w:rFonts w:hint="eastAsia" w:ascii="仿宋_GB2312" w:hAnsi="仿宋_GB2312" w:eastAsia="仿宋_GB2312" w:cs="仿宋_GB2312"/>
                <w:color w:val="000000"/>
                <w:sz w:val="20"/>
                <w:szCs w:val="20"/>
              </w:rPr>
              <w:t>属于四类过程性信息</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393" w:type="pct"/>
            <w:vMerge w:val="continue"/>
            <w:tcBorders>
              <w:top w:val="nil"/>
              <w:left w:val="single" w:color="auto" w:sz="8" w:space="0"/>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eastAsia" w:ascii="仿宋_GB2312" w:hAnsi="仿宋_GB2312" w:eastAsia="仿宋_GB2312" w:cs="仿宋_GB2312"/>
                <w:sz w:val="24"/>
                <w:szCs w:val="24"/>
              </w:rPr>
            </w:pPr>
          </w:p>
        </w:tc>
        <w:tc>
          <w:tcPr>
            <w:tcW w:w="483" w:type="pct"/>
            <w:vMerge w:val="continue"/>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eastAsia" w:ascii="仿宋_GB2312" w:hAnsi="仿宋_GB2312" w:eastAsia="仿宋_GB2312" w:cs="仿宋_GB2312"/>
                <w:sz w:val="24"/>
                <w:szCs w:val="24"/>
              </w:rPr>
            </w:pPr>
          </w:p>
        </w:tc>
        <w:tc>
          <w:tcPr>
            <w:tcW w:w="1651"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color w:val="000000"/>
                <w:sz w:val="20"/>
                <w:szCs w:val="20"/>
              </w:rPr>
              <w:t>7.</w:t>
            </w:r>
            <w:r>
              <w:rPr>
                <w:rFonts w:hint="eastAsia" w:ascii="仿宋_GB2312" w:hAnsi="仿宋_GB2312" w:eastAsia="仿宋_GB2312" w:cs="仿宋_GB2312"/>
                <w:color w:val="000000"/>
                <w:sz w:val="20"/>
                <w:szCs w:val="20"/>
              </w:rPr>
              <w:t>属于行政执法案卷</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393" w:type="pct"/>
            <w:vMerge w:val="continue"/>
            <w:tcBorders>
              <w:top w:val="nil"/>
              <w:left w:val="single" w:color="auto" w:sz="8" w:space="0"/>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eastAsia" w:ascii="仿宋_GB2312" w:hAnsi="仿宋_GB2312" w:eastAsia="仿宋_GB2312" w:cs="仿宋_GB2312"/>
                <w:sz w:val="24"/>
                <w:szCs w:val="24"/>
              </w:rPr>
            </w:pPr>
          </w:p>
        </w:tc>
        <w:tc>
          <w:tcPr>
            <w:tcW w:w="483" w:type="pct"/>
            <w:vMerge w:val="continue"/>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eastAsia" w:ascii="仿宋_GB2312" w:hAnsi="仿宋_GB2312" w:eastAsia="仿宋_GB2312" w:cs="仿宋_GB2312"/>
                <w:sz w:val="24"/>
                <w:szCs w:val="24"/>
              </w:rPr>
            </w:pPr>
          </w:p>
        </w:tc>
        <w:tc>
          <w:tcPr>
            <w:tcW w:w="1651"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color w:val="000000"/>
                <w:sz w:val="20"/>
                <w:szCs w:val="20"/>
              </w:rPr>
              <w:t>8.</w:t>
            </w:r>
            <w:r>
              <w:rPr>
                <w:rFonts w:hint="eastAsia" w:ascii="仿宋_GB2312" w:hAnsi="仿宋_GB2312" w:eastAsia="仿宋_GB2312" w:cs="仿宋_GB2312"/>
                <w:color w:val="000000"/>
                <w:sz w:val="20"/>
                <w:szCs w:val="20"/>
              </w:rPr>
              <w:t>属于行政查询事项</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393" w:type="pct"/>
            <w:vMerge w:val="continue"/>
            <w:tcBorders>
              <w:top w:val="nil"/>
              <w:left w:val="single" w:color="auto" w:sz="8" w:space="0"/>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eastAsia" w:ascii="仿宋_GB2312" w:hAnsi="仿宋_GB2312" w:eastAsia="仿宋_GB2312" w:cs="仿宋_GB2312"/>
                <w:sz w:val="24"/>
                <w:szCs w:val="24"/>
              </w:rPr>
            </w:pPr>
          </w:p>
        </w:tc>
        <w:tc>
          <w:tcPr>
            <w:tcW w:w="483" w:type="pct"/>
            <w:vMerge w:val="restart"/>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color w:val="000000"/>
                <w:sz w:val="20"/>
                <w:szCs w:val="20"/>
              </w:rPr>
              <w:t>（四）无法提供</w:t>
            </w:r>
          </w:p>
        </w:tc>
        <w:tc>
          <w:tcPr>
            <w:tcW w:w="1651"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color w:val="000000"/>
                <w:sz w:val="20"/>
                <w:szCs w:val="20"/>
              </w:rPr>
              <w:t>1.</w:t>
            </w:r>
            <w:r>
              <w:rPr>
                <w:rFonts w:hint="eastAsia" w:ascii="仿宋_GB2312" w:hAnsi="仿宋_GB2312" w:eastAsia="仿宋_GB2312" w:cs="仿宋_GB2312"/>
                <w:color w:val="000000"/>
                <w:sz w:val="20"/>
                <w:szCs w:val="20"/>
              </w:rPr>
              <w:t>本机关不掌握相关政府信息</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393" w:type="pct"/>
            <w:vMerge w:val="continue"/>
            <w:tcBorders>
              <w:top w:val="nil"/>
              <w:left w:val="single" w:color="auto" w:sz="8" w:space="0"/>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eastAsia" w:ascii="仿宋_GB2312" w:hAnsi="仿宋_GB2312" w:eastAsia="仿宋_GB2312" w:cs="仿宋_GB2312"/>
                <w:sz w:val="24"/>
                <w:szCs w:val="24"/>
              </w:rPr>
            </w:pPr>
          </w:p>
        </w:tc>
        <w:tc>
          <w:tcPr>
            <w:tcW w:w="483" w:type="pct"/>
            <w:vMerge w:val="continue"/>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eastAsia" w:ascii="仿宋_GB2312" w:hAnsi="仿宋_GB2312" w:eastAsia="仿宋_GB2312" w:cs="仿宋_GB2312"/>
                <w:sz w:val="24"/>
                <w:szCs w:val="24"/>
              </w:rPr>
            </w:pPr>
          </w:p>
        </w:tc>
        <w:tc>
          <w:tcPr>
            <w:tcW w:w="1651"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color w:val="000000"/>
                <w:sz w:val="20"/>
                <w:szCs w:val="20"/>
              </w:rPr>
              <w:t>2.</w:t>
            </w:r>
            <w:r>
              <w:rPr>
                <w:rFonts w:hint="eastAsia" w:ascii="仿宋_GB2312" w:hAnsi="仿宋_GB2312" w:eastAsia="仿宋_GB2312" w:cs="仿宋_GB2312"/>
                <w:color w:val="000000"/>
                <w:sz w:val="20"/>
                <w:szCs w:val="20"/>
              </w:rPr>
              <w:t>没有现成信息需要另行制作</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393" w:type="pct"/>
            <w:vMerge w:val="continue"/>
            <w:tcBorders>
              <w:top w:val="nil"/>
              <w:left w:val="single" w:color="auto" w:sz="8" w:space="0"/>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eastAsia" w:ascii="仿宋_GB2312" w:hAnsi="仿宋_GB2312" w:eastAsia="仿宋_GB2312" w:cs="仿宋_GB2312"/>
                <w:sz w:val="24"/>
                <w:szCs w:val="24"/>
              </w:rPr>
            </w:pPr>
          </w:p>
        </w:tc>
        <w:tc>
          <w:tcPr>
            <w:tcW w:w="483" w:type="pct"/>
            <w:vMerge w:val="continue"/>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eastAsia" w:ascii="仿宋_GB2312" w:hAnsi="仿宋_GB2312" w:eastAsia="仿宋_GB2312" w:cs="仿宋_GB2312"/>
                <w:sz w:val="24"/>
                <w:szCs w:val="24"/>
              </w:rPr>
            </w:pPr>
          </w:p>
        </w:tc>
        <w:tc>
          <w:tcPr>
            <w:tcW w:w="1651"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color w:val="000000"/>
                <w:sz w:val="20"/>
                <w:szCs w:val="20"/>
              </w:rPr>
              <w:t>3.</w:t>
            </w:r>
            <w:r>
              <w:rPr>
                <w:rFonts w:hint="eastAsia" w:ascii="仿宋_GB2312" w:hAnsi="仿宋_GB2312" w:eastAsia="仿宋_GB2312" w:cs="仿宋_GB2312"/>
                <w:color w:val="000000"/>
                <w:sz w:val="20"/>
                <w:szCs w:val="20"/>
              </w:rPr>
              <w:t>补正后申请内容仍不明确</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393" w:type="pct"/>
            <w:vMerge w:val="continue"/>
            <w:tcBorders>
              <w:top w:val="nil"/>
              <w:left w:val="single" w:color="auto" w:sz="8" w:space="0"/>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eastAsia" w:ascii="仿宋_GB2312" w:hAnsi="仿宋_GB2312" w:eastAsia="仿宋_GB2312" w:cs="仿宋_GB2312"/>
                <w:sz w:val="24"/>
                <w:szCs w:val="24"/>
              </w:rPr>
            </w:pPr>
          </w:p>
        </w:tc>
        <w:tc>
          <w:tcPr>
            <w:tcW w:w="483" w:type="pct"/>
            <w:vMerge w:val="restart"/>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color w:val="000000"/>
                <w:sz w:val="20"/>
                <w:szCs w:val="20"/>
              </w:rPr>
              <w:t>（五）不予处理</w:t>
            </w:r>
          </w:p>
        </w:tc>
        <w:tc>
          <w:tcPr>
            <w:tcW w:w="1651"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color w:val="000000"/>
                <w:sz w:val="20"/>
                <w:szCs w:val="20"/>
              </w:rPr>
              <w:t>1.</w:t>
            </w:r>
            <w:r>
              <w:rPr>
                <w:rFonts w:hint="eastAsia" w:ascii="仿宋_GB2312" w:hAnsi="仿宋_GB2312" w:eastAsia="仿宋_GB2312" w:cs="仿宋_GB2312"/>
                <w:color w:val="000000"/>
                <w:sz w:val="20"/>
                <w:szCs w:val="20"/>
              </w:rPr>
              <w:t>信访举报投诉类申请</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393" w:type="pct"/>
            <w:vMerge w:val="continue"/>
            <w:tcBorders>
              <w:top w:val="nil"/>
              <w:left w:val="single" w:color="auto" w:sz="8" w:space="0"/>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eastAsia" w:ascii="仿宋_GB2312" w:hAnsi="仿宋_GB2312" w:eastAsia="仿宋_GB2312" w:cs="仿宋_GB2312"/>
                <w:sz w:val="24"/>
                <w:szCs w:val="24"/>
              </w:rPr>
            </w:pPr>
          </w:p>
        </w:tc>
        <w:tc>
          <w:tcPr>
            <w:tcW w:w="483" w:type="pct"/>
            <w:vMerge w:val="continue"/>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eastAsia" w:ascii="仿宋_GB2312" w:hAnsi="仿宋_GB2312" w:eastAsia="仿宋_GB2312" w:cs="仿宋_GB2312"/>
                <w:sz w:val="24"/>
                <w:szCs w:val="24"/>
              </w:rPr>
            </w:pPr>
          </w:p>
        </w:tc>
        <w:tc>
          <w:tcPr>
            <w:tcW w:w="1651"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color w:val="000000"/>
                <w:sz w:val="20"/>
                <w:szCs w:val="20"/>
              </w:rPr>
              <w:t>2.</w:t>
            </w:r>
            <w:r>
              <w:rPr>
                <w:rFonts w:hint="eastAsia" w:ascii="仿宋_GB2312" w:hAnsi="仿宋_GB2312" w:eastAsia="仿宋_GB2312" w:cs="仿宋_GB2312"/>
                <w:color w:val="000000"/>
                <w:sz w:val="20"/>
                <w:szCs w:val="20"/>
              </w:rPr>
              <w:t>重复申请</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393" w:type="pct"/>
            <w:vMerge w:val="continue"/>
            <w:tcBorders>
              <w:top w:val="nil"/>
              <w:left w:val="single" w:color="auto" w:sz="8" w:space="0"/>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eastAsia" w:ascii="仿宋_GB2312" w:hAnsi="仿宋_GB2312" w:eastAsia="仿宋_GB2312" w:cs="仿宋_GB2312"/>
                <w:sz w:val="24"/>
                <w:szCs w:val="24"/>
              </w:rPr>
            </w:pPr>
          </w:p>
        </w:tc>
        <w:tc>
          <w:tcPr>
            <w:tcW w:w="483" w:type="pct"/>
            <w:vMerge w:val="continue"/>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eastAsia" w:ascii="仿宋_GB2312" w:hAnsi="仿宋_GB2312" w:eastAsia="仿宋_GB2312" w:cs="仿宋_GB2312"/>
                <w:sz w:val="24"/>
                <w:szCs w:val="24"/>
              </w:rPr>
            </w:pPr>
          </w:p>
        </w:tc>
        <w:tc>
          <w:tcPr>
            <w:tcW w:w="1651"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color w:val="000000"/>
                <w:sz w:val="20"/>
                <w:szCs w:val="20"/>
              </w:rPr>
              <w:t>3.</w:t>
            </w:r>
            <w:r>
              <w:rPr>
                <w:rFonts w:hint="eastAsia" w:ascii="仿宋_GB2312" w:hAnsi="仿宋_GB2312" w:eastAsia="仿宋_GB2312" w:cs="仿宋_GB2312"/>
                <w:color w:val="000000"/>
                <w:sz w:val="20"/>
                <w:szCs w:val="20"/>
              </w:rPr>
              <w:t>要求提供公开出版物</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393" w:type="pct"/>
            <w:vMerge w:val="continue"/>
            <w:tcBorders>
              <w:top w:val="nil"/>
              <w:left w:val="single" w:color="auto" w:sz="8" w:space="0"/>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eastAsia" w:ascii="仿宋_GB2312" w:hAnsi="仿宋_GB2312" w:eastAsia="仿宋_GB2312" w:cs="仿宋_GB2312"/>
                <w:sz w:val="24"/>
                <w:szCs w:val="24"/>
              </w:rPr>
            </w:pPr>
          </w:p>
        </w:tc>
        <w:tc>
          <w:tcPr>
            <w:tcW w:w="483" w:type="pct"/>
            <w:vMerge w:val="continue"/>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eastAsia" w:ascii="仿宋_GB2312" w:hAnsi="仿宋_GB2312" w:eastAsia="仿宋_GB2312" w:cs="仿宋_GB2312"/>
                <w:sz w:val="24"/>
                <w:szCs w:val="24"/>
              </w:rPr>
            </w:pPr>
          </w:p>
        </w:tc>
        <w:tc>
          <w:tcPr>
            <w:tcW w:w="1651"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color w:val="000000"/>
                <w:sz w:val="20"/>
                <w:szCs w:val="20"/>
              </w:rPr>
              <w:t>4.</w:t>
            </w:r>
            <w:r>
              <w:rPr>
                <w:rFonts w:hint="eastAsia" w:ascii="仿宋_GB2312" w:hAnsi="仿宋_GB2312" w:eastAsia="仿宋_GB2312" w:cs="仿宋_GB2312"/>
                <w:color w:val="000000"/>
                <w:sz w:val="20"/>
                <w:szCs w:val="20"/>
              </w:rPr>
              <w:t>无正当理由大量反复申请</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trPr>
        <w:tc>
          <w:tcPr>
            <w:tcW w:w="393" w:type="pct"/>
            <w:vMerge w:val="continue"/>
            <w:tcBorders>
              <w:top w:val="nil"/>
              <w:left w:val="single" w:color="auto" w:sz="8" w:space="0"/>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eastAsia" w:ascii="仿宋_GB2312" w:hAnsi="仿宋_GB2312" w:eastAsia="仿宋_GB2312" w:cs="仿宋_GB2312"/>
                <w:sz w:val="24"/>
                <w:szCs w:val="24"/>
              </w:rPr>
            </w:pPr>
          </w:p>
        </w:tc>
        <w:tc>
          <w:tcPr>
            <w:tcW w:w="483" w:type="pct"/>
            <w:vMerge w:val="continue"/>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eastAsia" w:ascii="仿宋_GB2312" w:hAnsi="仿宋_GB2312" w:eastAsia="仿宋_GB2312" w:cs="仿宋_GB2312"/>
                <w:sz w:val="24"/>
                <w:szCs w:val="24"/>
              </w:rPr>
            </w:pPr>
          </w:p>
        </w:tc>
        <w:tc>
          <w:tcPr>
            <w:tcW w:w="1651" w:type="pct"/>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rPr>
            </w:pPr>
            <w:r>
              <w:rPr>
                <w:rFonts w:hint="eastAsia" w:ascii="仿宋_GB2312" w:hAnsi="仿宋_GB2312" w:eastAsia="仿宋_GB2312" w:cs="仿宋_GB2312"/>
                <w:color w:val="000000"/>
                <w:sz w:val="20"/>
                <w:szCs w:val="20"/>
              </w:rPr>
              <w:t>5.</w:t>
            </w:r>
            <w:r>
              <w:rPr>
                <w:rFonts w:hint="eastAsia" w:ascii="仿宋_GB2312" w:hAnsi="仿宋_GB2312" w:eastAsia="仿宋_GB2312" w:cs="仿宋_GB2312"/>
                <w:color w:val="000000"/>
                <w:sz w:val="20"/>
                <w:szCs w:val="20"/>
              </w:rPr>
              <w:t>要求行政机关确认或重新出具已获取信息</w:t>
            </w:r>
          </w:p>
        </w:tc>
        <w:tc>
          <w:tcPr>
            <w:tcW w:w="352" w:type="pct"/>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5" w:hRule="atLeast"/>
        </w:trPr>
        <w:tc>
          <w:tcPr>
            <w:tcW w:w="393" w:type="pct"/>
            <w:vMerge w:val="continue"/>
            <w:tcBorders>
              <w:top w:val="nil"/>
              <w:left w:val="single" w:color="auto" w:sz="8" w:space="0"/>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eastAsia" w:ascii="仿宋_GB2312" w:hAnsi="仿宋_GB2312" w:eastAsia="仿宋_GB2312" w:cs="仿宋_GB2312"/>
                <w:sz w:val="24"/>
                <w:szCs w:val="24"/>
              </w:rPr>
            </w:pPr>
          </w:p>
        </w:tc>
        <w:tc>
          <w:tcPr>
            <w:tcW w:w="483" w:type="pct"/>
            <w:vMerge w:val="restart"/>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color w:val="000000"/>
                <w:sz w:val="20"/>
                <w:szCs w:val="20"/>
              </w:rPr>
              <w:t>（六）其他处理</w:t>
            </w:r>
          </w:p>
        </w:tc>
        <w:tc>
          <w:tcPr>
            <w:tcW w:w="1651"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rPr>
            </w:pPr>
            <w:r>
              <w:rPr>
                <w:rFonts w:hint="eastAsia" w:ascii="仿宋_GB2312" w:hAnsi="仿宋_GB2312" w:eastAsia="仿宋_GB2312" w:cs="仿宋_GB2312"/>
                <w:color w:val="000000"/>
                <w:sz w:val="20"/>
                <w:szCs w:val="20"/>
              </w:rPr>
              <w:t>1.</w:t>
            </w:r>
            <w:r>
              <w:rPr>
                <w:rFonts w:hint="eastAsia" w:ascii="仿宋_GB2312" w:hAnsi="仿宋_GB2312" w:eastAsia="仿宋_GB2312" w:cs="仿宋_GB2312"/>
                <w:color w:val="000000"/>
                <w:sz w:val="20"/>
                <w:szCs w:val="20"/>
              </w:rPr>
              <w:t>申请人无正当理由逾期不补正、行政机关不再处理其政府信息公开申请</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5" w:hRule="atLeast"/>
        </w:trPr>
        <w:tc>
          <w:tcPr>
            <w:tcW w:w="393" w:type="pct"/>
            <w:vMerge w:val="continue"/>
            <w:tcBorders>
              <w:top w:val="nil"/>
              <w:left w:val="single" w:color="auto" w:sz="8" w:space="0"/>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eastAsia" w:ascii="仿宋_GB2312" w:hAnsi="仿宋_GB2312" w:eastAsia="仿宋_GB2312" w:cs="仿宋_GB2312"/>
                <w:sz w:val="24"/>
                <w:szCs w:val="24"/>
              </w:rPr>
            </w:pPr>
          </w:p>
        </w:tc>
        <w:tc>
          <w:tcPr>
            <w:tcW w:w="483" w:type="pct"/>
            <w:vMerge w:val="continue"/>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eastAsia" w:ascii="仿宋_GB2312" w:hAnsi="仿宋_GB2312" w:eastAsia="仿宋_GB2312" w:cs="仿宋_GB2312"/>
                <w:sz w:val="24"/>
                <w:szCs w:val="24"/>
              </w:rPr>
            </w:pPr>
          </w:p>
        </w:tc>
        <w:tc>
          <w:tcPr>
            <w:tcW w:w="1651"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rPr>
            </w:pPr>
            <w:r>
              <w:rPr>
                <w:rFonts w:hint="eastAsia" w:ascii="仿宋_GB2312" w:hAnsi="仿宋_GB2312" w:eastAsia="仿宋_GB2312" w:cs="仿宋_GB2312"/>
                <w:color w:val="000000"/>
                <w:sz w:val="20"/>
                <w:szCs w:val="20"/>
              </w:rPr>
              <w:t>2.</w:t>
            </w:r>
            <w:r>
              <w:rPr>
                <w:rFonts w:hint="eastAsia" w:ascii="仿宋_GB2312" w:hAnsi="仿宋_GB2312" w:eastAsia="仿宋_GB2312" w:cs="仿宋_GB2312"/>
                <w:color w:val="000000"/>
                <w:sz w:val="20"/>
                <w:szCs w:val="20"/>
              </w:rPr>
              <w:t>申请人逾期未按收费通知要求缴纳费用、行政机关不再处理其政府信息公开申请</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5" w:hRule="atLeast"/>
        </w:trPr>
        <w:tc>
          <w:tcPr>
            <w:tcW w:w="393" w:type="pct"/>
            <w:vMerge w:val="continue"/>
            <w:tcBorders>
              <w:top w:val="nil"/>
              <w:left w:val="single" w:color="auto" w:sz="8" w:space="0"/>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eastAsia" w:ascii="仿宋_GB2312" w:hAnsi="仿宋_GB2312" w:eastAsia="仿宋_GB2312" w:cs="仿宋_GB2312"/>
                <w:sz w:val="24"/>
                <w:szCs w:val="24"/>
              </w:rPr>
            </w:pPr>
          </w:p>
        </w:tc>
        <w:tc>
          <w:tcPr>
            <w:tcW w:w="483" w:type="pct"/>
            <w:vMerge w:val="continue"/>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eastAsia" w:ascii="仿宋_GB2312" w:hAnsi="仿宋_GB2312" w:eastAsia="仿宋_GB2312" w:cs="仿宋_GB2312"/>
                <w:sz w:val="24"/>
                <w:szCs w:val="24"/>
              </w:rPr>
            </w:pPr>
          </w:p>
        </w:tc>
        <w:tc>
          <w:tcPr>
            <w:tcW w:w="1651"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color w:val="000000"/>
                <w:sz w:val="20"/>
                <w:szCs w:val="20"/>
              </w:rPr>
              <w:t>3.</w:t>
            </w:r>
            <w:r>
              <w:rPr>
                <w:rFonts w:hint="eastAsia" w:ascii="仿宋_GB2312" w:hAnsi="仿宋_GB2312" w:eastAsia="仿宋_GB2312" w:cs="仿宋_GB2312"/>
                <w:color w:val="000000"/>
                <w:sz w:val="20"/>
                <w:szCs w:val="20"/>
              </w:rPr>
              <w:t>其他</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393" w:type="pct"/>
            <w:vMerge w:val="continue"/>
            <w:tcBorders>
              <w:top w:val="nil"/>
              <w:left w:val="single" w:color="auto" w:sz="8" w:space="0"/>
              <w:bottom w:val="outset" w:color="auto" w:sz="8" w:space="0"/>
              <w:right w:val="single" w:color="auto" w:sz="8" w:space="0"/>
            </w:tcBorders>
            <w:shd w:val="clear" w:color="auto" w:fill="FFFFFF"/>
            <w:tcMar>
              <w:top w:w="0" w:type="dxa"/>
              <w:left w:w="57" w:type="dxa"/>
              <w:bottom w:w="0" w:type="dxa"/>
              <w:right w:w="57" w:type="dxa"/>
            </w:tcMar>
            <w:vAlign w:val="center"/>
          </w:tcPr>
          <w:p>
            <w:pPr>
              <w:rPr>
                <w:rFonts w:hint="eastAsia" w:ascii="仿宋_GB2312" w:hAnsi="仿宋_GB2312" w:eastAsia="仿宋_GB2312" w:cs="仿宋_GB2312"/>
                <w:sz w:val="24"/>
                <w:szCs w:val="24"/>
              </w:rPr>
            </w:pPr>
          </w:p>
        </w:tc>
        <w:tc>
          <w:tcPr>
            <w:tcW w:w="2135" w:type="pct"/>
            <w:gridSpan w:val="2"/>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color w:val="000000"/>
                <w:sz w:val="20"/>
                <w:szCs w:val="20"/>
              </w:rPr>
              <w:t>（七）总计</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5" w:hRule="atLeast"/>
        </w:trPr>
        <w:tc>
          <w:tcPr>
            <w:tcW w:w="2529" w:type="pct"/>
            <w:gridSpan w:val="3"/>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color w:val="000000"/>
                <w:sz w:val="20"/>
                <w:szCs w:val="20"/>
              </w:rPr>
              <w:t>四、结转下年度继续办理</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2"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53" w:type="pc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pStyle w:val="3"/>
              <w:keepNext w:val="0"/>
              <w:keepLines w:val="0"/>
              <w:widowControl/>
              <w:suppressLineNumbers w:val="0"/>
              <w:ind w:left="0" w:firstLine="200"/>
              <w:jc w:val="both"/>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283" w:right="0" w:firstLine="0"/>
        <w:jc w:val="both"/>
        <w:rPr>
          <w:rStyle w:val="6"/>
          <w:rFonts w:hint="eastAsia" w:ascii="仿宋_GB2312" w:hAnsi="仿宋_GB2312" w:eastAsia="仿宋_GB2312" w:cs="仿宋_GB2312"/>
          <w:b/>
          <w:bCs/>
          <w:i w:val="0"/>
          <w:iCs w:val="0"/>
          <w:caps w:val="0"/>
          <w:color w:val="000000"/>
          <w:spacing w:val="0"/>
          <w:sz w:val="24"/>
          <w:szCs w:val="24"/>
          <w:lang w:val="en-US"/>
        </w:rPr>
      </w:pPr>
    </w:p>
    <w:p>
      <w:pPr>
        <w:widowControl/>
        <w:numPr>
          <w:ilvl w:val="0"/>
          <w:numId w:val="0"/>
        </w:numPr>
        <w:shd w:val="clear" w:color="auto" w:fill="FFFFFF" w:themeFill="background1"/>
        <w:spacing w:after="240" w:line="560" w:lineRule="exact"/>
        <w:ind w:leftChars="200"/>
        <w:rPr>
          <w:rStyle w:val="6"/>
          <w:rFonts w:hint="eastAsia" w:ascii="仿宋_GB2312" w:hAnsi="仿宋_GB2312" w:eastAsia="仿宋_GB2312" w:cs="仿宋_GB2312"/>
          <w:b w:val="0"/>
          <w:bCs w:val="0"/>
          <w:i w:val="0"/>
          <w:iCs w:val="0"/>
          <w:caps w:val="0"/>
          <w:color w:val="000000"/>
          <w:spacing w:val="0"/>
          <w:sz w:val="32"/>
          <w:szCs w:val="32"/>
          <w:shd w:val="clear" w:fill="FFFFFF"/>
        </w:rPr>
      </w:pPr>
      <w:r>
        <w:rPr>
          <w:rStyle w:val="6"/>
          <w:rFonts w:hint="eastAsia" w:ascii="仿宋_GB2312" w:hAnsi="仿宋_GB2312" w:eastAsia="仿宋_GB2312" w:cs="仿宋_GB2312"/>
          <w:b w:val="0"/>
          <w:bCs w:val="0"/>
          <w:i w:val="0"/>
          <w:iCs w:val="0"/>
          <w:caps w:val="0"/>
          <w:color w:val="000000"/>
          <w:spacing w:val="0"/>
          <w:sz w:val="32"/>
          <w:szCs w:val="32"/>
          <w:lang w:val="en-US"/>
        </w:rPr>
        <w:t> 四、</w:t>
      </w:r>
      <w:r>
        <w:rPr>
          <w:rFonts w:hint="eastAsia" w:ascii="黑体" w:hAnsi="黑体" w:eastAsia="黑体" w:cs="黑体"/>
          <w:bCs/>
          <w:kern w:val="0"/>
          <w:sz w:val="32"/>
          <w:szCs w:val="32"/>
        </w:rPr>
        <w:t>政府信息公开行政复议、行政诉讼情况</w:t>
      </w:r>
      <w:bookmarkStart w:id="0" w:name="_GoBack"/>
      <w:bookmarkEnd w:id="0"/>
    </w:p>
    <w:tbl>
      <w:tblPr>
        <w:tblStyle w:val="4"/>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98"/>
        <w:gridCol w:w="630"/>
        <w:gridCol w:w="630"/>
        <w:gridCol w:w="630"/>
        <w:gridCol w:w="398"/>
        <w:gridCol w:w="630"/>
        <w:gridCol w:w="630"/>
        <w:gridCol w:w="630"/>
        <w:gridCol w:w="630"/>
        <w:gridCol w:w="398"/>
        <w:gridCol w:w="630"/>
        <w:gridCol w:w="630"/>
        <w:gridCol w:w="630"/>
        <w:gridCol w:w="630"/>
        <w:gridCol w:w="39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647"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rPr>
            </w:pPr>
            <w:r>
              <w:rPr>
                <w:rFonts w:hint="eastAsia" w:ascii="仿宋_GB2312" w:hAnsi="仿宋_GB2312" w:eastAsia="仿宋_GB2312" w:cs="仿宋_GB2312"/>
                <w:color w:val="000000"/>
                <w:sz w:val="20"/>
                <w:szCs w:val="20"/>
              </w:rPr>
              <w:t>行政复议</w:t>
            </w:r>
          </w:p>
        </w:tc>
        <w:tc>
          <w:tcPr>
            <w:tcW w:w="5875" w:type="dxa"/>
            <w:gridSpan w:val="10"/>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rPr>
            </w:pPr>
            <w:r>
              <w:rPr>
                <w:rFonts w:hint="eastAsia" w:ascii="仿宋_GB2312" w:hAnsi="仿宋_GB2312" w:eastAsia="仿宋_GB2312" w:cs="仿宋_GB2312"/>
                <w:color w:val="00000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81"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rPr>
            </w:pPr>
            <w:r>
              <w:rPr>
                <w:rFonts w:hint="eastAsia" w:ascii="仿宋_GB2312" w:hAnsi="仿宋_GB2312" w:eastAsia="仿宋_GB2312" w:cs="仿宋_GB2312"/>
                <w:color w:val="000000"/>
                <w:sz w:val="20"/>
                <w:szCs w:val="20"/>
              </w:rPr>
              <w:t>结果维持</w:t>
            </w:r>
          </w:p>
        </w:tc>
        <w:tc>
          <w:tcPr>
            <w:tcW w:w="519"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both"/>
              <w:rPr>
                <w:rFonts w:hint="eastAsia" w:ascii="仿宋_GB2312" w:hAnsi="仿宋_GB2312" w:eastAsia="仿宋_GB2312" w:cs="仿宋_GB2312"/>
              </w:rPr>
            </w:pPr>
            <w:r>
              <w:rPr>
                <w:rFonts w:hint="eastAsia" w:ascii="仿宋_GB2312" w:hAnsi="仿宋_GB2312" w:eastAsia="仿宋_GB2312" w:cs="仿宋_GB2312"/>
                <w:color w:val="000000"/>
                <w:sz w:val="20"/>
                <w:szCs w:val="20"/>
              </w:rPr>
              <w:t>结果 </w:t>
            </w:r>
            <w:r>
              <w:rPr>
                <w:rFonts w:hint="eastAsia" w:ascii="仿宋_GB2312" w:hAnsi="仿宋_GB2312" w:eastAsia="仿宋_GB2312" w:cs="仿宋_GB2312"/>
                <w:color w:val="000000"/>
                <w:sz w:val="20"/>
                <w:szCs w:val="20"/>
              </w:rPr>
              <w:t>纠</w:t>
            </w:r>
          </w:p>
          <w:p>
            <w:pPr>
              <w:pStyle w:val="3"/>
              <w:keepNext w:val="0"/>
              <w:keepLines w:val="0"/>
              <w:widowControl/>
              <w:suppressLineNumbers w:val="0"/>
              <w:spacing w:before="0" w:beforeAutospacing="0" w:after="0" w:afterAutospacing="0"/>
              <w:ind w:left="0" w:right="0" w:firstLine="0"/>
              <w:jc w:val="both"/>
              <w:rPr>
                <w:rFonts w:hint="eastAsia" w:ascii="仿宋_GB2312" w:hAnsi="仿宋_GB2312" w:eastAsia="仿宋_GB2312" w:cs="仿宋_GB2312"/>
              </w:rPr>
            </w:pPr>
            <w:r>
              <w:rPr>
                <w:rFonts w:hint="eastAsia" w:ascii="仿宋_GB2312" w:hAnsi="仿宋_GB2312" w:eastAsia="仿宋_GB2312" w:cs="仿宋_GB2312"/>
                <w:color w:val="000000"/>
                <w:sz w:val="20"/>
                <w:szCs w:val="20"/>
              </w:rPr>
              <w:t>正</w:t>
            </w:r>
          </w:p>
        </w:tc>
        <w:tc>
          <w:tcPr>
            <w:tcW w:w="643"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both"/>
              <w:rPr>
                <w:rFonts w:hint="eastAsia" w:ascii="仿宋_GB2312" w:hAnsi="仿宋_GB2312" w:eastAsia="仿宋_GB2312" w:cs="仿宋_GB2312"/>
              </w:rPr>
            </w:pPr>
            <w:r>
              <w:rPr>
                <w:rFonts w:hint="eastAsia" w:ascii="仿宋_GB2312" w:hAnsi="仿宋_GB2312" w:eastAsia="仿宋_GB2312" w:cs="仿宋_GB2312"/>
                <w:color w:val="000000"/>
                <w:sz w:val="20"/>
                <w:szCs w:val="20"/>
              </w:rPr>
              <w:t>其他 </w:t>
            </w:r>
            <w:r>
              <w:rPr>
                <w:rFonts w:hint="eastAsia" w:ascii="仿宋_GB2312" w:hAnsi="仿宋_GB2312" w:eastAsia="仿宋_GB2312" w:cs="仿宋_GB2312"/>
                <w:color w:val="000000"/>
                <w:sz w:val="20"/>
                <w:szCs w:val="20"/>
              </w:rPr>
              <w:t>结</w:t>
            </w:r>
          </w:p>
          <w:p>
            <w:pPr>
              <w:pStyle w:val="3"/>
              <w:keepNext w:val="0"/>
              <w:keepLines w:val="0"/>
              <w:widowControl/>
              <w:suppressLineNumbers w:val="0"/>
              <w:spacing w:before="0" w:beforeAutospacing="0" w:after="0" w:afterAutospacing="0"/>
              <w:ind w:left="0" w:right="0" w:firstLine="0"/>
              <w:jc w:val="both"/>
              <w:rPr>
                <w:rFonts w:hint="eastAsia" w:ascii="仿宋_GB2312" w:hAnsi="仿宋_GB2312" w:eastAsia="仿宋_GB2312" w:cs="仿宋_GB2312"/>
              </w:rPr>
            </w:pPr>
            <w:r>
              <w:rPr>
                <w:rFonts w:hint="eastAsia" w:ascii="仿宋_GB2312" w:hAnsi="仿宋_GB2312" w:eastAsia="仿宋_GB2312" w:cs="仿宋_GB2312"/>
                <w:color w:val="000000"/>
                <w:sz w:val="20"/>
                <w:szCs w:val="20"/>
              </w:rPr>
              <w:t>果</w:t>
            </w:r>
          </w:p>
        </w:tc>
        <w:tc>
          <w:tcPr>
            <w:tcW w:w="643"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both"/>
              <w:rPr>
                <w:rFonts w:hint="eastAsia" w:ascii="仿宋_GB2312" w:hAnsi="仿宋_GB2312" w:eastAsia="仿宋_GB2312" w:cs="仿宋_GB2312"/>
              </w:rPr>
            </w:pPr>
            <w:r>
              <w:rPr>
                <w:rFonts w:hint="eastAsia" w:ascii="仿宋_GB2312" w:hAnsi="仿宋_GB2312" w:eastAsia="仿宋_GB2312" w:cs="仿宋_GB2312"/>
                <w:color w:val="000000"/>
                <w:sz w:val="20"/>
                <w:szCs w:val="20"/>
              </w:rPr>
              <w:t>尚未 </w:t>
            </w:r>
            <w:r>
              <w:rPr>
                <w:rFonts w:hint="eastAsia" w:ascii="仿宋_GB2312" w:hAnsi="仿宋_GB2312" w:eastAsia="仿宋_GB2312" w:cs="仿宋_GB2312"/>
                <w:color w:val="000000"/>
                <w:sz w:val="20"/>
                <w:szCs w:val="20"/>
              </w:rPr>
              <w:t>审</w:t>
            </w:r>
          </w:p>
          <w:p>
            <w:pPr>
              <w:pStyle w:val="3"/>
              <w:keepNext w:val="0"/>
              <w:keepLines w:val="0"/>
              <w:widowControl/>
              <w:suppressLineNumbers w:val="0"/>
              <w:spacing w:before="0" w:beforeAutospacing="0" w:after="0" w:afterAutospacing="0"/>
              <w:ind w:left="0" w:right="0" w:firstLine="0"/>
              <w:jc w:val="both"/>
              <w:rPr>
                <w:rFonts w:hint="eastAsia" w:ascii="仿宋_GB2312" w:hAnsi="仿宋_GB2312" w:eastAsia="仿宋_GB2312" w:cs="仿宋_GB2312"/>
              </w:rPr>
            </w:pPr>
            <w:r>
              <w:rPr>
                <w:rFonts w:hint="eastAsia" w:ascii="仿宋_GB2312" w:hAnsi="仿宋_GB2312" w:eastAsia="仿宋_GB2312" w:cs="仿宋_GB2312"/>
                <w:color w:val="000000"/>
                <w:sz w:val="20"/>
                <w:szCs w:val="20"/>
              </w:rPr>
              <w:t>结</w:t>
            </w:r>
          </w:p>
        </w:tc>
        <w:tc>
          <w:tcPr>
            <w:tcW w:w="361"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rPr>
            </w:pPr>
            <w:r>
              <w:rPr>
                <w:rFonts w:hint="eastAsia" w:ascii="仿宋_GB2312" w:hAnsi="仿宋_GB2312" w:eastAsia="仿宋_GB2312" w:cs="仿宋_GB2312"/>
                <w:color w:val="000000"/>
                <w:sz w:val="20"/>
                <w:szCs w:val="20"/>
              </w:rPr>
              <w:t>总计</w:t>
            </w:r>
          </w:p>
        </w:tc>
        <w:tc>
          <w:tcPr>
            <w:tcW w:w="2937" w:type="dxa"/>
            <w:gridSpan w:val="5"/>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rPr>
            </w:pPr>
            <w:r>
              <w:rPr>
                <w:rFonts w:hint="eastAsia" w:ascii="仿宋_GB2312" w:hAnsi="仿宋_GB2312" w:eastAsia="仿宋_GB2312" w:cs="仿宋_GB2312"/>
                <w:color w:val="000000"/>
                <w:sz w:val="20"/>
                <w:szCs w:val="20"/>
              </w:rPr>
              <w:t>未经复议直接起诉</w:t>
            </w:r>
          </w:p>
        </w:tc>
        <w:tc>
          <w:tcPr>
            <w:tcW w:w="2938" w:type="dxa"/>
            <w:gridSpan w:val="5"/>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rPr>
            </w:pPr>
            <w:r>
              <w:rPr>
                <w:rFonts w:hint="eastAsia" w:ascii="仿宋_GB2312" w:hAnsi="仿宋_GB2312" w:eastAsia="仿宋_GB2312" w:cs="仿宋_GB2312"/>
                <w:color w:val="00000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8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c>
          <w:tcPr>
            <w:tcW w:w="51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c>
          <w:tcPr>
            <w:tcW w:w="643"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c>
          <w:tcPr>
            <w:tcW w:w="643"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c>
          <w:tcPr>
            <w:tcW w:w="361"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both"/>
              <w:rPr>
                <w:rFonts w:hint="eastAsia" w:ascii="仿宋_GB2312" w:hAnsi="仿宋_GB2312" w:eastAsia="仿宋_GB2312" w:cs="仿宋_GB2312"/>
              </w:rPr>
            </w:pPr>
            <w:r>
              <w:rPr>
                <w:rFonts w:hint="eastAsia" w:ascii="仿宋_GB2312" w:hAnsi="仿宋_GB2312" w:eastAsia="仿宋_GB2312" w:cs="仿宋_GB2312"/>
                <w:color w:val="000000"/>
                <w:sz w:val="20"/>
                <w:szCs w:val="20"/>
              </w:rPr>
              <w:t>结果 </w:t>
            </w:r>
            <w:r>
              <w:rPr>
                <w:rFonts w:hint="eastAsia" w:ascii="仿宋_GB2312" w:hAnsi="仿宋_GB2312" w:eastAsia="仿宋_GB2312" w:cs="仿宋_GB2312"/>
                <w:color w:val="000000"/>
                <w:sz w:val="20"/>
                <w:szCs w:val="20"/>
              </w:rPr>
              <w:t>维</w:t>
            </w:r>
          </w:p>
          <w:p>
            <w:pPr>
              <w:pStyle w:val="3"/>
              <w:keepNext w:val="0"/>
              <w:keepLines w:val="0"/>
              <w:widowControl/>
              <w:suppressLineNumbers w:val="0"/>
              <w:spacing w:before="0" w:beforeAutospacing="0" w:after="0" w:afterAutospacing="0"/>
              <w:ind w:left="0" w:right="0" w:firstLine="0"/>
              <w:jc w:val="both"/>
              <w:rPr>
                <w:rFonts w:hint="eastAsia" w:ascii="仿宋_GB2312" w:hAnsi="仿宋_GB2312" w:eastAsia="仿宋_GB2312" w:cs="仿宋_GB2312"/>
              </w:rPr>
            </w:pPr>
            <w:r>
              <w:rPr>
                <w:rFonts w:hint="eastAsia" w:ascii="仿宋_GB2312" w:hAnsi="仿宋_GB2312" w:eastAsia="仿宋_GB2312" w:cs="仿宋_GB2312"/>
                <w:color w:val="000000"/>
                <w:sz w:val="20"/>
                <w:szCs w:val="20"/>
              </w:rPr>
              <w:t>持</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both"/>
              <w:rPr>
                <w:rFonts w:hint="eastAsia" w:ascii="仿宋_GB2312" w:hAnsi="仿宋_GB2312" w:eastAsia="仿宋_GB2312" w:cs="仿宋_GB2312"/>
              </w:rPr>
            </w:pPr>
            <w:r>
              <w:rPr>
                <w:rFonts w:hint="eastAsia" w:ascii="仿宋_GB2312" w:hAnsi="仿宋_GB2312" w:eastAsia="仿宋_GB2312" w:cs="仿宋_GB2312"/>
                <w:color w:val="000000"/>
                <w:sz w:val="20"/>
                <w:szCs w:val="20"/>
              </w:rPr>
              <w:t>结果 </w:t>
            </w:r>
            <w:r>
              <w:rPr>
                <w:rFonts w:hint="eastAsia" w:ascii="仿宋_GB2312" w:hAnsi="仿宋_GB2312" w:eastAsia="仿宋_GB2312" w:cs="仿宋_GB2312"/>
                <w:color w:val="000000"/>
                <w:sz w:val="20"/>
                <w:szCs w:val="20"/>
              </w:rPr>
              <w:t>纠</w:t>
            </w:r>
          </w:p>
          <w:p>
            <w:pPr>
              <w:pStyle w:val="3"/>
              <w:keepNext w:val="0"/>
              <w:keepLines w:val="0"/>
              <w:widowControl/>
              <w:suppressLineNumbers w:val="0"/>
              <w:spacing w:before="0" w:beforeAutospacing="0" w:after="0" w:afterAutospacing="0"/>
              <w:ind w:left="0" w:right="0" w:firstLine="0"/>
              <w:jc w:val="both"/>
              <w:rPr>
                <w:rFonts w:hint="eastAsia" w:ascii="仿宋_GB2312" w:hAnsi="仿宋_GB2312" w:eastAsia="仿宋_GB2312" w:cs="仿宋_GB2312"/>
              </w:rPr>
            </w:pPr>
            <w:r>
              <w:rPr>
                <w:rFonts w:hint="eastAsia" w:ascii="仿宋_GB2312" w:hAnsi="仿宋_GB2312" w:eastAsia="仿宋_GB2312" w:cs="仿宋_GB2312"/>
                <w:color w:val="000000"/>
                <w:sz w:val="20"/>
                <w:szCs w:val="20"/>
              </w:rPr>
              <w:t>正</w:t>
            </w:r>
          </w:p>
        </w:tc>
        <w:tc>
          <w:tcPr>
            <w:tcW w:w="64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both"/>
              <w:rPr>
                <w:rFonts w:hint="eastAsia" w:ascii="仿宋_GB2312" w:hAnsi="仿宋_GB2312" w:eastAsia="仿宋_GB2312" w:cs="仿宋_GB2312"/>
              </w:rPr>
            </w:pPr>
            <w:r>
              <w:rPr>
                <w:rFonts w:hint="eastAsia" w:ascii="仿宋_GB2312" w:hAnsi="仿宋_GB2312" w:eastAsia="仿宋_GB2312" w:cs="仿宋_GB2312"/>
                <w:color w:val="000000"/>
                <w:sz w:val="20"/>
                <w:szCs w:val="20"/>
              </w:rPr>
              <w:t>其他 </w:t>
            </w:r>
            <w:r>
              <w:rPr>
                <w:rFonts w:hint="eastAsia" w:ascii="仿宋_GB2312" w:hAnsi="仿宋_GB2312" w:eastAsia="仿宋_GB2312" w:cs="仿宋_GB2312"/>
                <w:color w:val="000000"/>
                <w:sz w:val="20"/>
                <w:szCs w:val="20"/>
              </w:rPr>
              <w:t>结</w:t>
            </w:r>
          </w:p>
          <w:p>
            <w:pPr>
              <w:pStyle w:val="3"/>
              <w:keepNext w:val="0"/>
              <w:keepLines w:val="0"/>
              <w:widowControl/>
              <w:suppressLineNumbers w:val="0"/>
              <w:spacing w:before="0" w:beforeAutospacing="0" w:after="0" w:afterAutospacing="0"/>
              <w:ind w:left="0" w:right="0" w:firstLine="0"/>
              <w:jc w:val="both"/>
              <w:rPr>
                <w:rFonts w:hint="eastAsia" w:ascii="仿宋_GB2312" w:hAnsi="仿宋_GB2312" w:eastAsia="仿宋_GB2312" w:cs="仿宋_GB2312"/>
              </w:rPr>
            </w:pPr>
            <w:r>
              <w:rPr>
                <w:rFonts w:hint="eastAsia" w:ascii="仿宋_GB2312" w:hAnsi="仿宋_GB2312" w:eastAsia="仿宋_GB2312" w:cs="仿宋_GB2312"/>
                <w:color w:val="000000"/>
                <w:sz w:val="20"/>
                <w:szCs w:val="20"/>
              </w:rPr>
              <w:t>果</w:t>
            </w:r>
          </w:p>
        </w:tc>
        <w:tc>
          <w:tcPr>
            <w:tcW w:w="64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both"/>
              <w:rPr>
                <w:rFonts w:hint="eastAsia" w:ascii="仿宋_GB2312" w:hAnsi="仿宋_GB2312" w:eastAsia="仿宋_GB2312" w:cs="仿宋_GB2312"/>
              </w:rPr>
            </w:pPr>
            <w:r>
              <w:rPr>
                <w:rFonts w:hint="eastAsia" w:ascii="仿宋_GB2312" w:hAnsi="仿宋_GB2312" w:eastAsia="仿宋_GB2312" w:cs="仿宋_GB2312"/>
                <w:color w:val="000000"/>
                <w:sz w:val="20"/>
                <w:szCs w:val="20"/>
              </w:rPr>
              <w:t>尚未 </w:t>
            </w:r>
            <w:r>
              <w:rPr>
                <w:rFonts w:hint="eastAsia" w:ascii="仿宋_GB2312" w:hAnsi="仿宋_GB2312" w:eastAsia="仿宋_GB2312" w:cs="仿宋_GB2312"/>
                <w:color w:val="000000"/>
                <w:sz w:val="20"/>
                <w:szCs w:val="20"/>
              </w:rPr>
              <w:t>审</w:t>
            </w:r>
          </w:p>
          <w:p>
            <w:pPr>
              <w:pStyle w:val="3"/>
              <w:keepNext w:val="0"/>
              <w:keepLines w:val="0"/>
              <w:widowControl/>
              <w:suppressLineNumbers w:val="0"/>
              <w:spacing w:before="0" w:beforeAutospacing="0" w:after="0" w:afterAutospacing="0"/>
              <w:ind w:left="0" w:right="0" w:firstLine="0"/>
              <w:jc w:val="both"/>
              <w:rPr>
                <w:rFonts w:hint="eastAsia" w:ascii="仿宋_GB2312" w:hAnsi="仿宋_GB2312" w:eastAsia="仿宋_GB2312" w:cs="仿宋_GB2312"/>
              </w:rPr>
            </w:pPr>
            <w:r>
              <w:rPr>
                <w:rFonts w:hint="eastAsia" w:ascii="仿宋_GB2312" w:hAnsi="仿宋_GB2312" w:eastAsia="仿宋_GB2312" w:cs="仿宋_GB2312"/>
                <w:color w:val="000000"/>
                <w:sz w:val="20"/>
                <w:szCs w:val="20"/>
              </w:rPr>
              <w:t>结</w:t>
            </w:r>
          </w:p>
        </w:tc>
        <w:tc>
          <w:tcPr>
            <w:tcW w:w="3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rPr>
            </w:pPr>
            <w:r>
              <w:rPr>
                <w:rFonts w:hint="eastAsia" w:ascii="仿宋_GB2312" w:hAnsi="仿宋_GB2312" w:eastAsia="仿宋_GB2312" w:cs="仿宋_GB2312"/>
                <w:color w:val="000000"/>
                <w:sz w:val="20"/>
                <w:szCs w:val="20"/>
              </w:rPr>
              <w:t>总计</w:t>
            </w:r>
          </w:p>
        </w:tc>
        <w:tc>
          <w:tcPr>
            <w:tcW w:w="64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both"/>
              <w:rPr>
                <w:rFonts w:hint="eastAsia" w:ascii="仿宋_GB2312" w:hAnsi="仿宋_GB2312" w:eastAsia="仿宋_GB2312" w:cs="仿宋_GB2312"/>
              </w:rPr>
            </w:pPr>
            <w:r>
              <w:rPr>
                <w:rFonts w:hint="eastAsia" w:ascii="仿宋_GB2312" w:hAnsi="仿宋_GB2312" w:eastAsia="仿宋_GB2312" w:cs="仿宋_GB2312"/>
                <w:color w:val="000000"/>
                <w:sz w:val="20"/>
                <w:szCs w:val="20"/>
              </w:rPr>
              <w:t>结果 </w:t>
            </w:r>
            <w:r>
              <w:rPr>
                <w:rFonts w:hint="eastAsia" w:ascii="仿宋_GB2312" w:hAnsi="仿宋_GB2312" w:eastAsia="仿宋_GB2312" w:cs="仿宋_GB2312"/>
                <w:color w:val="000000"/>
                <w:sz w:val="20"/>
                <w:szCs w:val="20"/>
              </w:rPr>
              <w:t>维</w:t>
            </w:r>
          </w:p>
          <w:p>
            <w:pPr>
              <w:pStyle w:val="3"/>
              <w:keepNext w:val="0"/>
              <w:keepLines w:val="0"/>
              <w:widowControl/>
              <w:suppressLineNumbers w:val="0"/>
              <w:spacing w:before="0" w:beforeAutospacing="0" w:after="0" w:afterAutospacing="0"/>
              <w:ind w:left="0" w:right="0" w:firstLine="0"/>
              <w:jc w:val="both"/>
              <w:rPr>
                <w:rFonts w:hint="eastAsia" w:ascii="仿宋_GB2312" w:hAnsi="仿宋_GB2312" w:eastAsia="仿宋_GB2312" w:cs="仿宋_GB2312"/>
              </w:rPr>
            </w:pPr>
            <w:r>
              <w:rPr>
                <w:rFonts w:hint="eastAsia" w:ascii="仿宋_GB2312" w:hAnsi="仿宋_GB2312" w:eastAsia="仿宋_GB2312" w:cs="仿宋_GB2312"/>
                <w:color w:val="000000"/>
                <w:sz w:val="20"/>
                <w:szCs w:val="20"/>
              </w:rPr>
              <w:t>持</w:t>
            </w:r>
          </w:p>
        </w:tc>
        <w:tc>
          <w:tcPr>
            <w:tcW w:w="64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both"/>
              <w:rPr>
                <w:rFonts w:hint="eastAsia" w:ascii="仿宋_GB2312" w:hAnsi="仿宋_GB2312" w:eastAsia="仿宋_GB2312" w:cs="仿宋_GB2312"/>
              </w:rPr>
            </w:pPr>
            <w:r>
              <w:rPr>
                <w:rFonts w:hint="eastAsia" w:ascii="仿宋_GB2312" w:hAnsi="仿宋_GB2312" w:eastAsia="仿宋_GB2312" w:cs="仿宋_GB2312"/>
                <w:color w:val="000000"/>
                <w:sz w:val="20"/>
                <w:szCs w:val="20"/>
              </w:rPr>
              <w:t>结果 </w:t>
            </w:r>
            <w:r>
              <w:rPr>
                <w:rFonts w:hint="eastAsia" w:ascii="仿宋_GB2312" w:hAnsi="仿宋_GB2312" w:eastAsia="仿宋_GB2312" w:cs="仿宋_GB2312"/>
                <w:color w:val="000000"/>
                <w:sz w:val="20"/>
                <w:szCs w:val="20"/>
              </w:rPr>
              <w:t>纠</w:t>
            </w:r>
          </w:p>
          <w:p>
            <w:pPr>
              <w:pStyle w:val="3"/>
              <w:keepNext w:val="0"/>
              <w:keepLines w:val="0"/>
              <w:widowControl/>
              <w:suppressLineNumbers w:val="0"/>
              <w:spacing w:before="0" w:beforeAutospacing="0" w:after="0" w:afterAutospacing="0"/>
              <w:ind w:left="0" w:right="0" w:firstLine="0"/>
              <w:jc w:val="both"/>
              <w:rPr>
                <w:rFonts w:hint="eastAsia" w:ascii="仿宋_GB2312" w:hAnsi="仿宋_GB2312" w:eastAsia="仿宋_GB2312" w:cs="仿宋_GB2312"/>
              </w:rPr>
            </w:pPr>
            <w:r>
              <w:rPr>
                <w:rFonts w:hint="eastAsia" w:ascii="仿宋_GB2312" w:hAnsi="仿宋_GB2312" w:eastAsia="仿宋_GB2312" w:cs="仿宋_GB2312"/>
                <w:color w:val="000000"/>
                <w:sz w:val="20"/>
                <w:szCs w:val="20"/>
              </w:rPr>
              <w:t>正</w:t>
            </w:r>
          </w:p>
        </w:tc>
        <w:tc>
          <w:tcPr>
            <w:tcW w:w="64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both"/>
              <w:rPr>
                <w:rFonts w:hint="eastAsia" w:ascii="仿宋_GB2312" w:hAnsi="仿宋_GB2312" w:eastAsia="仿宋_GB2312" w:cs="仿宋_GB2312"/>
              </w:rPr>
            </w:pPr>
            <w:r>
              <w:rPr>
                <w:rFonts w:hint="eastAsia" w:ascii="仿宋_GB2312" w:hAnsi="仿宋_GB2312" w:eastAsia="仿宋_GB2312" w:cs="仿宋_GB2312"/>
                <w:color w:val="000000"/>
                <w:sz w:val="20"/>
                <w:szCs w:val="20"/>
              </w:rPr>
              <w:t>其他 </w:t>
            </w:r>
            <w:r>
              <w:rPr>
                <w:rFonts w:hint="eastAsia" w:ascii="仿宋_GB2312" w:hAnsi="仿宋_GB2312" w:eastAsia="仿宋_GB2312" w:cs="仿宋_GB2312"/>
                <w:color w:val="000000"/>
                <w:sz w:val="20"/>
                <w:szCs w:val="20"/>
              </w:rPr>
              <w:t>结</w:t>
            </w:r>
          </w:p>
          <w:p>
            <w:pPr>
              <w:pStyle w:val="3"/>
              <w:keepNext w:val="0"/>
              <w:keepLines w:val="0"/>
              <w:widowControl/>
              <w:suppressLineNumbers w:val="0"/>
              <w:spacing w:before="0" w:beforeAutospacing="0" w:after="0" w:afterAutospacing="0"/>
              <w:ind w:left="0" w:right="0" w:firstLine="0"/>
              <w:jc w:val="both"/>
              <w:rPr>
                <w:rFonts w:hint="eastAsia" w:ascii="仿宋_GB2312" w:hAnsi="仿宋_GB2312" w:eastAsia="仿宋_GB2312" w:cs="仿宋_GB2312"/>
              </w:rPr>
            </w:pPr>
            <w:r>
              <w:rPr>
                <w:rFonts w:hint="eastAsia" w:ascii="仿宋_GB2312" w:hAnsi="仿宋_GB2312" w:eastAsia="仿宋_GB2312" w:cs="仿宋_GB2312"/>
                <w:color w:val="000000"/>
                <w:sz w:val="20"/>
                <w:szCs w:val="20"/>
              </w:rPr>
              <w:t>果</w:t>
            </w:r>
          </w:p>
        </w:tc>
        <w:tc>
          <w:tcPr>
            <w:tcW w:w="64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both"/>
              <w:rPr>
                <w:rFonts w:hint="eastAsia" w:ascii="仿宋_GB2312" w:hAnsi="仿宋_GB2312" w:eastAsia="仿宋_GB2312" w:cs="仿宋_GB2312"/>
              </w:rPr>
            </w:pPr>
            <w:r>
              <w:rPr>
                <w:rFonts w:hint="eastAsia" w:ascii="仿宋_GB2312" w:hAnsi="仿宋_GB2312" w:eastAsia="仿宋_GB2312" w:cs="仿宋_GB2312"/>
                <w:color w:val="000000"/>
                <w:sz w:val="20"/>
                <w:szCs w:val="20"/>
              </w:rPr>
              <w:t>尚未 </w:t>
            </w:r>
            <w:r>
              <w:rPr>
                <w:rFonts w:hint="eastAsia" w:ascii="仿宋_GB2312" w:hAnsi="仿宋_GB2312" w:eastAsia="仿宋_GB2312" w:cs="仿宋_GB2312"/>
                <w:color w:val="000000"/>
                <w:sz w:val="20"/>
                <w:szCs w:val="20"/>
              </w:rPr>
              <w:t>审</w:t>
            </w:r>
          </w:p>
          <w:p>
            <w:pPr>
              <w:pStyle w:val="3"/>
              <w:keepNext w:val="0"/>
              <w:keepLines w:val="0"/>
              <w:widowControl/>
              <w:suppressLineNumbers w:val="0"/>
              <w:spacing w:before="0" w:beforeAutospacing="0" w:after="0" w:afterAutospacing="0"/>
              <w:ind w:left="0" w:right="0" w:firstLine="0"/>
              <w:jc w:val="both"/>
              <w:rPr>
                <w:rFonts w:hint="eastAsia" w:ascii="仿宋_GB2312" w:hAnsi="仿宋_GB2312" w:eastAsia="仿宋_GB2312" w:cs="仿宋_GB2312"/>
              </w:rPr>
            </w:pPr>
            <w:r>
              <w:rPr>
                <w:rFonts w:hint="eastAsia" w:ascii="仿宋_GB2312" w:hAnsi="仿宋_GB2312" w:eastAsia="仿宋_GB2312" w:cs="仿宋_GB2312"/>
                <w:color w:val="000000"/>
                <w:sz w:val="20"/>
                <w:szCs w:val="20"/>
              </w:rPr>
              <w:t>结</w:t>
            </w:r>
          </w:p>
        </w:tc>
        <w:tc>
          <w:tcPr>
            <w:tcW w:w="3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rPr>
            </w:pPr>
            <w:r>
              <w:rPr>
                <w:rFonts w:hint="eastAsia" w:ascii="仿宋_GB2312" w:hAnsi="仿宋_GB2312" w:eastAsia="仿宋_GB2312" w:cs="仿宋_GB2312"/>
                <w:color w:val="00000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2" w:hRule="atLeast"/>
        </w:trPr>
        <w:tc>
          <w:tcPr>
            <w:tcW w:w="48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5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r>
    </w:tbl>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30" w:leftChars="0" w:right="0" w:rightChars="0"/>
        <w:jc w:val="both"/>
        <w:textAlignment w:val="auto"/>
        <w:rPr>
          <w:rFonts w:hint="eastAsia" w:ascii="仿宋_GB2312" w:hAnsi="仿宋_GB2312" w:eastAsia="仿宋_GB2312" w:cs="仿宋_GB2312"/>
          <w:i w:val="0"/>
          <w:iCs w:val="0"/>
          <w:caps w:val="0"/>
          <w:color w:val="000000"/>
          <w:spacing w:val="0"/>
          <w:sz w:val="32"/>
          <w:szCs w:val="32"/>
        </w:rPr>
      </w:pPr>
      <w:r>
        <w:rPr>
          <w:rStyle w:val="6"/>
          <w:rFonts w:hint="eastAsia" w:ascii="仿宋_GB2312" w:hAnsi="仿宋_GB2312" w:eastAsia="仿宋_GB2312" w:cs="仿宋_GB2312"/>
          <w:b w:val="0"/>
          <w:bCs w:val="0"/>
          <w:i w:val="0"/>
          <w:iCs w:val="0"/>
          <w:caps w:val="0"/>
          <w:color w:val="000000"/>
          <w:spacing w:val="0"/>
          <w:sz w:val="32"/>
          <w:szCs w:val="32"/>
          <w:lang w:eastAsia="zh-CN"/>
        </w:rPr>
        <w:t>五、</w:t>
      </w:r>
      <w:r>
        <w:rPr>
          <w:rStyle w:val="6"/>
          <w:rFonts w:hint="eastAsia" w:ascii="仿宋_GB2312" w:hAnsi="仿宋_GB2312" w:eastAsia="仿宋_GB2312" w:cs="仿宋_GB2312"/>
          <w:b w:val="0"/>
          <w:bCs w:val="0"/>
          <w:i w:val="0"/>
          <w:iCs w:val="0"/>
          <w:caps w:val="0"/>
          <w:color w:val="000000"/>
          <w:spacing w:val="0"/>
          <w:sz w:val="32"/>
          <w:szCs w:val="32"/>
        </w:rPr>
        <w:t>存在的主要问题及改进情况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（一）存在主要问题：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shd w:val="clear" w:fill="FFFFFF"/>
          <w:lang w:val="en-US"/>
        </w:rPr>
        <w:t>1.</w:t>
      </w:r>
      <w:r>
        <w:rPr>
          <w:rFonts w:hint="eastAsia" w:ascii="仿宋_GB2312" w:hAnsi="仿宋_GB2312" w:eastAsia="仿宋_GB2312" w:cs="仿宋_GB2312"/>
          <w:i w:val="0"/>
          <w:iCs w:val="0"/>
          <w:caps w:val="0"/>
          <w:color w:val="000000"/>
          <w:spacing w:val="0"/>
          <w:sz w:val="32"/>
          <w:szCs w:val="32"/>
          <w:shd w:val="clear" w:fill="FFFFFF"/>
          <w:lang w:eastAsia="zh-CN"/>
        </w:rPr>
        <w:t>政府信息公开工作中各科室之间的协调与联系需要进一步加强。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lang w:val="en-US"/>
        </w:rPr>
        <w:t>2</w:t>
      </w:r>
      <w:r>
        <w:rPr>
          <w:rFonts w:hint="eastAsia" w:ascii="仿宋_GB2312" w:hAnsi="仿宋_GB2312" w:eastAsia="仿宋_GB2312" w:cs="仿宋_GB2312"/>
          <w:i w:val="0"/>
          <w:iCs w:val="0"/>
          <w:caps w:val="0"/>
          <w:color w:val="000000"/>
          <w:spacing w:val="0"/>
          <w:sz w:val="32"/>
          <w:szCs w:val="32"/>
          <w:shd w:val="clear" w:fill="FFFFFF"/>
          <w:lang w:val="en-US" w:eastAsia="zh-CN"/>
        </w:rPr>
        <w:t>.政府信息公开的内容不够丰富</w:t>
      </w:r>
      <w:r>
        <w:rPr>
          <w:rFonts w:hint="eastAsia" w:ascii="仿宋_GB2312" w:hAnsi="仿宋_GB2312" w:eastAsia="仿宋_GB2312" w:cs="仿宋_GB2312"/>
          <w:i w:val="0"/>
          <w:iCs w:val="0"/>
          <w:caps w:val="0"/>
          <w:color w:val="000000"/>
          <w:spacing w:val="0"/>
          <w:sz w:val="32"/>
          <w:szCs w:val="32"/>
          <w:shd w:val="clear" w:fill="FFFFFF"/>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（二）改进情况：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lang w:val="en-US"/>
        </w:rPr>
        <w:t>1.</w:t>
      </w:r>
      <w:r>
        <w:rPr>
          <w:rFonts w:hint="eastAsia" w:ascii="仿宋_GB2312" w:hAnsi="仿宋_GB2312" w:eastAsia="仿宋_GB2312" w:cs="仿宋_GB2312"/>
          <w:i w:val="0"/>
          <w:iCs w:val="0"/>
          <w:caps w:val="0"/>
          <w:color w:val="000000"/>
          <w:spacing w:val="0"/>
          <w:sz w:val="32"/>
          <w:szCs w:val="32"/>
          <w:shd w:val="clear" w:fill="FFFFFF"/>
          <w:lang w:eastAsia="zh-CN"/>
        </w:rPr>
        <w:t>健全和完善</w:t>
      </w:r>
      <w:r>
        <w:rPr>
          <w:rFonts w:hint="eastAsia" w:ascii="仿宋_GB2312" w:hAnsi="仿宋_GB2312" w:eastAsia="仿宋_GB2312" w:cs="仿宋_GB2312"/>
          <w:i w:val="0"/>
          <w:iCs w:val="0"/>
          <w:caps w:val="0"/>
          <w:color w:val="000000"/>
          <w:spacing w:val="0"/>
          <w:sz w:val="32"/>
          <w:szCs w:val="32"/>
          <w:shd w:val="clear" w:fill="FFFFFF"/>
          <w:lang w:val="en-US" w:eastAsia="zh-CN"/>
        </w:rPr>
        <w:t>政府信息公开长效机制，加强各科室之间的沟通，定时收集各科室信息进行汇总更新</w:t>
      </w:r>
      <w:r>
        <w:rPr>
          <w:rFonts w:hint="eastAsia" w:ascii="仿宋_GB2312" w:hAnsi="仿宋_GB2312" w:eastAsia="仿宋_GB2312" w:cs="仿宋_GB2312"/>
          <w:i w:val="0"/>
          <w:iCs w:val="0"/>
          <w:caps w:val="0"/>
          <w:color w:val="000000"/>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lang w:val="en-US"/>
        </w:rPr>
        <w:t>2.</w:t>
      </w:r>
      <w:r>
        <w:rPr>
          <w:rFonts w:hint="eastAsia" w:ascii="仿宋_GB2312" w:hAnsi="仿宋_GB2312" w:eastAsia="仿宋_GB2312" w:cs="仿宋_GB2312"/>
          <w:i w:val="0"/>
          <w:iCs w:val="0"/>
          <w:caps w:val="0"/>
          <w:color w:val="000000"/>
          <w:spacing w:val="0"/>
          <w:sz w:val="32"/>
          <w:szCs w:val="32"/>
          <w:shd w:val="clear" w:fill="FFFFFF"/>
          <w:lang w:eastAsia="zh-CN"/>
        </w:rPr>
        <w:t>充实和扩宽政府信息的公开内容与渠道，不断充实政府信息公开内容，加强重点领域信息公开力度</w:t>
      </w:r>
      <w:r>
        <w:rPr>
          <w:rFonts w:hint="eastAsia" w:ascii="仿宋_GB2312" w:hAnsi="仿宋_GB2312" w:eastAsia="仿宋_GB2312" w:cs="仿宋_GB2312"/>
          <w:i w:val="0"/>
          <w:iCs w:val="0"/>
          <w:caps w:val="0"/>
          <w:color w:val="000000"/>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Style w:val="6"/>
          <w:rFonts w:hint="eastAsia" w:ascii="仿宋_GB2312" w:hAnsi="仿宋_GB2312" w:eastAsia="仿宋_GB2312" w:cs="仿宋_GB2312"/>
          <w:b w:val="0"/>
          <w:bCs w:val="0"/>
          <w:i w:val="0"/>
          <w:iCs w:val="0"/>
          <w:caps w:val="0"/>
          <w:color w:val="000000"/>
          <w:spacing w:val="0"/>
          <w:sz w:val="32"/>
          <w:szCs w:val="32"/>
        </w:rPr>
        <w:t>六、其他需要报告的事项</w:t>
      </w:r>
    </w:p>
    <w:p>
      <w:pPr>
        <w:widowControl/>
        <w:shd w:val="clear" w:color="auto" w:fill="FFFFFF"/>
        <w:spacing w:line="560" w:lineRule="exact"/>
        <w:ind w:firstLine="64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32"/>
          <w:szCs w:val="32"/>
          <w:highlight w:val="none"/>
          <w:shd w:val="clear" w:color="auto" w:fill="FFFFFF"/>
        </w:rPr>
        <w:t>1</w:t>
      </w:r>
      <w:r>
        <w:rPr>
          <w:rFonts w:hint="eastAsia" w:ascii="仿宋_GB2312" w:hAnsi="仿宋_GB2312" w:eastAsia="仿宋_GB2312" w:cs="仿宋_GB2312"/>
          <w:color w:val="auto"/>
          <w:kern w:val="0"/>
          <w:sz w:val="32"/>
          <w:szCs w:val="32"/>
          <w:highlight w:val="none"/>
          <w:shd w:val="clear" w:color="auto" w:fill="FFFFFF"/>
        </w:rPr>
        <w:t>、</w:t>
      </w:r>
      <w:r>
        <w:rPr>
          <w:rFonts w:hint="eastAsia" w:ascii="仿宋_GB2312" w:hAnsi="仿宋_GB2312" w:eastAsia="仿宋_GB2312" w:cs="仿宋_GB2312"/>
          <w:color w:val="auto"/>
          <w:kern w:val="0"/>
          <w:sz w:val="32"/>
          <w:szCs w:val="32"/>
          <w:highlight w:val="none"/>
        </w:rPr>
        <w:t>收取信息处理费情况</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shd w:val="clear" w:color="auto" w:fill="FFFFFF"/>
        </w:rPr>
        <w:t>按照《国务院办公厅关于印发&lt;政府信息公开信息处理费管理办法&gt;的通知》（国办函〔2020〕109号）和《山东省人民政府办公厅关于做好政府信息公开信息处理费管理工作有关事项的通知》（鲁政办字〔2020〕179号）收取信息处理费。2023年</w:t>
      </w:r>
      <w:r>
        <w:rPr>
          <w:rFonts w:hint="eastAsia" w:ascii="仿宋_GB2312" w:hAnsi="仿宋_GB2312" w:eastAsia="仿宋_GB2312" w:cs="仿宋_GB2312"/>
          <w:color w:val="auto"/>
          <w:kern w:val="0"/>
          <w:sz w:val="32"/>
          <w:szCs w:val="32"/>
          <w:highlight w:val="none"/>
          <w:shd w:val="clear" w:color="auto" w:fill="FFFFFF"/>
        </w:rPr>
        <w:t>，</w:t>
      </w:r>
      <w:r>
        <w:rPr>
          <w:rFonts w:hint="eastAsia" w:ascii="仿宋_GB2312" w:hAnsi="仿宋_GB2312" w:eastAsia="仿宋_GB2312" w:cs="仿宋_GB2312"/>
          <w:color w:val="auto"/>
          <w:kern w:val="0"/>
          <w:sz w:val="32"/>
          <w:szCs w:val="32"/>
          <w:highlight w:val="none"/>
          <w:shd w:val="clear" w:color="auto" w:fill="FFFFFF"/>
        </w:rPr>
        <w:t>本机关依申请公开政府信息未收取任何费用。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rPr>
        <w:t>、落实上级年度政务公开工作要点情况</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i w:val="0"/>
          <w:iCs w:val="0"/>
          <w:caps w:val="0"/>
          <w:color w:val="000000"/>
          <w:spacing w:val="0"/>
          <w:sz w:val="32"/>
          <w:szCs w:val="32"/>
          <w:lang w:val="en-US" w:eastAsia="zh-CN"/>
        </w:rPr>
        <w:t>2023</w:t>
      </w:r>
      <w:r>
        <w:rPr>
          <w:rFonts w:hint="eastAsia" w:ascii="仿宋_GB2312" w:hAnsi="仿宋_GB2312" w:eastAsia="仿宋_GB2312" w:cs="仿宋_GB2312"/>
          <w:i w:val="0"/>
          <w:iCs w:val="0"/>
          <w:caps w:val="0"/>
          <w:color w:val="000000"/>
          <w:spacing w:val="0"/>
          <w:sz w:val="32"/>
          <w:szCs w:val="32"/>
        </w:rPr>
        <w:t>年单位严格落实《淄川区人民政府办公室关于印发淄川区</w:t>
      </w:r>
      <w:r>
        <w:rPr>
          <w:rFonts w:hint="eastAsia" w:ascii="仿宋_GB2312" w:hAnsi="仿宋_GB2312" w:eastAsia="仿宋_GB2312" w:cs="仿宋_GB2312"/>
          <w:i w:val="0"/>
          <w:iCs w:val="0"/>
          <w:caps w:val="0"/>
          <w:color w:val="000000"/>
          <w:spacing w:val="0"/>
          <w:sz w:val="32"/>
          <w:szCs w:val="32"/>
          <w:lang w:val="en-US"/>
        </w:rPr>
        <w:t>202</w:t>
      </w: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年政务公开工作方案的通知》</w:t>
      </w:r>
      <w:r>
        <w:rPr>
          <w:rFonts w:hint="eastAsia" w:ascii="仿宋_GB2312" w:hAnsi="仿宋_GB2312" w:eastAsia="仿宋_GB2312" w:cs="仿宋_GB2312"/>
          <w:i w:val="0"/>
          <w:iCs w:val="0"/>
          <w:caps w:val="0"/>
          <w:color w:val="000000"/>
          <w:spacing w:val="0"/>
          <w:sz w:val="32"/>
          <w:szCs w:val="32"/>
          <w:lang w:val="en-US" w:eastAsia="zh-CN"/>
        </w:rPr>
        <w:t>部署、</w:t>
      </w:r>
      <w:r>
        <w:rPr>
          <w:rFonts w:hint="eastAsia" w:ascii="仿宋_GB2312" w:hAnsi="仿宋_GB2312" w:eastAsia="仿宋_GB2312" w:cs="仿宋_GB2312"/>
          <w:i w:val="0"/>
          <w:iCs w:val="0"/>
          <w:caps w:val="0"/>
          <w:color w:val="000000"/>
          <w:spacing w:val="0"/>
          <w:sz w:val="32"/>
          <w:szCs w:val="32"/>
        </w:rPr>
        <w:t>要求</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形成本单位政务公开工作台账，压实责任，聚焦本单位重点政府信息公开工作，</w:t>
      </w:r>
      <w:r>
        <w:rPr>
          <w:rFonts w:hint="eastAsia" w:ascii="仿宋_GB2312" w:hAnsi="仿宋_GB2312" w:eastAsia="仿宋_GB2312" w:cs="仿宋_GB2312"/>
          <w:i w:val="0"/>
          <w:iCs w:val="0"/>
          <w:caps w:val="0"/>
          <w:color w:val="000000"/>
          <w:spacing w:val="0"/>
          <w:sz w:val="32"/>
          <w:szCs w:val="32"/>
        </w:rPr>
        <w:t>按月和季度公开社会救助和养老服务等信息。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rPr>
        <w:t>、人大代表</w:t>
      </w:r>
      <w:r>
        <w:rPr>
          <w:rFonts w:hint="eastAsia" w:ascii="仿宋_GB2312" w:hAnsi="仿宋_GB2312" w:eastAsia="仿宋_GB2312" w:cs="仿宋_GB2312"/>
          <w:color w:val="auto"/>
          <w:kern w:val="0"/>
          <w:sz w:val="32"/>
          <w:szCs w:val="32"/>
          <w:highlight w:val="none"/>
          <w:lang w:val="en-US" w:eastAsia="zh-CN"/>
        </w:rPr>
        <w:t>建议</w:t>
      </w:r>
      <w:r>
        <w:rPr>
          <w:rFonts w:hint="eastAsia" w:ascii="仿宋_GB2312" w:hAnsi="仿宋_GB2312" w:eastAsia="仿宋_GB2312" w:cs="仿宋_GB2312"/>
          <w:color w:val="auto"/>
          <w:kern w:val="0"/>
          <w:sz w:val="32"/>
          <w:szCs w:val="32"/>
          <w:highlight w:val="none"/>
        </w:rPr>
        <w:t>和政协</w:t>
      </w:r>
      <w:r>
        <w:rPr>
          <w:rFonts w:hint="eastAsia" w:ascii="仿宋_GB2312" w:hAnsi="仿宋_GB2312" w:eastAsia="仿宋_GB2312" w:cs="仿宋_GB2312"/>
          <w:color w:val="auto"/>
          <w:kern w:val="0"/>
          <w:sz w:val="32"/>
          <w:szCs w:val="32"/>
          <w:highlight w:val="none"/>
          <w:lang w:val="en-US" w:eastAsia="zh-CN"/>
        </w:rPr>
        <w:t>委员</w:t>
      </w:r>
      <w:r>
        <w:rPr>
          <w:rFonts w:hint="eastAsia" w:ascii="仿宋_GB2312" w:hAnsi="仿宋_GB2312" w:eastAsia="仿宋_GB2312" w:cs="仿宋_GB2312"/>
          <w:color w:val="auto"/>
          <w:kern w:val="0"/>
          <w:sz w:val="32"/>
          <w:szCs w:val="32"/>
          <w:highlight w:val="none"/>
        </w:rPr>
        <w:t>提案办理结果公开情况</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i w:val="0"/>
          <w:iCs w:val="0"/>
          <w:caps w:val="0"/>
          <w:color w:val="000000"/>
          <w:spacing w:val="0"/>
          <w:sz w:val="32"/>
          <w:szCs w:val="32"/>
          <w:lang w:val="en-US"/>
        </w:rPr>
        <w:t>202</w:t>
      </w: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年，我局共收到人大代表建议</w:t>
      </w:r>
      <w:r>
        <w:rPr>
          <w:rFonts w:hint="eastAsia" w:ascii="仿宋_GB2312" w:hAnsi="仿宋_GB2312" w:eastAsia="仿宋_GB2312" w:cs="仿宋_GB2312"/>
          <w:i w:val="0"/>
          <w:iCs w:val="0"/>
          <w:caps w:val="0"/>
          <w:color w:val="000000"/>
          <w:spacing w:val="0"/>
          <w:sz w:val="32"/>
          <w:szCs w:val="32"/>
          <w:lang w:val="en-US" w:eastAsia="zh-CN"/>
        </w:rPr>
        <w:t>13</w:t>
      </w:r>
      <w:r>
        <w:rPr>
          <w:rFonts w:hint="eastAsia" w:ascii="仿宋_GB2312" w:hAnsi="仿宋_GB2312" w:eastAsia="仿宋_GB2312" w:cs="仿宋_GB2312"/>
          <w:i w:val="0"/>
          <w:iCs w:val="0"/>
          <w:caps w:val="0"/>
          <w:color w:val="000000"/>
          <w:spacing w:val="0"/>
          <w:sz w:val="32"/>
          <w:szCs w:val="32"/>
        </w:rPr>
        <w:t>件，政协委员提案</w:t>
      </w:r>
      <w:r>
        <w:rPr>
          <w:rFonts w:hint="eastAsia" w:ascii="仿宋_GB2312" w:hAnsi="仿宋_GB2312" w:eastAsia="仿宋_GB2312" w:cs="仿宋_GB2312"/>
          <w:i w:val="0"/>
          <w:iCs w:val="0"/>
          <w:caps w:val="0"/>
          <w:color w:val="000000"/>
          <w:spacing w:val="0"/>
          <w:sz w:val="32"/>
          <w:szCs w:val="32"/>
          <w:lang w:val="en-US" w:eastAsia="zh-CN"/>
        </w:rPr>
        <w:t>9</w:t>
      </w:r>
      <w:r>
        <w:rPr>
          <w:rFonts w:hint="eastAsia" w:ascii="仿宋_GB2312" w:hAnsi="仿宋_GB2312" w:eastAsia="仿宋_GB2312" w:cs="仿宋_GB2312"/>
          <w:i w:val="0"/>
          <w:iCs w:val="0"/>
          <w:caps w:val="0"/>
          <w:color w:val="000000"/>
          <w:spacing w:val="0"/>
          <w:sz w:val="32"/>
          <w:szCs w:val="32"/>
        </w:rPr>
        <w:t>件，人大代表建议和政协委员建议答复文件按法定程序面复代表和委员，面复率</w:t>
      </w:r>
      <w:r>
        <w:rPr>
          <w:rFonts w:hint="eastAsia" w:ascii="仿宋_GB2312" w:hAnsi="仿宋_GB2312" w:eastAsia="仿宋_GB2312" w:cs="仿宋_GB2312"/>
          <w:i w:val="0"/>
          <w:iCs w:val="0"/>
          <w:caps w:val="0"/>
          <w:color w:val="000000"/>
          <w:spacing w:val="0"/>
          <w:sz w:val="32"/>
          <w:szCs w:val="32"/>
          <w:lang w:val="en-US"/>
        </w:rPr>
        <w:t>100%</w:t>
      </w:r>
      <w:r>
        <w:rPr>
          <w:rFonts w:hint="eastAsia" w:ascii="仿宋_GB2312" w:hAnsi="仿宋_GB2312" w:eastAsia="仿宋_GB2312" w:cs="仿宋_GB2312"/>
          <w:i w:val="0"/>
          <w:iCs w:val="0"/>
          <w:caps w:val="0"/>
          <w:color w:val="000000"/>
          <w:spacing w:val="0"/>
          <w:sz w:val="32"/>
          <w:szCs w:val="32"/>
        </w:rPr>
        <w:t>，办复率</w:t>
      </w:r>
      <w:r>
        <w:rPr>
          <w:rFonts w:hint="eastAsia" w:ascii="仿宋_GB2312" w:hAnsi="仿宋_GB2312" w:eastAsia="仿宋_GB2312" w:cs="仿宋_GB2312"/>
          <w:i w:val="0"/>
          <w:iCs w:val="0"/>
          <w:caps w:val="0"/>
          <w:color w:val="000000"/>
          <w:spacing w:val="0"/>
          <w:sz w:val="32"/>
          <w:szCs w:val="32"/>
          <w:lang w:val="en-US"/>
        </w:rPr>
        <w:t>100%</w:t>
      </w:r>
      <w:r>
        <w:rPr>
          <w:rFonts w:hint="eastAsia" w:ascii="仿宋_GB2312" w:hAnsi="仿宋_GB2312" w:eastAsia="仿宋_GB2312" w:cs="仿宋_GB2312"/>
          <w:i w:val="0"/>
          <w:iCs w:val="0"/>
          <w:caps w:val="0"/>
          <w:color w:val="000000"/>
          <w:spacing w:val="0"/>
          <w:sz w:val="32"/>
          <w:szCs w:val="32"/>
        </w:rPr>
        <w:t>，代表委员满意率达</w:t>
      </w:r>
      <w:r>
        <w:rPr>
          <w:rFonts w:hint="eastAsia" w:ascii="仿宋_GB2312" w:hAnsi="仿宋_GB2312" w:eastAsia="仿宋_GB2312" w:cs="仿宋_GB2312"/>
          <w:i w:val="0"/>
          <w:iCs w:val="0"/>
          <w:caps w:val="0"/>
          <w:color w:val="000000"/>
          <w:spacing w:val="0"/>
          <w:sz w:val="32"/>
          <w:szCs w:val="32"/>
          <w:lang w:val="en-US"/>
        </w:rPr>
        <w:t>100%</w:t>
      </w:r>
      <w:r>
        <w:rPr>
          <w:rFonts w:hint="eastAsia" w:ascii="仿宋_GB2312" w:hAnsi="仿宋_GB2312" w:eastAsia="仿宋_GB2312" w:cs="仿宋_GB2312"/>
          <w:i w:val="0"/>
          <w:iCs w:val="0"/>
          <w:caps w:val="0"/>
          <w:color w:val="000000"/>
          <w:spacing w:val="0"/>
          <w:sz w:val="32"/>
          <w:szCs w:val="32"/>
          <w:lang w:val="en-US" w:eastAsia="zh-CN"/>
        </w:rPr>
        <w:t>，并依规对建议提案内容、答复内容进行公开。</w:t>
      </w:r>
      <w:r>
        <w:rPr>
          <w:rFonts w:hint="eastAsia" w:ascii="仿宋_GB2312" w:hAnsi="仿宋_GB2312" w:eastAsia="仿宋_GB2312" w:cs="仿宋_GB2312"/>
          <w:i w:val="0"/>
          <w:iCs w:val="0"/>
          <w:caps w:val="0"/>
          <w:color w:val="000000"/>
          <w:spacing w:val="0"/>
          <w:sz w:val="32"/>
          <w:szCs w:val="32"/>
        </w:rPr>
        <w:t>未有上级建议提案办理任务。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color w:val="auto"/>
          <w:sz w:val="32"/>
          <w:highlight w:val="none"/>
        </w:rPr>
        <w:t>4、</w:t>
      </w:r>
      <w:r>
        <w:rPr>
          <w:rFonts w:hint="eastAsia" w:ascii="仿宋_GB2312" w:hAnsi="仿宋_GB2312" w:eastAsia="仿宋_GB2312" w:cs="仿宋_GB2312"/>
          <w:color w:val="auto"/>
          <w:kern w:val="0"/>
          <w:sz w:val="32"/>
          <w:szCs w:val="32"/>
          <w:highlight w:val="none"/>
        </w:rPr>
        <w:t>政务公开工作创新情况。</w:t>
      </w:r>
      <w:r>
        <w:rPr>
          <w:rFonts w:hint="eastAsia" w:ascii="仿宋_GB2312" w:hAnsi="仿宋_GB2312" w:eastAsia="仿宋_GB2312" w:cs="仿宋_GB2312"/>
          <w:i w:val="0"/>
          <w:iCs w:val="0"/>
          <w:caps w:val="0"/>
          <w:color w:val="000000"/>
          <w:spacing w:val="0"/>
          <w:sz w:val="32"/>
          <w:szCs w:val="32"/>
        </w:rPr>
        <w:t>及时收集政务公开网络舆情，监督和制约行政权力的运行，促进</w:t>
      </w:r>
      <w:r>
        <w:rPr>
          <w:rFonts w:hint="eastAsia" w:ascii="仿宋_GB2312" w:hAnsi="仿宋_GB2312" w:eastAsia="仿宋_GB2312" w:cs="仿宋_GB2312"/>
          <w:i w:val="0"/>
          <w:iCs w:val="0"/>
          <w:caps w:val="0"/>
          <w:color w:val="000000"/>
          <w:spacing w:val="0"/>
          <w:sz w:val="32"/>
          <w:szCs w:val="32"/>
          <w:lang w:eastAsia="zh-CN"/>
        </w:rPr>
        <w:t>单位</w:t>
      </w:r>
      <w:r>
        <w:rPr>
          <w:rFonts w:hint="eastAsia" w:ascii="仿宋_GB2312" w:hAnsi="仿宋_GB2312" w:eastAsia="仿宋_GB2312" w:cs="仿宋_GB2312"/>
          <w:i w:val="0"/>
          <w:iCs w:val="0"/>
          <w:caps w:val="0"/>
          <w:color w:val="000000"/>
          <w:spacing w:val="0"/>
          <w:sz w:val="32"/>
          <w:szCs w:val="32"/>
        </w:rPr>
        <w:t>廉政勤政建设</w:t>
      </w:r>
      <w:r>
        <w:rPr>
          <w:rFonts w:hint="eastAsia" w:ascii="仿宋_GB2312" w:hAnsi="仿宋_GB2312" w:eastAsia="仿宋_GB2312" w:cs="仿宋_GB2312"/>
          <w:i w:val="0"/>
          <w:iCs w:val="0"/>
          <w:caps w:val="0"/>
          <w:color w:val="000000"/>
          <w:spacing w:val="0"/>
          <w:sz w:val="32"/>
          <w:szCs w:val="32"/>
          <w:lang w:eastAsia="zh-CN"/>
        </w:rPr>
        <w:t>。</w:t>
      </w:r>
    </w:p>
    <w:p>
      <w:pPr>
        <w:widowControl/>
        <w:shd w:val="clear" w:color="auto" w:fill="FFFFFF"/>
        <w:spacing w:line="560" w:lineRule="exact"/>
        <w:ind w:firstLine="640"/>
        <w:jc w:val="left"/>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sz w:val="32"/>
          <w:highlight w:val="none"/>
        </w:rPr>
        <w:t>5、</w:t>
      </w:r>
      <w:r>
        <w:rPr>
          <w:rFonts w:hint="eastAsia" w:ascii="仿宋_GB2312" w:hAnsi="仿宋_GB2312" w:eastAsia="仿宋_GB2312" w:cs="仿宋_GB2312"/>
          <w:color w:val="auto"/>
          <w:kern w:val="0"/>
          <w:sz w:val="32"/>
          <w:szCs w:val="32"/>
          <w:highlight w:val="none"/>
        </w:rPr>
        <w:t>政府信息公开工作年度报告数据统计需要</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shd w:val="clear" w:color="auto" w:fill="FFFFFF"/>
        </w:rPr>
        <w:t>无。</w:t>
      </w:r>
    </w:p>
    <w:p>
      <w:pPr>
        <w:widowControl/>
        <w:shd w:val="clear" w:color="auto" w:fill="FFFFFF"/>
        <w:spacing w:line="560" w:lineRule="exact"/>
        <w:ind w:firstLine="640"/>
        <w:jc w:val="left"/>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rPr>
        <w:t>6、本行政机关认为需要报告的其他事项。</w:t>
      </w:r>
      <w:r>
        <w:rPr>
          <w:rFonts w:hint="eastAsia" w:ascii="仿宋_GB2312" w:hAnsi="仿宋_GB2312" w:eastAsia="仿宋_GB2312" w:cs="仿宋_GB2312"/>
          <w:color w:val="auto"/>
          <w:kern w:val="0"/>
          <w:sz w:val="32"/>
          <w:szCs w:val="32"/>
          <w:highlight w:val="none"/>
          <w:shd w:val="clear" w:color="auto" w:fill="FFFFFF"/>
        </w:rPr>
        <w:t>无。</w:t>
      </w:r>
    </w:p>
    <w:p>
      <w:pPr>
        <w:widowControl/>
        <w:shd w:val="clear" w:color="auto" w:fill="FFFFFF"/>
        <w:spacing w:line="560" w:lineRule="exact"/>
        <w:ind w:firstLine="640"/>
        <w:jc w:val="left"/>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rPr>
        <w:t>7、其他有关文件专门要求通过政府信息公开工作年度报告予以报告的事项。</w:t>
      </w:r>
      <w:r>
        <w:rPr>
          <w:rFonts w:hint="eastAsia" w:ascii="仿宋_GB2312" w:hAnsi="仿宋_GB2312" w:eastAsia="仿宋_GB2312" w:cs="仿宋_GB2312"/>
          <w:color w:val="auto"/>
          <w:kern w:val="0"/>
          <w:sz w:val="32"/>
          <w:szCs w:val="32"/>
          <w:highlight w:val="none"/>
          <w:shd w:val="clear" w:color="auto" w:fill="FFFFFF"/>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Style w:val="6"/>
          <w:rFonts w:hint="eastAsia" w:ascii="仿宋_GB2312" w:hAnsi="仿宋_GB2312" w:eastAsia="仿宋_GB2312" w:cs="仿宋_GB2312"/>
          <w:b/>
          <w:bCs/>
          <w:i w:val="0"/>
          <w:iCs w:val="0"/>
          <w:caps w:val="0"/>
          <w:color w:val="000000"/>
          <w:spacing w:val="0"/>
          <w:sz w:val="32"/>
          <w:szCs w:val="32"/>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Style w:val="6"/>
          <w:rFonts w:hint="eastAsia" w:ascii="仿宋_GB2312" w:hAnsi="仿宋_GB2312" w:eastAsia="仿宋_GB2312" w:cs="仿宋_GB2312"/>
          <w:b/>
          <w:bCs/>
          <w:i w:val="0"/>
          <w:iCs w:val="0"/>
          <w:caps w:val="0"/>
          <w:color w:val="000000"/>
          <w:spacing w:val="0"/>
          <w:sz w:val="32"/>
          <w:szCs w:val="32"/>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Style w:val="6"/>
          <w:rFonts w:hint="eastAsia" w:ascii="仿宋_GB2312" w:hAnsi="仿宋_GB2312" w:eastAsia="仿宋_GB2312" w:cs="仿宋_GB2312"/>
          <w:b/>
          <w:bCs/>
          <w:i w:val="0"/>
          <w:iCs w:val="0"/>
          <w:caps w:val="0"/>
          <w:color w:val="000000"/>
          <w:spacing w:val="0"/>
          <w:sz w:val="32"/>
          <w:szCs w:val="32"/>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Style w:val="6"/>
          <w:rFonts w:hint="eastAsia" w:ascii="仿宋_GB2312" w:hAnsi="仿宋_GB2312" w:eastAsia="仿宋_GB2312" w:cs="仿宋_GB2312"/>
          <w:b/>
          <w:bCs/>
          <w:i w:val="0"/>
          <w:iCs w:val="0"/>
          <w:caps w:val="0"/>
          <w:color w:val="000000"/>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Yu Mincho Light">
    <w:altName w:val="MS PMincho"/>
    <w:panose1 w:val="02020300000000000000"/>
    <w:charset w:val="80"/>
    <w:family w:val="roman"/>
    <w:pitch w:val="default"/>
    <w:sig w:usb0="00000000" w:usb1="00000000" w:usb2="00000012" w:usb3="00000000" w:csb0="0002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MS PMincho">
    <w:panose1 w:val="020206000402050803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C47B3"/>
    <w:multiLevelType w:val="singleLevel"/>
    <w:tmpl w:val="0D1C47B3"/>
    <w:lvl w:ilvl="0" w:tentative="0">
      <w:start w:val="3"/>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YTM3NmI4MWRkYmQwMWNmYzJkNTc4NmU1ZWM3MTEifQ=="/>
  </w:docVars>
  <w:rsids>
    <w:rsidRoot w:val="00000000"/>
    <w:rsid w:val="037C61D6"/>
    <w:rsid w:val="06AE39C7"/>
    <w:rsid w:val="0921144B"/>
    <w:rsid w:val="0995305F"/>
    <w:rsid w:val="0AD025A1"/>
    <w:rsid w:val="0B0B37C4"/>
    <w:rsid w:val="0B143456"/>
    <w:rsid w:val="0CBF16C1"/>
    <w:rsid w:val="12AF5CBF"/>
    <w:rsid w:val="12B06F4E"/>
    <w:rsid w:val="13925C08"/>
    <w:rsid w:val="1934019F"/>
    <w:rsid w:val="1F901280"/>
    <w:rsid w:val="20191A77"/>
    <w:rsid w:val="22913EDF"/>
    <w:rsid w:val="29455AB0"/>
    <w:rsid w:val="2A735E71"/>
    <w:rsid w:val="2A91303E"/>
    <w:rsid w:val="2F6F0AB2"/>
    <w:rsid w:val="2FA01C92"/>
    <w:rsid w:val="31F6203D"/>
    <w:rsid w:val="33D928B7"/>
    <w:rsid w:val="34DA5C46"/>
    <w:rsid w:val="38280A60"/>
    <w:rsid w:val="3829174C"/>
    <w:rsid w:val="38D64977"/>
    <w:rsid w:val="39317DFF"/>
    <w:rsid w:val="3DDD0555"/>
    <w:rsid w:val="41E572AF"/>
    <w:rsid w:val="42823479"/>
    <w:rsid w:val="436C03B1"/>
    <w:rsid w:val="46DB4144"/>
    <w:rsid w:val="479003E6"/>
    <w:rsid w:val="4ADB7BCB"/>
    <w:rsid w:val="4B7047B7"/>
    <w:rsid w:val="514D0982"/>
    <w:rsid w:val="564A1AC4"/>
    <w:rsid w:val="58FC58DC"/>
    <w:rsid w:val="593433C5"/>
    <w:rsid w:val="5A551748"/>
    <w:rsid w:val="5B406129"/>
    <w:rsid w:val="5B733236"/>
    <w:rsid w:val="5BF207C2"/>
    <w:rsid w:val="5C4B45FC"/>
    <w:rsid w:val="5C5D3033"/>
    <w:rsid w:val="5FF93E5A"/>
    <w:rsid w:val="66BF7227"/>
    <w:rsid w:val="66CA36E1"/>
    <w:rsid w:val="672F3DCF"/>
    <w:rsid w:val="69054339"/>
    <w:rsid w:val="69531548"/>
    <w:rsid w:val="69D63F27"/>
    <w:rsid w:val="6BB21ED8"/>
    <w:rsid w:val="6D803F34"/>
    <w:rsid w:val="6EBF42F0"/>
    <w:rsid w:val="73D47FF6"/>
    <w:rsid w:val="771D4F43"/>
    <w:rsid w:val="774921DC"/>
    <w:rsid w:val="781E71C5"/>
    <w:rsid w:val="7CA90BD7"/>
    <w:rsid w:val="7CC22F42"/>
    <w:rsid w:val="7EAF7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keepNext/>
      <w:keepLines/>
      <w:spacing w:before="260" w:after="260" w:line="416" w:lineRule="auto"/>
      <w:outlineLvl w:val="2"/>
    </w:pPr>
    <w:rPr>
      <w:rFonts w:ascii="Yu Mincho Light" w:hAnsi="Yu Mincho Light" w:cs="Yu Mincho Light"/>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2024-01-10T08:21:00Z</dcterms:created>
  <dc:creator>Administrator</dc:creator>
  <cp:lastModifiedBy>银杏果</cp:lastModifiedBy>
  <dcterms:modified xsi:type="dcterms:W3CDTF">2024-01-26T08:29:31Z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B7295BA138DE4C35AC07EE62DE4F7AFC_12</vt:lpwstr>
  </property>
</Properties>
</file>