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淄博市淄川区农业农村局</w:t>
      </w:r>
    </w:p>
    <w:p>
      <w:pPr>
        <w:pStyle w:val="2"/>
        <w:widowControl/>
        <w:spacing w:beforeAutospacing="0" w:afterAutospacing="0"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2023年政府信息公开工作年度报告</w:t>
      </w:r>
    </w:p>
    <w:p>
      <w:pPr>
        <w:pStyle w:val="2"/>
        <w:widowControl/>
        <w:spacing w:beforeAutospacing="0" w:afterAutospacing="0" w:line="560" w:lineRule="exact"/>
        <w:ind w:firstLine="640" w:firstLineChars="200"/>
        <w:rPr>
          <w:rFonts w:ascii="仿宋" w:hAnsi="仿宋" w:eastAsia="仿宋" w:cs="仿宋"/>
          <w:sz w:val="32"/>
          <w:szCs w:val="32"/>
        </w:rPr>
      </w:pPr>
    </w:p>
    <w:p>
      <w:pPr>
        <w:pStyle w:val="2"/>
        <w:widowControl/>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本报告所列数据统计期限自2023年1月1日起，至2023年12月31日止。</w:t>
      </w:r>
      <w:r>
        <w:rPr>
          <w:rFonts w:hint="eastAsia" w:ascii="仿宋" w:hAnsi="仿宋" w:eastAsia="仿宋" w:cs="仿宋"/>
          <w:color w:val="000000"/>
          <w:sz w:val="32"/>
          <w:szCs w:val="32"/>
        </w:rPr>
        <w:t>如对报告内容有疑问，请与淄博市淄川区农业农村局联系（</w:t>
      </w:r>
      <w:r>
        <w:rPr>
          <w:rFonts w:hint="eastAsia" w:ascii="仿宋" w:hAnsi="仿宋" w:eastAsia="仿宋" w:cs="仿宋"/>
          <w:color w:val="000000"/>
          <w:sz w:val="32"/>
          <w:szCs w:val="32"/>
          <w:shd w:val="clear" w:color="auto" w:fill="FFFFFF"/>
        </w:rPr>
        <w:t>地址：山东省淄博市淄川区般阳路30号；邮编：255100；电话：0533-5181470；邮箱：zcnyj@zb.shandong.cn）。</w:t>
      </w:r>
    </w:p>
    <w:p>
      <w:pPr>
        <w:pStyle w:val="2"/>
        <w:widowControl/>
        <w:spacing w:beforeAutospacing="0" w:afterAutospacing="0" w:line="56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一、总体情况</w:t>
      </w:r>
    </w:p>
    <w:p>
      <w:pPr>
        <w:pStyle w:val="2"/>
        <w:widowControl/>
        <w:spacing w:beforeAutospacing="0" w:afterAutospacing="0"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2023年，淄川区农业农村局全面贯彻落实党的二十大精神，坚持以习近平新时代中国特色社会主义思想为指导，严格落实政府信息公开有关规定及要求，主动宣传农业农村政策法规和工作成效，着力提升政府信息公开质量，不断增强政府信息公开实效，切实保障人民群众的知情权、参与权和监督权。</w:t>
      </w:r>
    </w:p>
    <w:p>
      <w:pPr>
        <w:pStyle w:val="2"/>
        <w:widowControl/>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color w:val="000000"/>
          <w:sz w:val="32"/>
          <w:szCs w:val="32"/>
          <w:shd w:val="clear" w:color="auto" w:fill="FFFFFF"/>
        </w:rPr>
        <w:t>（一）主动公开信息情况。2023年，主动公开政府信121条。公开类别：机构职能类3条；规划计划类2条；政策文件类15条；重要部署执行类示类9条；双随机一公开类4条；建议提案办理类12条；财政信息类11条；行政执法公示6条；乡村振兴类24条；涉农补贴类32条；政府信息公开目录类1条；政府信息公开年度报告1条；法治政府建设类1条。</w:t>
      </w:r>
    </w:p>
    <w:p>
      <w:pPr>
        <w:pStyle w:val="2"/>
        <w:widowControl/>
        <w:spacing w:beforeAutospacing="0" w:afterAutospacing="0" w:line="560" w:lineRule="exact"/>
        <w:ind w:firstLine="640" w:firstLineChars="20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（二）依申请公开政府信息情况。2023年我局未收到政府信息公开申请，无行政复议和行政诉讼情况发生。</w:t>
      </w:r>
    </w:p>
    <w:p>
      <w:pPr>
        <w:pStyle w:val="2"/>
        <w:widowControl/>
        <w:spacing w:beforeAutospacing="0" w:afterAutospacing="0" w:line="560" w:lineRule="exact"/>
        <w:ind w:firstLine="640" w:firstLineChars="20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（三）政府信息管理情况。我局信息公开平台，涵盖了组织机构、部门文件、工作动态、财政预决算、涉农补贴、人大代表建议和政协提案等，方便公众搜索浏览。</w:t>
      </w:r>
    </w:p>
    <w:p>
      <w:pPr>
        <w:pStyle w:val="2"/>
        <w:widowControl/>
        <w:spacing w:beforeAutospacing="0" w:afterAutospacing="0" w:line="560" w:lineRule="exact"/>
        <w:ind w:firstLine="640" w:firstLineChars="200"/>
        <w:jc w:val="both"/>
        <w:rPr>
          <w:rFonts w:ascii="仿宋" w:hAnsi="仿宋" w:eastAsia="仿宋" w:cs="仿宋"/>
          <w:sz w:val="32"/>
          <w:szCs w:val="32"/>
        </w:rPr>
      </w:pPr>
      <w:r>
        <w:rPr>
          <w:rFonts w:hint="eastAsia" w:ascii="仿宋" w:hAnsi="仿宋" w:eastAsia="仿宋" w:cs="仿宋"/>
          <w:color w:val="000000"/>
          <w:sz w:val="32"/>
          <w:szCs w:val="32"/>
          <w:shd w:val="clear" w:color="auto" w:fill="FFFFFF"/>
        </w:rPr>
        <w:t>（四）平台建设情况。按照</w:t>
      </w:r>
      <w:r>
        <w:rPr>
          <w:rFonts w:hint="eastAsia" w:ascii="仿宋" w:hAnsi="仿宋" w:eastAsia="仿宋" w:cs="仿宋"/>
          <w:color w:val="333333"/>
          <w:sz w:val="32"/>
          <w:szCs w:val="32"/>
          <w:shd w:val="clear" w:color="auto" w:fill="FFFFFF"/>
        </w:rPr>
        <w:t>政府门户网站建设指引和考核要求，规范栏目设置，积极配合推进政府网站集约化建设。2023年，“淄川三农”微信公众号发布图文信息258条，公众号上设立“在线留言”，发挥便民利民的作用。</w:t>
      </w:r>
    </w:p>
    <w:p>
      <w:pPr>
        <w:pStyle w:val="2"/>
        <w:widowControl/>
        <w:spacing w:beforeAutospacing="0" w:afterAutospacing="0" w:line="560" w:lineRule="exact"/>
        <w:ind w:firstLine="640" w:firstLineChars="20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五）监督保障情况。我局严格遵守信息公开有关规定，严格实行信息编写、审核、报送、发布等各环节把关负责制，由科室、分管领导审定，重要信息由主要领导审签。实行信息公开保密审查制度，依法依规主动公开。</w:t>
      </w:r>
    </w:p>
    <w:p>
      <w:pPr>
        <w:pStyle w:val="2"/>
        <w:widowControl/>
        <w:spacing w:beforeAutospacing="0" w:afterAutospacing="0" w:line="26" w:lineRule="atLeast"/>
        <w:ind w:firstLine="640" w:firstLineChars="200"/>
        <w:jc w:val="both"/>
        <w:rPr>
          <w:rFonts w:ascii="黑体" w:hAnsi="黑体" w:eastAsia="黑体" w:cs="黑体"/>
          <w:bCs/>
          <w:sz w:val="32"/>
          <w:szCs w:val="32"/>
        </w:rPr>
      </w:pPr>
      <w:r>
        <w:rPr>
          <w:rStyle w:val="5"/>
          <w:rFonts w:hint="eastAsia" w:ascii="黑体" w:hAnsi="黑体" w:eastAsia="黑体" w:cs="黑体"/>
          <w:b w:val="0"/>
          <w:bCs/>
          <w:color w:val="000000"/>
          <w:sz w:val="32"/>
          <w:szCs w:val="32"/>
        </w:rPr>
        <w:t>二、主动公开政府信息情况</w:t>
      </w:r>
    </w:p>
    <w:tbl>
      <w:tblPr>
        <w:tblStyle w:val="3"/>
        <w:tblW w:w="5000" w:type="pct"/>
        <w:tblInd w:w="0" w:type="dxa"/>
        <w:tblLayout w:type="autofit"/>
        <w:tblCellMar>
          <w:top w:w="0" w:type="dxa"/>
          <w:left w:w="0" w:type="dxa"/>
          <w:bottom w:w="0" w:type="dxa"/>
          <w:right w:w="0" w:type="dxa"/>
        </w:tblCellMar>
      </w:tblPr>
      <w:tblGrid>
        <w:gridCol w:w="2239"/>
        <w:gridCol w:w="2240"/>
        <w:gridCol w:w="2240"/>
        <w:gridCol w:w="2240"/>
      </w:tblGrid>
      <w:tr>
        <w:tblPrEx>
          <w:tblCellMar>
            <w:top w:w="0" w:type="dxa"/>
            <w:left w:w="0" w:type="dxa"/>
            <w:bottom w:w="0" w:type="dxa"/>
            <w:right w:w="0" w:type="dxa"/>
          </w:tblCellMar>
        </w:tblPrEx>
        <w:trPr>
          <w:trHeight w:val="340" w:hRule="atLeast"/>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第二十条第（一）项</w:t>
            </w:r>
          </w:p>
        </w:tc>
      </w:tr>
      <w:tr>
        <w:tblPrEx>
          <w:tblCellMar>
            <w:top w:w="0" w:type="dxa"/>
            <w:left w:w="0" w:type="dxa"/>
            <w:bottom w:w="0" w:type="dxa"/>
            <w:right w:w="0" w:type="dxa"/>
          </w:tblCellMar>
        </w:tblPrEx>
        <w:trPr>
          <w:trHeight w:val="340" w:hRule="atLeast"/>
        </w:trPr>
        <w:tc>
          <w:tcPr>
            <w:tcW w:w="1250" w:type="pct"/>
            <w:tcBorders>
              <w:top w:val="nil"/>
              <w:left w:val="single" w:color="auto" w:sz="8" w:space="0"/>
              <w:bottom w:val="single" w:color="auto" w:sz="8" w:space="0"/>
              <w:right w:val="single" w:color="auto" w:sz="8" w:space="0"/>
            </w:tcBorders>
            <w:shd w:val="clear" w:color="auto" w:fill="E6F4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信息内容</w:t>
            </w:r>
          </w:p>
        </w:tc>
        <w:tc>
          <w:tcPr>
            <w:tcW w:w="1250" w:type="pct"/>
            <w:tcBorders>
              <w:top w:val="nil"/>
              <w:left w:val="nil"/>
              <w:bottom w:val="single" w:color="auto" w:sz="8" w:space="0"/>
              <w:right w:val="single" w:color="auto" w:sz="8" w:space="0"/>
            </w:tcBorders>
            <w:shd w:val="clear" w:color="auto" w:fill="E6F4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本年制发件数</w:t>
            </w:r>
          </w:p>
        </w:tc>
        <w:tc>
          <w:tcPr>
            <w:tcW w:w="1250" w:type="pct"/>
            <w:tcBorders>
              <w:top w:val="nil"/>
              <w:left w:val="nil"/>
              <w:bottom w:val="single" w:color="auto" w:sz="8" w:space="0"/>
              <w:right w:val="single" w:color="auto" w:sz="8" w:space="0"/>
            </w:tcBorders>
            <w:shd w:val="clear" w:color="auto" w:fill="E6F4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本年废止件数</w:t>
            </w:r>
          </w:p>
        </w:tc>
        <w:tc>
          <w:tcPr>
            <w:tcW w:w="1250" w:type="pct"/>
            <w:tcBorders>
              <w:top w:val="nil"/>
              <w:left w:val="nil"/>
              <w:bottom w:val="single" w:color="auto" w:sz="8" w:space="0"/>
              <w:right w:val="single" w:color="auto" w:sz="8" w:space="0"/>
            </w:tcBorders>
            <w:shd w:val="clear" w:color="auto" w:fill="E6F4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现行有效件数</w:t>
            </w:r>
          </w:p>
        </w:tc>
      </w:tr>
      <w:tr>
        <w:tblPrEx>
          <w:tblCellMar>
            <w:top w:w="0" w:type="dxa"/>
            <w:left w:w="0" w:type="dxa"/>
            <w:bottom w:w="0" w:type="dxa"/>
            <w:right w:w="0" w:type="dxa"/>
          </w:tblCellMar>
        </w:tblPrEx>
        <w:trPr>
          <w:trHeight w:val="340" w:hRule="atLeast"/>
        </w:trPr>
        <w:tc>
          <w:tcPr>
            <w:tcW w:w="1250" w:type="pct"/>
            <w:tcBorders>
              <w:top w:val="nil"/>
              <w:left w:val="single" w:color="auto" w:sz="8" w:space="0"/>
              <w:bottom w:val="single" w:color="auto" w:sz="8" w:space="0"/>
              <w:right w:val="single" w:color="auto" w:sz="8" w:space="0"/>
            </w:tcBorders>
            <w:shd w:val="clear" w:color="auto" w:fill="E6F4FF"/>
            <w:tcMar>
              <w:left w:w="57" w:type="dxa"/>
              <w:right w:w="57" w:type="dxa"/>
            </w:tcMar>
            <w:vAlign w:val="center"/>
          </w:tcPr>
          <w:p>
            <w:pPr>
              <w:pStyle w:val="2"/>
              <w:widowControl/>
              <w:spacing w:beforeAutospacing="0" w:afterAutospacing="0"/>
            </w:pPr>
            <w:r>
              <w:rPr>
                <w:rFonts w:hint="eastAsia" w:ascii="微软雅黑" w:hAnsi="微软雅黑" w:eastAsia="微软雅黑" w:cs="微软雅黑"/>
                <w:color w:val="000000"/>
              </w:rPr>
              <w:t>规章</w:t>
            </w:r>
          </w:p>
        </w:tc>
        <w:tc>
          <w:tcPr>
            <w:tcW w:w="1250" w:type="pct"/>
            <w:tcBorders>
              <w:top w:val="nil"/>
              <w:left w:val="nil"/>
              <w:bottom w:val="single" w:color="auto" w:sz="8" w:space="0"/>
              <w:right w:val="single" w:color="auto" w:sz="8" w:space="0"/>
            </w:tcBorders>
            <w:shd w:val="clear" w:color="auto" w:fill="E6F4FF"/>
            <w:tcMar>
              <w:left w:w="57" w:type="dxa"/>
              <w:right w:w="57" w:type="dxa"/>
            </w:tcMar>
            <w:vAlign w:val="center"/>
          </w:tcPr>
          <w:p>
            <w:pPr>
              <w:pStyle w:val="2"/>
              <w:widowControl/>
              <w:spacing w:beforeAutospacing="0" w:afterAutospacing="0"/>
            </w:pPr>
            <w:r>
              <w:rPr>
                <w:rFonts w:hint="eastAsia" w:ascii="微软雅黑" w:hAnsi="微软雅黑" w:eastAsia="微软雅黑" w:cs="微软雅黑"/>
                <w:color w:val="000000"/>
              </w:rPr>
              <w:t>0</w:t>
            </w:r>
          </w:p>
        </w:tc>
        <w:tc>
          <w:tcPr>
            <w:tcW w:w="1250" w:type="pct"/>
            <w:tcBorders>
              <w:top w:val="nil"/>
              <w:left w:val="nil"/>
              <w:bottom w:val="single" w:color="auto" w:sz="8" w:space="0"/>
              <w:right w:val="single" w:color="auto" w:sz="8" w:space="0"/>
            </w:tcBorders>
            <w:shd w:val="clear" w:color="auto" w:fill="E6F4FF"/>
            <w:tcMar>
              <w:left w:w="57" w:type="dxa"/>
              <w:right w:w="57" w:type="dxa"/>
            </w:tcMar>
            <w:vAlign w:val="center"/>
          </w:tcPr>
          <w:p>
            <w:pPr>
              <w:pStyle w:val="2"/>
              <w:widowControl/>
              <w:spacing w:beforeAutospacing="0" w:afterAutospacing="0"/>
            </w:pPr>
            <w:r>
              <w:rPr>
                <w:rFonts w:hint="eastAsia" w:ascii="微软雅黑" w:hAnsi="微软雅黑" w:eastAsia="微软雅黑" w:cs="微软雅黑"/>
                <w:color w:val="000000"/>
              </w:rPr>
              <w:t>0</w:t>
            </w:r>
          </w:p>
        </w:tc>
        <w:tc>
          <w:tcPr>
            <w:tcW w:w="1250" w:type="pct"/>
            <w:tcBorders>
              <w:top w:val="nil"/>
              <w:left w:val="nil"/>
              <w:bottom w:val="single" w:color="auto" w:sz="8" w:space="0"/>
              <w:right w:val="single" w:color="auto" w:sz="8" w:space="0"/>
            </w:tcBorders>
            <w:shd w:val="clear" w:color="auto" w:fill="E6F4FF"/>
            <w:tcMar>
              <w:left w:w="57" w:type="dxa"/>
              <w:right w:w="57" w:type="dxa"/>
            </w:tcMar>
            <w:vAlign w:val="center"/>
          </w:tcPr>
          <w:p>
            <w:pPr>
              <w:pStyle w:val="2"/>
              <w:widowControl/>
              <w:spacing w:beforeAutospacing="0" w:afterAutospacing="0"/>
            </w:pPr>
            <w:r>
              <w:rPr>
                <w:rFonts w:hint="eastAsia" w:ascii="微软雅黑" w:hAnsi="微软雅黑" w:eastAsia="微软雅黑" w:cs="微软雅黑"/>
                <w:color w:val="000000"/>
              </w:rPr>
              <w:t>0</w:t>
            </w:r>
          </w:p>
        </w:tc>
      </w:tr>
      <w:tr>
        <w:tblPrEx>
          <w:tblCellMar>
            <w:top w:w="0" w:type="dxa"/>
            <w:left w:w="0" w:type="dxa"/>
            <w:bottom w:w="0" w:type="dxa"/>
            <w:right w:w="0" w:type="dxa"/>
          </w:tblCellMar>
        </w:tblPrEx>
        <w:trPr>
          <w:trHeight w:val="340" w:hRule="atLeast"/>
        </w:trPr>
        <w:tc>
          <w:tcPr>
            <w:tcW w:w="1250" w:type="pct"/>
            <w:tcBorders>
              <w:top w:val="nil"/>
              <w:left w:val="single" w:color="auto" w:sz="8" w:space="0"/>
              <w:bottom w:val="single" w:color="auto" w:sz="8" w:space="0"/>
              <w:right w:val="single" w:color="auto" w:sz="8" w:space="0"/>
            </w:tcBorders>
            <w:shd w:val="clear" w:color="auto" w:fill="E6F4FF"/>
            <w:tcMar>
              <w:left w:w="57" w:type="dxa"/>
              <w:right w:w="57" w:type="dxa"/>
            </w:tcMar>
            <w:vAlign w:val="center"/>
          </w:tcPr>
          <w:p>
            <w:pPr>
              <w:pStyle w:val="2"/>
              <w:widowControl/>
              <w:spacing w:beforeAutospacing="0" w:afterAutospacing="0"/>
            </w:pPr>
            <w:r>
              <w:rPr>
                <w:rFonts w:hint="eastAsia" w:ascii="微软雅黑" w:hAnsi="微软雅黑" w:eastAsia="微软雅黑" w:cs="微软雅黑"/>
                <w:color w:val="000000"/>
              </w:rPr>
              <w:t>行政规范性文件</w:t>
            </w:r>
          </w:p>
        </w:tc>
        <w:tc>
          <w:tcPr>
            <w:tcW w:w="1250" w:type="pct"/>
            <w:tcBorders>
              <w:top w:val="nil"/>
              <w:left w:val="nil"/>
              <w:bottom w:val="single" w:color="auto" w:sz="8" w:space="0"/>
              <w:right w:val="single" w:color="auto" w:sz="8" w:space="0"/>
            </w:tcBorders>
            <w:shd w:val="clear" w:color="auto" w:fill="E6F4FF"/>
            <w:tcMar>
              <w:left w:w="57" w:type="dxa"/>
              <w:right w:w="57" w:type="dxa"/>
            </w:tcMar>
            <w:vAlign w:val="center"/>
          </w:tcPr>
          <w:p>
            <w:pPr>
              <w:pStyle w:val="2"/>
              <w:widowControl/>
              <w:spacing w:beforeAutospacing="0" w:afterAutospacing="0"/>
            </w:pPr>
            <w:r>
              <w:rPr>
                <w:rFonts w:hint="eastAsia" w:ascii="微软雅黑" w:hAnsi="微软雅黑" w:eastAsia="微软雅黑" w:cs="微软雅黑"/>
                <w:color w:val="000000"/>
              </w:rPr>
              <w:t>0</w:t>
            </w:r>
          </w:p>
        </w:tc>
        <w:tc>
          <w:tcPr>
            <w:tcW w:w="1250" w:type="pct"/>
            <w:tcBorders>
              <w:top w:val="nil"/>
              <w:left w:val="nil"/>
              <w:bottom w:val="single" w:color="auto" w:sz="8" w:space="0"/>
              <w:right w:val="single" w:color="auto" w:sz="8" w:space="0"/>
            </w:tcBorders>
            <w:shd w:val="clear" w:color="auto" w:fill="E6F4FF"/>
            <w:tcMar>
              <w:left w:w="57" w:type="dxa"/>
              <w:right w:w="57" w:type="dxa"/>
            </w:tcMar>
            <w:vAlign w:val="center"/>
          </w:tcPr>
          <w:p>
            <w:pPr>
              <w:pStyle w:val="2"/>
              <w:widowControl/>
              <w:spacing w:beforeAutospacing="0" w:afterAutospacing="0"/>
            </w:pPr>
            <w:r>
              <w:rPr>
                <w:rFonts w:hint="eastAsia" w:ascii="微软雅黑" w:hAnsi="微软雅黑" w:eastAsia="微软雅黑" w:cs="微软雅黑"/>
                <w:color w:val="000000"/>
              </w:rPr>
              <w:t>0</w:t>
            </w:r>
          </w:p>
        </w:tc>
        <w:tc>
          <w:tcPr>
            <w:tcW w:w="1250" w:type="pct"/>
            <w:tcBorders>
              <w:top w:val="nil"/>
              <w:left w:val="nil"/>
              <w:bottom w:val="single" w:color="auto" w:sz="8" w:space="0"/>
              <w:right w:val="single" w:color="auto" w:sz="8" w:space="0"/>
            </w:tcBorders>
            <w:shd w:val="clear" w:color="auto" w:fill="E6F4FF"/>
            <w:tcMar>
              <w:left w:w="57" w:type="dxa"/>
              <w:right w:w="57" w:type="dxa"/>
            </w:tcMar>
            <w:vAlign w:val="center"/>
          </w:tcPr>
          <w:p>
            <w:pPr>
              <w:pStyle w:val="2"/>
              <w:widowControl/>
              <w:spacing w:beforeAutospacing="0" w:afterAutospacing="0"/>
            </w:pPr>
            <w:r>
              <w:rPr>
                <w:rFonts w:hint="eastAsia" w:ascii="微软雅黑" w:hAnsi="微软雅黑" w:eastAsia="微软雅黑" w:cs="微软雅黑"/>
                <w:color w:val="000000"/>
              </w:rPr>
              <w:t>0</w:t>
            </w:r>
          </w:p>
        </w:tc>
      </w:tr>
      <w:tr>
        <w:tblPrEx>
          <w:tblCellMar>
            <w:top w:w="0" w:type="dxa"/>
            <w:left w:w="0" w:type="dxa"/>
            <w:bottom w:w="0" w:type="dxa"/>
            <w:right w:w="0" w:type="dxa"/>
          </w:tblCellMar>
        </w:tblPrEx>
        <w:trPr>
          <w:trHeight w:val="340" w:hRule="atLeast"/>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第二十条第（五）项</w:t>
            </w:r>
          </w:p>
        </w:tc>
      </w:tr>
      <w:tr>
        <w:tblPrEx>
          <w:tblCellMar>
            <w:top w:w="0" w:type="dxa"/>
            <w:left w:w="0" w:type="dxa"/>
            <w:bottom w:w="0" w:type="dxa"/>
            <w:right w:w="0" w:type="dxa"/>
          </w:tblCellMar>
        </w:tblPrEx>
        <w:trPr>
          <w:trHeight w:val="340" w:hRule="atLeast"/>
        </w:trPr>
        <w:tc>
          <w:tcPr>
            <w:tcW w:w="1250" w:type="pct"/>
            <w:tcBorders>
              <w:top w:val="nil"/>
              <w:left w:val="single" w:color="auto" w:sz="8" w:space="0"/>
              <w:bottom w:val="single" w:color="auto" w:sz="8" w:space="0"/>
              <w:right w:val="single" w:color="auto" w:sz="8" w:space="0"/>
            </w:tcBorders>
            <w:shd w:val="clear" w:color="auto" w:fill="E6F4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信息内容</w:t>
            </w:r>
          </w:p>
        </w:tc>
        <w:tc>
          <w:tcPr>
            <w:tcW w:w="3750" w:type="pct"/>
            <w:gridSpan w:val="3"/>
            <w:tcBorders>
              <w:top w:val="nil"/>
              <w:left w:val="nil"/>
              <w:bottom w:val="single" w:color="auto" w:sz="8" w:space="0"/>
              <w:right w:val="single" w:color="auto" w:sz="8" w:space="0"/>
            </w:tcBorders>
            <w:shd w:val="clear" w:color="auto" w:fill="E6F4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本年处理决定数量</w:t>
            </w:r>
          </w:p>
        </w:tc>
      </w:tr>
      <w:tr>
        <w:tblPrEx>
          <w:tblCellMar>
            <w:top w:w="0" w:type="dxa"/>
            <w:left w:w="0" w:type="dxa"/>
            <w:bottom w:w="0" w:type="dxa"/>
            <w:right w:w="0" w:type="dxa"/>
          </w:tblCellMar>
        </w:tblPrEx>
        <w:trPr>
          <w:trHeight w:val="340" w:hRule="atLeast"/>
        </w:trPr>
        <w:tc>
          <w:tcPr>
            <w:tcW w:w="1250" w:type="pct"/>
            <w:tcBorders>
              <w:top w:val="nil"/>
              <w:left w:val="single" w:color="auto" w:sz="8" w:space="0"/>
              <w:bottom w:val="single" w:color="auto" w:sz="8" w:space="0"/>
              <w:right w:val="single" w:color="auto" w:sz="8" w:space="0"/>
            </w:tcBorders>
            <w:shd w:val="clear" w:color="auto" w:fill="E6F4FF"/>
            <w:tcMar>
              <w:left w:w="57" w:type="dxa"/>
              <w:right w:w="57" w:type="dxa"/>
            </w:tcMar>
            <w:vAlign w:val="center"/>
          </w:tcPr>
          <w:p>
            <w:pPr>
              <w:pStyle w:val="2"/>
              <w:widowControl/>
              <w:spacing w:beforeAutospacing="0" w:afterAutospacing="0"/>
            </w:pPr>
            <w:r>
              <w:rPr>
                <w:rFonts w:hint="eastAsia" w:ascii="微软雅黑" w:hAnsi="微软雅黑" w:eastAsia="微软雅黑" w:cs="微软雅黑"/>
                <w:color w:val="000000"/>
              </w:rPr>
              <w:t>行政许可</w:t>
            </w:r>
          </w:p>
        </w:tc>
        <w:tc>
          <w:tcPr>
            <w:tcW w:w="3750" w:type="pct"/>
            <w:gridSpan w:val="3"/>
            <w:tcBorders>
              <w:top w:val="nil"/>
              <w:left w:val="nil"/>
              <w:bottom w:val="single" w:color="auto" w:sz="8" w:space="0"/>
              <w:right w:val="single" w:color="auto" w:sz="8" w:space="0"/>
            </w:tcBorders>
            <w:shd w:val="clear" w:color="auto" w:fill="E6F4FF"/>
            <w:tcMar>
              <w:left w:w="57" w:type="dxa"/>
              <w:right w:w="57" w:type="dxa"/>
            </w:tcMar>
            <w:vAlign w:val="center"/>
          </w:tcPr>
          <w:p>
            <w:pPr>
              <w:pStyle w:val="2"/>
              <w:widowControl/>
              <w:spacing w:beforeAutospacing="0" w:afterAutospacing="0"/>
            </w:pPr>
            <w:r>
              <w:rPr>
                <w:rFonts w:hint="eastAsia"/>
              </w:rPr>
              <w:t>75</w:t>
            </w:r>
          </w:p>
        </w:tc>
      </w:tr>
      <w:tr>
        <w:tblPrEx>
          <w:tblCellMar>
            <w:top w:w="0" w:type="dxa"/>
            <w:left w:w="0" w:type="dxa"/>
            <w:bottom w:w="0" w:type="dxa"/>
            <w:right w:w="0" w:type="dxa"/>
          </w:tblCellMar>
        </w:tblPrEx>
        <w:trPr>
          <w:trHeight w:val="340" w:hRule="atLeast"/>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第二十条第（六）项</w:t>
            </w:r>
          </w:p>
        </w:tc>
      </w:tr>
      <w:tr>
        <w:tblPrEx>
          <w:tblCellMar>
            <w:top w:w="0" w:type="dxa"/>
            <w:left w:w="0" w:type="dxa"/>
            <w:bottom w:w="0" w:type="dxa"/>
            <w:right w:w="0" w:type="dxa"/>
          </w:tblCellMar>
        </w:tblPrEx>
        <w:trPr>
          <w:trHeight w:val="340" w:hRule="atLeast"/>
        </w:trPr>
        <w:tc>
          <w:tcPr>
            <w:tcW w:w="1250" w:type="pct"/>
            <w:tcBorders>
              <w:top w:val="nil"/>
              <w:left w:val="single" w:color="auto" w:sz="8" w:space="0"/>
              <w:bottom w:val="single" w:color="auto" w:sz="8" w:space="0"/>
              <w:right w:val="single" w:color="auto" w:sz="8" w:space="0"/>
            </w:tcBorders>
            <w:shd w:val="clear" w:color="auto" w:fill="E6F4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信息内容</w:t>
            </w:r>
          </w:p>
        </w:tc>
        <w:tc>
          <w:tcPr>
            <w:tcW w:w="3750" w:type="pct"/>
            <w:gridSpan w:val="3"/>
            <w:tcBorders>
              <w:top w:val="nil"/>
              <w:left w:val="nil"/>
              <w:bottom w:val="single" w:color="auto" w:sz="8" w:space="0"/>
              <w:right w:val="single" w:color="auto" w:sz="8" w:space="0"/>
            </w:tcBorders>
            <w:shd w:val="clear" w:color="auto" w:fill="E6F4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本年处理决定数量</w:t>
            </w:r>
          </w:p>
        </w:tc>
      </w:tr>
      <w:tr>
        <w:tblPrEx>
          <w:tblCellMar>
            <w:top w:w="0" w:type="dxa"/>
            <w:left w:w="0" w:type="dxa"/>
            <w:bottom w:w="0" w:type="dxa"/>
            <w:right w:w="0" w:type="dxa"/>
          </w:tblCellMar>
        </w:tblPrEx>
        <w:trPr>
          <w:trHeight w:val="340" w:hRule="atLeast"/>
        </w:trPr>
        <w:tc>
          <w:tcPr>
            <w:tcW w:w="1250" w:type="pct"/>
            <w:tcBorders>
              <w:top w:val="nil"/>
              <w:left w:val="single" w:color="auto" w:sz="8" w:space="0"/>
              <w:bottom w:val="single" w:color="auto" w:sz="8" w:space="0"/>
              <w:right w:val="single" w:color="auto" w:sz="8" w:space="0"/>
            </w:tcBorders>
            <w:shd w:val="clear" w:color="auto" w:fill="E6F4FF"/>
            <w:tcMar>
              <w:left w:w="57" w:type="dxa"/>
              <w:right w:w="57" w:type="dxa"/>
            </w:tcMar>
            <w:vAlign w:val="center"/>
          </w:tcPr>
          <w:p>
            <w:pPr>
              <w:pStyle w:val="2"/>
              <w:widowControl/>
              <w:spacing w:beforeAutospacing="0" w:afterAutospacing="0"/>
            </w:pPr>
            <w:r>
              <w:rPr>
                <w:rFonts w:hint="eastAsia" w:ascii="微软雅黑" w:hAnsi="微软雅黑" w:eastAsia="微软雅黑" w:cs="微软雅黑"/>
                <w:color w:val="000000"/>
              </w:rPr>
              <w:t>行政处罚</w:t>
            </w:r>
          </w:p>
        </w:tc>
        <w:tc>
          <w:tcPr>
            <w:tcW w:w="3750" w:type="pct"/>
            <w:gridSpan w:val="3"/>
            <w:tcBorders>
              <w:top w:val="nil"/>
              <w:left w:val="nil"/>
              <w:bottom w:val="single" w:color="auto" w:sz="8" w:space="0"/>
              <w:right w:val="single" w:color="auto" w:sz="8" w:space="0"/>
            </w:tcBorders>
            <w:shd w:val="clear" w:color="auto" w:fill="E6F4FF"/>
            <w:tcMar>
              <w:left w:w="57" w:type="dxa"/>
              <w:right w:w="57" w:type="dxa"/>
            </w:tcMar>
            <w:vAlign w:val="center"/>
          </w:tcPr>
          <w:p>
            <w:pPr>
              <w:pStyle w:val="2"/>
              <w:widowControl/>
              <w:spacing w:beforeAutospacing="0" w:afterAutospacing="0"/>
            </w:pPr>
            <w:r>
              <w:rPr>
                <w:rFonts w:hint="eastAsia" w:ascii="微软雅黑" w:hAnsi="微软雅黑" w:eastAsia="微软雅黑" w:cs="微软雅黑"/>
                <w:color w:val="000000"/>
              </w:rPr>
              <w:t>0</w:t>
            </w:r>
          </w:p>
        </w:tc>
      </w:tr>
      <w:tr>
        <w:tblPrEx>
          <w:tblCellMar>
            <w:top w:w="0" w:type="dxa"/>
            <w:left w:w="0" w:type="dxa"/>
            <w:bottom w:w="0" w:type="dxa"/>
            <w:right w:w="0" w:type="dxa"/>
          </w:tblCellMar>
        </w:tblPrEx>
        <w:trPr>
          <w:trHeight w:val="340" w:hRule="atLeast"/>
        </w:trPr>
        <w:tc>
          <w:tcPr>
            <w:tcW w:w="1250" w:type="pct"/>
            <w:tcBorders>
              <w:top w:val="nil"/>
              <w:left w:val="single" w:color="auto" w:sz="8" w:space="0"/>
              <w:bottom w:val="single" w:color="auto" w:sz="8" w:space="0"/>
              <w:right w:val="single" w:color="auto" w:sz="8" w:space="0"/>
            </w:tcBorders>
            <w:shd w:val="clear" w:color="auto" w:fill="E6F4FF"/>
            <w:tcMar>
              <w:left w:w="57" w:type="dxa"/>
              <w:right w:w="57" w:type="dxa"/>
            </w:tcMar>
            <w:vAlign w:val="center"/>
          </w:tcPr>
          <w:p>
            <w:pPr>
              <w:pStyle w:val="2"/>
              <w:widowControl/>
              <w:spacing w:beforeAutospacing="0" w:afterAutospacing="0"/>
            </w:pPr>
            <w:r>
              <w:rPr>
                <w:rFonts w:hint="eastAsia" w:ascii="微软雅黑" w:hAnsi="微软雅黑" w:eastAsia="微软雅黑" w:cs="微软雅黑"/>
                <w:color w:val="000000"/>
              </w:rPr>
              <w:t>行政强制</w:t>
            </w:r>
          </w:p>
        </w:tc>
        <w:tc>
          <w:tcPr>
            <w:tcW w:w="3750" w:type="pct"/>
            <w:gridSpan w:val="3"/>
            <w:tcBorders>
              <w:top w:val="nil"/>
              <w:left w:val="nil"/>
              <w:bottom w:val="single" w:color="auto" w:sz="8" w:space="0"/>
              <w:right w:val="single" w:color="auto" w:sz="8" w:space="0"/>
            </w:tcBorders>
            <w:shd w:val="clear" w:color="auto" w:fill="E6F4FF"/>
            <w:tcMar>
              <w:left w:w="57" w:type="dxa"/>
              <w:right w:w="57" w:type="dxa"/>
            </w:tcMar>
            <w:vAlign w:val="center"/>
          </w:tcPr>
          <w:p>
            <w:pPr>
              <w:pStyle w:val="2"/>
              <w:widowControl/>
              <w:spacing w:beforeAutospacing="0" w:afterAutospacing="0"/>
            </w:pPr>
            <w:r>
              <w:rPr>
                <w:rFonts w:hint="eastAsia" w:ascii="微软雅黑" w:hAnsi="微软雅黑" w:eastAsia="微软雅黑" w:cs="微软雅黑"/>
                <w:color w:val="000000"/>
              </w:rPr>
              <w:t>0</w:t>
            </w:r>
          </w:p>
        </w:tc>
      </w:tr>
      <w:tr>
        <w:tblPrEx>
          <w:tblCellMar>
            <w:top w:w="0" w:type="dxa"/>
            <w:left w:w="0" w:type="dxa"/>
            <w:bottom w:w="0" w:type="dxa"/>
            <w:right w:w="0" w:type="dxa"/>
          </w:tblCellMar>
        </w:tblPrEx>
        <w:trPr>
          <w:trHeight w:val="340" w:hRule="atLeast"/>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第二十条第（八）项</w:t>
            </w:r>
          </w:p>
        </w:tc>
      </w:tr>
      <w:tr>
        <w:tblPrEx>
          <w:tblCellMar>
            <w:top w:w="0" w:type="dxa"/>
            <w:left w:w="0" w:type="dxa"/>
            <w:bottom w:w="0" w:type="dxa"/>
            <w:right w:w="0" w:type="dxa"/>
          </w:tblCellMar>
        </w:tblPrEx>
        <w:trPr>
          <w:trHeight w:val="340" w:hRule="atLeast"/>
        </w:trPr>
        <w:tc>
          <w:tcPr>
            <w:tcW w:w="1250" w:type="pct"/>
            <w:tcBorders>
              <w:top w:val="nil"/>
              <w:left w:val="single" w:color="auto" w:sz="8" w:space="0"/>
              <w:bottom w:val="single" w:color="auto" w:sz="8" w:space="0"/>
              <w:right w:val="single" w:color="auto" w:sz="8" w:space="0"/>
            </w:tcBorders>
            <w:shd w:val="clear" w:color="auto" w:fill="E6F4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信息内容</w:t>
            </w:r>
          </w:p>
        </w:tc>
        <w:tc>
          <w:tcPr>
            <w:tcW w:w="3750" w:type="pct"/>
            <w:gridSpan w:val="3"/>
            <w:tcBorders>
              <w:top w:val="nil"/>
              <w:left w:val="nil"/>
              <w:bottom w:val="single" w:color="auto" w:sz="8" w:space="0"/>
              <w:right w:val="single" w:color="000000" w:sz="8" w:space="0"/>
            </w:tcBorders>
            <w:shd w:val="clear" w:color="auto" w:fill="E6F4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本年收费金额（单位：万元）</w:t>
            </w:r>
          </w:p>
        </w:tc>
      </w:tr>
      <w:tr>
        <w:tblPrEx>
          <w:tblCellMar>
            <w:top w:w="0" w:type="dxa"/>
            <w:left w:w="0" w:type="dxa"/>
            <w:bottom w:w="0" w:type="dxa"/>
            <w:right w:w="0" w:type="dxa"/>
          </w:tblCellMar>
        </w:tblPrEx>
        <w:trPr>
          <w:trHeight w:val="340" w:hRule="atLeast"/>
        </w:trPr>
        <w:tc>
          <w:tcPr>
            <w:tcW w:w="1250" w:type="pct"/>
            <w:tcBorders>
              <w:top w:val="nil"/>
              <w:left w:val="single" w:color="auto" w:sz="8" w:space="0"/>
              <w:bottom w:val="single" w:color="auto" w:sz="8" w:space="0"/>
              <w:right w:val="single" w:color="auto" w:sz="8" w:space="0"/>
            </w:tcBorders>
            <w:shd w:val="clear" w:color="auto" w:fill="E6F4FF"/>
            <w:tcMar>
              <w:left w:w="57" w:type="dxa"/>
              <w:right w:w="57" w:type="dxa"/>
            </w:tcMar>
            <w:vAlign w:val="center"/>
          </w:tcPr>
          <w:p>
            <w:pPr>
              <w:pStyle w:val="2"/>
              <w:widowControl/>
              <w:spacing w:beforeAutospacing="0" w:afterAutospacing="0"/>
            </w:pPr>
            <w:r>
              <w:rPr>
                <w:rFonts w:hint="eastAsia" w:ascii="微软雅黑" w:hAnsi="微软雅黑" w:eastAsia="微软雅黑" w:cs="微软雅黑"/>
                <w:color w:val="000000"/>
              </w:rPr>
              <w:t>行政事业性收费</w:t>
            </w:r>
          </w:p>
        </w:tc>
        <w:tc>
          <w:tcPr>
            <w:tcW w:w="3750" w:type="pct"/>
            <w:gridSpan w:val="3"/>
            <w:tcBorders>
              <w:top w:val="nil"/>
              <w:left w:val="nil"/>
              <w:bottom w:val="single" w:color="auto" w:sz="8" w:space="0"/>
              <w:right w:val="single" w:color="000000" w:sz="8" w:space="0"/>
            </w:tcBorders>
            <w:shd w:val="clear" w:color="auto" w:fill="E6F4FF"/>
            <w:tcMar>
              <w:left w:w="57" w:type="dxa"/>
              <w:right w:w="57" w:type="dxa"/>
            </w:tcMar>
            <w:vAlign w:val="center"/>
          </w:tcPr>
          <w:p>
            <w:pPr>
              <w:pStyle w:val="2"/>
              <w:widowControl/>
            </w:pPr>
            <w:r>
              <w:rPr>
                <w:rFonts w:hint="eastAsia" w:ascii="微软雅黑" w:hAnsi="微软雅黑" w:eastAsia="微软雅黑" w:cs="微软雅黑"/>
                <w:color w:val="000000"/>
              </w:rPr>
              <w:t>0</w:t>
            </w:r>
          </w:p>
        </w:tc>
      </w:tr>
    </w:tbl>
    <w:p>
      <w:pPr>
        <w:pStyle w:val="2"/>
        <w:widowControl/>
        <w:spacing w:beforeAutospacing="0" w:afterAutospacing="0" w:line="26" w:lineRule="atLeast"/>
        <w:jc w:val="both"/>
      </w:pPr>
      <w:r>
        <w:rPr>
          <w:rStyle w:val="5"/>
          <w:rFonts w:hint="eastAsia" w:ascii="微软雅黑" w:hAnsi="微软雅黑" w:eastAsia="微软雅黑" w:cs="微软雅黑"/>
          <w:color w:val="000000"/>
        </w:rPr>
        <w:t>　</w:t>
      </w:r>
      <w:r>
        <w:rPr>
          <w:rStyle w:val="5"/>
          <w:rFonts w:hint="eastAsia" w:ascii="黑体" w:hAnsi="黑体" w:eastAsia="黑体" w:cs="黑体"/>
          <w:b w:val="0"/>
          <w:bCs/>
          <w:color w:val="000000"/>
          <w:sz w:val="32"/>
          <w:szCs w:val="32"/>
        </w:rPr>
        <w:t>　三、收到和处理政府信息公开申请情况</w:t>
      </w:r>
    </w:p>
    <w:tbl>
      <w:tblPr>
        <w:tblStyle w:val="3"/>
        <w:tblW w:w="4999"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08"/>
        <w:gridCol w:w="870"/>
        <w:gridCol w:w="2978"/>
        <w:gridCol w:w="634"/>
        <w:gridCol w:w="634"/>
        <w:gridCol w:w="634"/>
        <w:gridCol w:w="634"/>
        <w:gridCol w:w="634"/>
        <w:gridCol w:w="641"/>
        <w:gridCol w:w="64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529" w:type="pct"/>
            <w:gridSpan w:val="3"/>
            <w:vMerge w:val="restart"/>
            <w:tcBorders>
              <w:top w:val="single" w:color="auto" w:sz="8" w:space="0"/>
              <w:left w:val="single" w:color="auto" w:sz="8" w:space="0"/>
              <w:bottom w:val="inset"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pPr>
            <w:r>
              <w:rPr>
                <w:rFonts w:hint="eastAsia" w:ascii="微软雅黑" w:hAnsi="微软雅黑" w:eastAsia="微软雅黑" w:cs="微软雅黑"/>
                <w:color w:val="000000"/>
              </w:rPr>
              <w:t>（本列数据的勾稽关系为：第一项加第二项之和，等于第三项加第四项之和）</w:t>
            </w:r>
          </w:p>
        </w:tc>
        <w:tc>
          <w:tcPr>
            <w:tcW w:w="2470" w:type="pct"/>
            <w:gridSpan w:val="7"/>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529" w:type="pct"/>
            <w:gridSpan w:val="3"/>
            <w:vMerge w:val="continue"/>
            <w:tcBorders>
              <w:top w:val="single" w:color="auto" w:sz="8" w:space="0"/>
              <w:left w:val="single" w:color="auto" w:sz="8" w:space="0"/>
              <w:bottom w:val="inset" w:color="auto" w:sz="8" w:space="0"/>
              <w:right w:val="single" w:color="auto" w:sz="8" w:space="0"/>
            </w:tcBorders>
            <w:shd w:val="clear" w:color="auto" w:fill="FFFFFF"/>
            <w:tcMar>
              <w:left w:w="108" w:type="dxa"/>
              <w:right w:w="108" w:type="dxa"/>
            </w:tcMar>
            <w:vAlign w:val="center"/>
          </w:tcPr>
          <w:p>
            <w:pPr>
              <w:rPr>
                <w:rFonts w:ascii="宋体"/>
                <w:sz w:val="24"/>
              </w:rPr>
            </w:pPr>
          </w:p>
        </w:tc>
        <w:tc>
          <w:tcPr>
            <w:tcW w:w="352" w:type="pct"/>
            <w:vMerge w:val="restart"/>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自然人</w:t>
            </w:r>
          </w:p>
        </w:tc>
        <w:tc>
          <w:tcPr>
            <w:tcW w:w="1764" w:type="pct"/>
            <w:gridSpan w:val="5"/>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法人或其他组织</w:t>
            </w:r>
          </w:p>
        </w:tc>
        <w:tc>
          <w:tcPr>
            <w:tcW w:w="353" w:type="pct"/>
            <w:vMerge w:val="restart"/>
            <w:tcBorders>
              <w:top w:val="nil"/>
              <w:left w:val="nil"/>
              <w:bottom w:val="inset"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529" w:type="pct"/>
            <w:gridSpan w:val="3"/>
            <w:vMerge w:val="continue"/>
            <w:tcBorders>
              <w:top w:val="single" w:color="auto" w:sz="8" w:space="0"/>
              <w:left w:val="single" w:color="auto" w:sz="8" w:space="0"/>
              <w:bottom w:val="inset" w:color="auto" w:sz="8" w:space="0"/>
              <w:right w:val="single" w:color="auto" w:sz="8" w:space="0"/>
            </w:tcBorders>
            <w:shd w:val="clear" w:color="auto" w:fill="FFFFFF"/>
            <w:tcMar>
              <w:left w:w="108" w:type="dxa"/>
              <w:right w:w="108" w:type="dxa"/>
            </w:tcMar>
            <w:vAlign w:val="center"/>
          </w:tcPr>
          <w:p>
            <w:pPr>
              <w:rPr>
                <w:rFonts w:ascii="宋体"/>
                <w:sz w:val="24"/>
              </w:rPr>
            </w:pPr>
          </w:p>
        </w:tc>
        <w:tc>
          <w:tcPr>
            <w:tcW w:w="352" w:type="pct"/>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宋体"/>
                <w:sz w:val="24"/>
              </w:rPr>
            </w:pPr>
          </w:p>
        </w:tc>
        <w:tc>
          <w:tcPr>
            <w:tcW w:w="352" w:type="pct"/>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商业</w:t>
            </w:r>
          </w:p>
          <w:p>
            <w:pPr>
              <w:pStyle w:val="2"/>
              <w:widowControl/>
              <w:spacing w:beforeAutospacing="0" w:afterAutospacing="0"/>
              <w:jc w:val="center"/>
            </w:pPr>
            <w:r>
              <w:rPr>
                <w:rFonts w:hint="eastAsia" w:ascii="微软雅黑" w:hAnsi="微软雅黑" w:eastAsia="微软雅黑" w:cs="微软雅黑"/>
                <w:color w:val="000000"/>
              </w:rPr>
              <w:t>企业</w:t>
            </w:r>
          </w:p>
        </w:tc>
        <w:tc>
          <w:tcPr>
            <w:tcW w:w="352" w:type="pct"/>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科研</w:t>
            </w:r>
          </w:p>
          <w:p>
            <w:pPr>
              <w:pStyle w:val="2"/>
              <w:widowControl/>
              <w:spacing w:beforeAutospacing="0" w:afterAutospacing="0"/>
              <w:jc w:val="center"/>
            </w:pPr>
            <w:r>
              <w:rPr>
                <w:rFonts w:hint="eastAsia" w:ascii="微软雅黑" w:hAnsi="微软雅黑" w:eastAsia="微软雅黑" w:cs="微软雅黑"/>
                <w:color w:val="000000"/>
              </w:rPr>
              <w:t>机构</w:t>
            </w:r>
          </w:p>
        </w:tc>
        <w:tc>
          <w:tcPr>
            <w:tcW w:w="352" w:type="pct"/>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社会公益组织</w:t>
            </w:r>
          </w:p>
        </w:tc>
        <w:tc>
          <w:tcPr>
            <w:tcW w:w="352" w:type="pct"/>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法律服务机构</w:t>
            </w:r>
          </w:p>
        </w:tc>
        <w:tc>
          <w:tcPr>
            <w:tcW w:w="353" w:type="pct"/>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其他</w:t>
            </w:r>
          </w:p>
        </w:tc>
        <w:tc>
          <w:tcPr>
            <w:tcW w:w="353" w:type="pct"/>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529" w:type="pct"/>
            <w:gridSpan w:val="3"/>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pPr>
            <w:r>
              <w:rPr>
                <w:rFonts w:hint="eastAsia" w:ascii="微软雅黑" w:hAnsi="微软雅黑" w:eastAsia="微软雅黑" w:cs="微软雅黑"/>
                <w:color w:val="000000"/>
              </w:rPr>
              <w:t>一、本年新收政府信息公开申请数量</w:t>
            </w:r>
          </w:p>
        </w:tc>
        <w:tc>
          <w:tcPr>
            <w:tcW w:w="352" w:type="pct"/>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352" w:type="pct"/>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352" w:type="pct"/>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352" w:type="pct"/>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352" w:type="pct"/>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353" w:type="pct"/>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353" w:type="pct"/>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jc w:val="center"/>
            </w:pPr>
            <w:r>
              <w:rPr>
                <w:rFonts w:hint="eastAsia" w:ascii="微软雅黑" w:hAnsi="微软雅黑" w:eastAsia="微软雅黑" w:cs="微软雅黑"/>
                <w:color w:val="00000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529" w:type="pct"/>
            <w:gridSpan w:val="3"/>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pPr>
            <w:r>
              <w:rPr>
                <w:rFonts w:hint="eastAsia" w:ascii="微软雅黑" w:hAnsi="微软雅黑" w:eastAsia="微软雅黑" w:cs="微软雅黑"/>
                <w:color w:val="000000"/>
              </w:rPr>
              <w:t>二、上年结转政府信息公开申请数量</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3"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2" w:type="dxa"/>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jc w:val="center"/>
            </w:pPr>
            <w:r>
              <w:rPr>
                <w:rFonts w:hint="eastAsia" w:ascii="微软雅黑" w:hAnsi="微软雅黑" w:eastAsia="微软雅黑" w:cs="微软雅黑"/>
                <w:color w:val="00000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3" w:type="pct"/>
            <w:vMerge w:val="restart"/>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pPr>
            <w:r>
              <w:rPr>
                <w:rFonts w:hint="eastAsia" w:ascii="微软雅黑" w:hAnsi="微软雅黑" w:eastAsia="微软雅黑" w:cs="微软雅黑"/>
                <w:color w:val="000000"/>
              </w:rPr>
              <w:t>三、本年度办理结果</w:t>
            </w:r>
          </w:p>
        </w:tc>
        <w:tc>
          <w:tcPr>
            <w:tcW w:w="2135" w:type="pct"/>
            <w:gridSpan w:val="2"/>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pPr>
            <w:r>
              <w:rPr>
                <w:rFonts w:hint="eastAsia" w:ascii="微软雅黑" w:hAnsi="微软雅黑" w:eastAsia="微软雅黑" w:cs="微软雅黑"/>
                <w:color w:val="000000"/>
              </w:rPr>
              <w:t>（一）予以公开</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3"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2" w:type="dxa"/>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jc w:val="center"/>
            </w:pPr>
            <w:r>
              <w:rPr>
                <w:rFonts w:hint="eastAsia" w:ascii="微软雅黑" w:hAnsi="微软雅黑" w:eastAsia="微软雅黑" w:cs="微软雅黑"/>
                <w:color w:val="00000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3" w:type="pct"/>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2135" w:type="pct"/>
            <w:gridSpan w:val="2"/>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pPr>
            <w:r>
              <w:rPr>
                <w:rFonts w:hint="eastAsia" w:ascii="微软雅黑" w:hAnsi="微软雅黑" w:eastAsia="微软雅黑" w:cs="微软雅黑"/>
                <w:color w:val="000000"/>
              </w:rPr>
              <w:t>（二）部分公开（区分处理的，只计这一情形，不计其他情形）</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3"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2" w:type="dxa"/>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jc w:val="center"/>
            </w:pPr>
            <w:r>
              <w:rPr>
                <w:rFonts w:hint="eastAsia" w:ascii="微软雅黑" w:hAnsi="微软雅黑" w:eastAsia="微软雅黑" w:cs="微软雅黑"/>
                <w:color w:val="00000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3" w:type="pct"/>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483" w:type="pct"/>
            <w:vMerge w:val="restart"/>
            <w:tcBorders>
              <w:top w:val="nil"/>
              <w:left w:val="nil"/>
              <w:bottom w:val="inset"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pPr>
            <w:r>
              <w:rPr>
                <w:rFonts w:hint="eastAsia" w:ascii="微软雅黑" w:hAnsi="微软雅黑" w:eastAsia="微软雅黑" w:cs="微软雅黑"/>
                <w:color w:val="000000"/>
              </w:rPr>
              <w:t>（三）不予公开</w:t>
            </w:r>
          </w:p>
        </w:tc>
        <w:tc>
          <w:tcPr>
            <w:tcW w:w="1651" w:type="pct"/>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pPr>
            <w:r>
              <w:rPr>
                <w:rFonts w:hint="eastAsia" w:ascii="微软雅黑" w:hAnsi="微软雅黑" w:eastAsia="微软雅黑" w:cs="微软雅黑"/>
                <w:color w:val="000000"/>
              </w:rPr>
              <w:t>1.属于国家秘密</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3"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2" w:type="dxa"/>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jc w:val="center"/>
            </w:pPr>
            <w:r>
              <w:rPr>
                <w:rFonts w:hint="eastAsia" w:ascii="微软雅黑" w:hAnsi="微软雅黑" w:eastAsia="微软雅黑" w:cs="微软雅黑"/>
                <w:color w:val="00000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3" w:type="pct"/>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483" w:type="pct"/>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1651" w:type="pct"/>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pPr>
            <w:r>
              <w:rPr>
                <w:rFonts w:hint="eastAsia" w:ascii="微软雅黑" w:hAnsi="微软雅黑" w:eastAsia="微软雅黑" w:cs="微软雅黑"/>
                <w:color w:val="000000"/>
              </w:rPr>
              <w:t>2.其他法律行政法规禁止公开</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3"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2" w:type="dxa"/>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jc w:val="center"/>
            </w:pPr>
            <w:r>
              <w:rPr>
                <w:rFonts w:hint="eastAsia" w:ascii="微软雅黑" w:hAnsi="微软雅黑" w:eastAsia="微软雅黑" w:cs="微软雅黑"/>
                <w:color w:val="00000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3" w:type="pct"/>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483" w:type="pct"/>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1651" w:type="pct"/>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pPr>
            <w:r>
              <w:rPr>
                <w:rFonts w:hint="eastAsia" w:ascii="微软雅黑" w:hAnsi="微软雅黑" w:eastAsia="微软雅黑" w:cs="微软雅黑"/>
                <w:color w:val="000000"/>
              </w:rPr>
              <w:t>3.危及“三安全一稳定”</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3"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2" w:type="dxa"/>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jc w:val="center"/>
            </w:pPr>
            <w:r>
              <w:rPr>
                <w:rFonts w:hint="eastAsia" w:ascii="微软雅黑" w:hAnsi="微软雅黑" w:eastAsia="微软雅黑" w:cs="微软雅黑"/>
                <w:color w:val="00000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3" w:type="pct"/>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483" w:type="pct"/>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1651" w:type="pct"/>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pPr>
            <w:r>
              <w:rPr>
                <w:rFonts w:hint="eastAsia" w:ascii="微软雅黑" w:hAnsi="微软雅黑" w:eastAsia="微软雅黑" w:cs="微软雅黑"/>
                <w:color w:val="000000"/>
              </w:rPr>
              <w:t>4.保护第三方合法权益</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3"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2" w:type="dxa"/>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jc w:val="center"/>
            </w:pPr>
            <w:r>
              <w:rPr>
                <w:rFonts w:hint="eastAsia" w:ascii="微软雅黑" w:hAnsi="微软雅黑" w:eastAsia="微软雅黑" w:cs="微软雅黑"/>
                <w:color w:val="00000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3" w:type="pct"/>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483" w:type="pct"/>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1651" w:type="pct"/>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pPr>
            <w:r>
              <w:rPr>
                <w:rFonts w:hint="eastAsia" w:ascii="微软雅黑" w:hAnsi="微软雅黑" w:eastAsia="微软雅黑" w:cs="微软雅黑"/>
                <w:color w:val="000000"/>
              </w:rPr>
              <w:t>5.属于三类内部事务信息</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3"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2" w:type="dxa"/>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jc w:val="center"/>
            </w:pPr>
            <w:r>
              <w:rPr>
                <w:rFonts w:hint="eastAsia" w:ascii="微软雅黑" w:hAnsi="微软雅黑" w:eastAsia="微软雅黑" w:cs="微软雅黑"/>
                <w:color w:val="00000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3" w:type="pct"/>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483" w:type="pct"/>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1651" w:type="pct"/>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pPr>
            <w:r>
              <w:rPr>
                <w:rFonts w:hint="eastAsia" w:ascii="微软雅黑" w:hAnsi="微软雅黑" w:eastAsia="微软雅黑" w:cs="微软雅黑"/>
                <w:color w:val="000000"/>
              </w:rPr>
              <w:t>6.属于四类过程性信息</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3"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2" w:type="dxa"/>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jc w:val="center"/>
            </w:pPr>
            <w:r>
              <w:rPr>
                <w:rFonts w:hint="eastAsia" w:ascii="微软雅黑" w:hAnsi="微软雅黑" w:eastAsia="微软雅黑" w:cs="微软雅黑"/>
                <w:color w:val="00000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3" w:type="pct"/>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483" w:type="pct"/>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1651" w:type="pct"/>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pPr>
            <w:r>
              <w:rPr>
                <w:rFonts w:hint="eastAsia" w:ascii="微软雅黑" w:hAnsi="微软雅黑" w:eastAsia="微软雅黑" w:cs="微软雅黑"/>
                <w:color w:val="000000"/>
              </w:rPr>
              <w:t>7.属于行政执法案卷</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3"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2" w:type="dxa"/>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jc w:val="center"/>
            </w:pPr>
            <w:r>
              <w:rPr>
                <w:rFonts w:hint="eastAsia" w:ascii="微软雅黑" w:hAnsi="微软雅黑" w:eastAsia="微软雅黑" w:cs="微软雅黑"/>
                <w:color w:val="00000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3" w:type="pct"/>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483" w:type="pct"/>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1651" w:type="pct"/>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pPr>
            <w:r>
              <w:rPr>
                <w:rFonts w:hint="eastAsia" w:ascii="微软雅黑" w:hAnsi="微软雅黑" w:eastAsia="微软雅黑" w:cs="微软雅黑"/>
                <w:color w:val="000000"/>
              </w:rPr>
              <w:t>8.属于行政查询事项</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3"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2" w:type="dxa"/>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jc w:val="center"/>
            </w:pPr>
            <w:r>
              <w:rPr>
                <w:rFonts w:hint="eastAsia" w:ascii="微软雅黑" w:hAnsi="微软雅黑" w:eastAsia="微软雅黑" w:cs="微软雅黑"/>
                <w:color w:val="00000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3" w:type="pct"/>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483" w:type="pct"/>
            <w:vMerge w:val="restart"/>
            <w:tcBorders>
              <w:top w:val="nil"/>
              <w:left w:val="nil"/>
              <w:bottom w:val="inset"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pPr>
            <w:r>
              <w:rPr>
                <w:rFonts w:hint="eastAsia" w:ascii="微软雅黑" w:hAnsi="微软雅黑" w:eastAsia="微软雅黑" w:cs="微软雅黑"/>
                <w:color w:val="000000"/>
              </w:rPr>
              <w:t>（四）无法提供</w:t>
            </w:r>
          </w:p>
        </w:tc>
        <w:tc>
          <w:tcPr>
            <w:tcW w:w="1651" w:type="pct"/>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pPr>
            <w:r>
              <w:rPr>
                <w:rFonts w:hint="eastAsia" w:ascii="微软雅黑" w:hAnsi="微软雅黑" w:eastAsia="微软雅黑" w:cs="微软雅黑"/>
                <w:color w:val="000000"/>
              </w:rPr>
              <w:t>1.本机关不掌握相关政府信息</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3"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2" w:type="dxa"/>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jc w:val="center"/>
            </w:pPr>
            <w:r>
              <w:rPr>
                <w:rFonts w:hint="eastAsia" w:ascii="微软雅黑" w:hAnsi="微软雅黑" w:eastAsia="微软雅黑" w:cs="微软雅黑"/>
                <w:color w:val="00000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3" w:type="pct"/>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483" w:type="pct"/>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1651" w:type="pct"/>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pPr>
            <w:r>
              <w:rPr>
                <w:rFonts w:hint="eastAsia" w:ascii="微软雅黑" w:hAnsi="微软雅黑" w:eastAsia="微软雅黑" w:cs="微软雅黑"/>
                <w:color w:val="000000"/>
              </w:rPr>
              <w:t>2.没有现成信息需要另行制作</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3"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2" w:type="dxa"/>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jc w:val="center"/>
            </w:pPr>
            <w:r>
              <w:rPr>
                <w:rFonts w:hint="eastAsia" w:ascii="微软雅黑" w:hAnsi="微软雅黑" w:eastAsia="微软雅黑" w:cs="微软雅黑"/>
                <w:color w:val="00000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3" w:type="pct"/>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483" w:type="pct"/>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1651" w:type="pct"/>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pPr>
            <w:r>
              <w:rPr>
                <w:rFonts w:hint="eastAsia" w:ascii="微软雅黑" w:hAnsi="微软雅黑" w:eastAsia="微软雅黑" w:cs="微软雅黑"/>
                <w:color w:val="000000"/>
              </w:rPr>
              <w:t>3.补正后申请内容仍不明确</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3"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2" w:type="dxa"/>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jc w:val="center"/>
            </w:pPr>
            <w:r>
              <w:rPr>
                <w:rFonts w:hint="eastAsia" w:ascii="微软雅黑" w:hAnsi="微软雅黑" w:eastAsia="微软雅黑" w:cs="微软雅黑"/>
                <w:color w:val="00000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3" w:type="pct"/>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483" w:type="pct"/>
            <w:vMerge w:val="restart"/>
            <w:tcBorders>
              <w:top w:val="nil"/>
              <w:left w:val="nil"/>
              <w:bottom w:val="inset"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pPr>
            <w:r>
              <w:rPr>
                <w:rFonts w:hint="eastAsia" w:ascii="微软雅黑" w:hAnsi="微软雅黑" w:eastAsia="微软雅黑" w:cs="微软雅黑"/>
                <w:color w:val="000000"/>
              </w:rPr>
              <w:t>（五）不予处理</w:t>
            </w:r>
          </w:p>
        </w:tc>
        <w:tc>
          <w:tcPr>
            <w:tcW w:w="1651" w:type="pct"/>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pPr>
            <w:r>
              <w:rPr>
                <w:rFonts w:hint="eastAsia" w:ascii="微软雅黑" w:hAnsi="微软雅黑" w:eastAsia="微软雅黑" w:cs="微软雅黑"/>
                <w:color w:val="000000"/>
              </w:rPr>
              <w:t>1.信访举报投诉类申请</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3"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2" w:type="dxa"/>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jc w:val="center"/>
            </w:pPr>
            <w:r>
              <w:rPr>
                <w:rFonts w:hint="eastAsia" w:ascii="微软雅黑" w:hAnsi="微软雅黑" w:eastAsia="微软雅黑" w:cs="微软雅黑"/>
                <w:color w:val="00000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3" w:type="pct"/>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483" w:type="pct"/>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1651" w:type="pct"/>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pPr>
            <w:r>
              <w:rPr>
                <w:rFonts w:hint="eastAsia" w:ascii="微软雅黑" w:hAnsi="微软雅黑" w:eastAsia="微软雅黑" w:cs="微软雅黑"/>
                <w:color w:val="000000"/>
              </w:rPr>
              <w:t>2.重复申请</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3"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2" w:type="dxa"/>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jc w:val="center"/>
            </w:pPr>
            <w:r>
              <w:rPr>
                <w:rFonts w:hint="eastAsia" w:ascii="微软雅黑" w:hAnsi="微软雅黑" w:eastAsia="微软雅黑" w:cs="微软雅黑"/>
                <w:color w:val="00000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3" w:type="pct"/>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483" w:type="pct"/>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1651" w:type="pct"/>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pPr>
            <w:r>
              <w:rPr>
                <w:rFonts w:hint="eastAsia" w:ascii="微软雅黑" w:hAnsi="微软雅黑" w:eastAsia="微软雅黑" w:cs="微软雅黑"/>
                <w:color w:val="000000"/>
              </w:rPr>
              <w:t>3.要求提供公开出版物</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3"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2" w:type="dxa"/>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jc w:val="center"/>
            </w:pPr>
            <w:r>
              <w:rPr>
                <w:rFonts w:hint="eastAsia" w:ascii="微软雅黑" w:hAnsi="微软雅黑" w:eastAsia="微软雅黑" w:cs="微软雅黑"/>
                <w:color w:val="00000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3" w:type="pct"/>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483" w:type="pct"/>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1651" w:type="pct"/>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pPr>
            <w:r>
              <w:rPr>
                <w:rFonts w:hint="eastAsia" w:ascii="微软雅黑" w:hAnsi="微软雅黑" w:eastAsia="微软雅黑" w:cs="微软雅黑"/>
                <w:color w:val="000000"/>
              </w:rPr>
              <w:t>4.无正当理由大量反复申请</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3"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2" w:type="dxa"/>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jc w:val="center"/>
            </w:pPr>
            <w:r>
              <w:rPr>
                <w:rFonts w:hint="eastAsia" w:ascii="微软雅黑" w:hAnsi="微软雅黑" w:eastAsia="微软雅黑" w:cs="微软雅黑"/>
                <w:color w:val="00000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trPr>
        <w:tc>
          <w:tcPr>
            <w:tcW w:w="393" w:type="pct"/>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483" w:type="pct"/>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1651" w:type="pct"/>
            <w:tcBorders>
              <w:top w:val="nil"/>
              <w:left w:val="nil"/>
              <w:bottom w:val="inset"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both"/>
            </w:pPr>
            <w:r>
              <w:rPr>
                <w:rFonts w:hint="eastAsia" w:ascii="微软雅黑" w:hAnsi="微软雅黑" w:eastAsia="微软雅黑" w:cs="微软雅黑"/>
                <w:color w:val="000000"/>
              </w:rPr>
              <w:t>5.要求行政机关确认或重新出具已获取信息</w:t>
            </w:r>
          </w:p>
        </w:tc>
        <w:tc>
          <w:tcPr>
            <w:tcW w:w="596" w:type="dxa"/>
            <w:tcBorders>
              <w:top w:val="nil"/>
              <w:left w:val="nil"/>
              <w:bottom w:val="inset"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inset"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inset"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inset"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inset"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3" w:type="dxa"/>
            <w:tcBorders>
              <w:top w:val="nil"/>
              <w:left w:val="nil"/>
              <w:bottom w:val="inset"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2" w:type="dxa"/>
            <w:tcBorders>
              <w:top w:val="nil"/>
              <w:left w:val="nil"/>
              <w:bottom w:val="inset" w:color="auto" w:sz="8" w:space="0"/>
              <w:right w:val="single" w:color="auto" w:sz="8" w:space="0"/>
            </w:tcBorders>
            <w:shd w:val="clear" w:color="auto" w:fill="FFFFFF"/>
            <w:tcMar>
              <w:left w:w="57" w:type="dxa"/>
              <w:right w:w="57" w:type="dxa"/>
            </w:tcMar>
          </w:tcPr>
          <w:p>
            <w:pPr>
              <w:pStyle w:val="2"/>
              <w:widowControl/>
              <w:spacing w:beforeAutospacing="0" w:afterAutospacing="0"/>
              <w:jc w:val="center"/>
            </w:pPr>
            <w:r>
              <w:rPr>
                <w:rFonts w:hint="eastAsia" w:ascii="微软雅黑" w:hAnsi="微软雅黑" w:eastAsia="微软雅黑" w:cs="微软雅黑"/>
                <w:color w:val="00000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3" w:type="pct"/>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483" w:type="pct"/>
            <w:vMerge w:val="restart"/>
            <w:tcBorders>
              <w:top w:val="nil"/>
              <w:left w:val="nil"/>
              <w:bottom w:val="inset"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pPr>
            <w:r>
              <w:rPr>
                <w:rFonts w:hint="eastAsia" w:ascii="微软雅黑" w:hAnsi="微软雅黑" w:eastAsia="微软雅黑" w:cs="微软雅黑"/>
                <w:color w:val="000000"/>
              </w:rPr>
              <w:t>（六）其他处理</w:t>
            </w:r>
          </w:p>
        </w:tc>
        <w:tc>
          <w:tcPr>
            <w:tcW w:w="1651" w:type="pct"/>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both"/>
            </w:pPr>
            <w:r>
              <w:rPr>
                <w:rFonts w:hint="eastAsia" w:ascii="微软雅黑" w:hAnsi="微软雅黑" w:eastAsia="微软雅黑" w:cs="微软雅黑"/>
                <w:color w:val="000000"/>
              </w:rPr>
              <w:t>1.申请人无正当理由逾期不补正、行政机关不再处理其政府信息公开申请</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3"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2" w:type="dxa"/>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jc w:val="center"/>
            </w:pPr>
            <w:r>
              <w:rPr>
                <w:rFonts w:hint="eastAsia" w:ascii="微软雅黑" w:hAnsi="微软雅黑" w:eastAsia="微软雅黑" w:cs="微软雅黑"/>
                <w:color w:val="00000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3" w:type="pct"/>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483" w:type="pct"/>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1651" w:type="pct"/>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both"/>
            </w:pPr>
            <w:r>
              <w:rPr>
                <w:rFonts w:hint="eastAsia" w:ascii="微软雅黑" w:hAnsi="微软雅黑" w:eastAsia="微软雅黑" w:cs="微软雅黑"/>
                <w:color w:val="000000"/>
              </w:rPr>
              <w:t>2.申请人逾期未按收费通知要求缴纳费用、行政机关不再处理其政府信息公开申请</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3"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2" w:type="dxa"/>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jc w:val="center"/>
            </w:pPr>
            <w:r>
              <w:rPr>
                <w:rFonts w:hint="eastAsia" w:ascii="微软雅黑" w:hAnsi="微软雅黑" w:eastAsia="微软雅黑" w:cs="微软雅黑"/>
                <w:color w:val="00000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3" w:type="pct"/>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483" w:type="pct"/>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1651" w:type="pct"/>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pPr>
            <w:r>
              <w:rPr>
                <w:rFonts w:hint="eastAsia" w:ascii="微软雅黑" w:hAnsi="微软雅黑" w:eastAsia="微软雅黑" w:cs="微软雅黑"/>
                <w:color w:val="000000"/>
              </w:rPr>
              <w:t>3.其他</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3"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2" w:type="dxa"/>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jc w:val="center"/>
            </w:pPr>
            <w:r>
              <w:rPr>
                <w:rFonts w:hint="eastAsia" w:ascii="微软雅黑" w:hAnsi="微软雅黑" w:eastAsia="微软雅黑" w:cs="微软雅黑"/>
                <w:color w:val="00000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93" w:type="pct"/>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ascii="宋体"/>
                <w:sz w:val="24"/>
              </w:rPr>
            </w:pPr>
          </w:p>
        </w:tc>
        <w:tc>
          <w:tcPr>
            <w:tcW w:w="2135" w:type="pct"/>
            <w:gridSpan w:val="2"/>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pPr>
            <w:r>
              <w:rPr>
                <w:rFonts w:hint="eastAsia" w:ascii="微软雅黑" w:hAnsi="微软雅黑" w:eastAsia="微软雅黑" w:cs="微软雅黑"/>
                <w:color w:val="000000"/>
              </w:rPr>
              <w:t>（七）总计</w:t>
            </w:r>
          </w:p>
        </w:tc>
        <w:tc>
          <w:tcPr>
            <w:tcW w:w="352" w:type="pct"/>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352" w:type="pct"/>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352" w:type="pct"/>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352" w:type="pct"/>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352" w:type="pct"/>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353" w:type="pct"/>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353" w:type="pct"/>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529" w:type="pct"/>
            <w:gridSpan w:val="3"/>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pPr>
            <w:r>
              <w:rPr>
                <w:rFonts w:hint="eastAsia" w:ascii="微软雅黑" w:hAnsi="微软雅黑" w:eastAsia="微软雅黑" w:cs="微软雅黑"/>
                <w:color w:val="000000"/>
              </w:rPr>
              <w:t>四、结转下年度继续办理</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96"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3"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02" w:type="dxa"/>
            <w:tcBorders>
              <w:top w:val="nil"/>
              <w:left w:val="nil"/>
              <w:bottom w:val="single" w:color="auto" w:sz="8" w:space="0"/>
              <w:right w:val="single" w:color="auto" w:sz="8" w:space="0"/>
            </w:tcBorders>
            <w:shd w:val="clear" w:color="auto" w:fill="FFFFFF"/>
            <w:tcMar>
              <w:left w:w="57" w:type="dxa"/>
              <w:right w:w="57" w:type="dxa"/>
            </w:tcMar>
          </w:tcPr>
          <w:p>
            <w:pPr>
              <w:pStyle w:val="2"/>
              <w:widowControl/>
              <w:spacing w:beforeAutospacing="0" w:afterAutospacing="0"/>
              <w:jc w:val="center"/>
            </w:pPr>
            <w:r>
              <w:rPr>
                <w:rFonts w:hint="eastAsia" w:ascii="微软雅黑" w:hAnsi="微软雅黑" w:eastAsia="微软雅黑" w:cs="微软雅黑"/>
                <w:color w:val="000000"/>
              </w:rPr>
              <w:t>0</w:t>
            </w:r>
          </w:p>
        </w:tc>
      </w:tr>
    </w:tbl>
    <w:p>
      <w:pPr>
        <w:pStyle w:val="2"/>
        <w:widowControl/>
        <w:spacing w:beforeAutospacing="0" w:afterAutospacing="0" w:line="26" w:lineRule="atLeast"/>
        <w:ind w:firstLine="640" w:firstLineChars="200"/>
        <w:jc w:val="both"/>
        <w:rPr>
          <w:rStyle w:val="5"/>
          <w:rFonts w:ascii="黑体" w:hAnsi="黑体" w:eastAsia="黑体" w:cs="黑体"/>
          <w:b w:val="0"/>
          <w:bCs/>
          <w:color w:val="000000"/>
          <w:sz w:val="32"/>
          <w:szCs w:val="32"/>
        </w:rPr>
      </w:pPr>
      <w:r>
        <w:rPr>
          <w:rStyle w:val="5"/>
          <w:rFonts w:hint="eastAsia" w:ascii="黑体" w:hAnsi="黑体" w:eastAsia="黑体" w:cs="黑体"/>
          <w:b w:val="0"/>
          <w:bCs/>
          <w:color w:val="000000"/>
          <w:sz w:val="32"/>
          <w:szCs w:val="32"/>
        </w:rPr>
        <w:t>四、政府信息公开行政复议、行政诉讼情况</w:t>
      </w:r>
    </w:p>
    <w:tbl>
      <w:tblPr>
        <w:tblStyle w:val="3"/>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414"/>
        <w:gridCol w:w="672"/>
        <w:gridCol w:w="673"/>
        <w:gridCol w:w="673"/>
        <w:gridCol w:w="415"/>
        <w:gridCol w:w="673"/>
        <w:gridCol w:w="673"/>
        <w:gridCol w:w="673"/>
        <w:gridCol w:w="673"/>
        <w:gridCol w:w="415"/>
        <w:gridCol w:w="673"/>
        <w:gridCol w:w="673"/>
        <w:gridCol w:w="673"/>
        <w:gridCol w:w="673"/>
        <w:gridCol w:w="41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647"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center"/>
            </w:pPr>
            <w:r>
              <w:rPr>
                <w:rFonts w:hint="eastAsia" w:ascii="微软雅黑" w:hAnsi="微软雅黑" w:eastAsia="微软雅黑" w:cs="微软雅黑"/>
                <w:color w:val="000000"/>
              </w:rPr>
              <w:t>行政复议</w:t>
            </w:r>
          </w:p>
        </w:tc>
        <w:tc>
          <w:tcPr>
            <w:tcW w:w="5875" w:type="dxa"/>
            <w:gridSpan w:val="10"/>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center"/>
            </w:pPr>
            <w:r>
              <w:rPr>
                <w:rFonts w:hint="eastAsia" w:ascii="微软雅黑" w:hAnsi="微软雅黑" w:eastAsia="微软雅黑" w:cs="微软雅黑"/>
                <w:color w:val="00000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81"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center"/>
            </w:pPr>
            <w:r>
              <w:rPr>
                <w:rFonts w:hint="eastAsia" w:ascii="微软雅黑" w:hAnsi="微软雅黑" w:eastAsia="微软雅黑" w:cs="微软雅黑"/>
                <w:color w:val="000000"/>
              </w:rPr>
              <w:t>结果维持</w:t>
            </w:r>
          </w:p>
        </w:tc>
        <w:tc>
          <w:tcPr>
            <w:tcW w:w="519"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both"/>
            </w:pPr>
            <w:r>
              <w:rPr>
                <w:rFonts w:hint="eastAsia" w:ascii="微软雅黑" w:hAnsi="微软雅黑" w:eastAsia="微软雅黑" w:cs="微软雅黑"/>
                <w:color w:val="000000"/>
              </w:rPr>
              <w:t>结果 纠</w:t>
            </w:r>
          </w:p>
          <w:p>
            <w:pPr>
              <w:pStyle w:val="2"/>
              <w:widowControl/>
              <w:spacing w:beforeAutospacing="0" w:afterAutospacing="0"/>
              <w:jc w:val="both"/>
            </w:pPr>
            <w:r>
              <w:rPr>
                <w:rFonts w:hint="eastAsia" w:ascii="微软雅黑" w:hAnsi="微软雅黑" w:eastAsia="微软雅黑" w:cs="微软雅黑"/>
                <w:color w:val="000000"/>
              </w:rPr>
              <w:t>正</w:t>
            </w:r>
          </w:p>
        </w:tc>
        <w:tc>
          <w:tcPr>
            <w:tcW w:w="643"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both"/>
            </w:pPr>
            <w:r>
              <w:rPr>
                <w:rFonts w:hint="eastAsia" w:ascii="微软雅黑" w:hAnsi="微软雅黑" w:eastAsia="微软雅黑" w:cs="微软雅黑"/>
                <w:color w:val="000000"/>
              </w:rPr>
              <w:t>其他 结</w:t>
            </w:r>
          </w:p>
          <w:p>
            <w:pPr>
              <w:pStyle w:val="2"/>
              <w:widowControl/>
              <w:spacing w:beforeAutospacing="0" w:afterAutospacing="0"/>
              <w:jc w:val="both"/>
            </w:pPr>
            <w:r>
              <w:rPr>
                <w:rFonts w:hint="eastAsia" w:ascii="微软雅黑" w:hAnsi="微软雅黑" w:eastAsia="微软雅黑" w:cs="微软雅黑"/>
                <w:color w:val="000000"/>
              </w:rPr>
              <w:t>果</w:t>
            </w:r>
          </w:p>
        </w:tc>
        <w:tc>
          <w:tcPr>
            <w:tcW w:w="643"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both"/>
            </w:pPr>
            <w:r>
              <w:rPr>
                <w:rFonts w:hint="eastAsia" w:ascii="微软雅黑" w:hAnsi="微软雅黑" w:eastAsia="微软雅黑" w:cs="微软雅黑"/>
                <w:color w:val="000000"/>
              </w:rPr>
              <w:t>尚未 审</w:t>
            </w:r>
          </w:p>
          <w:p>
            <w:pPr>
              <w:pStyle w:val="2"/>
              <w:widowControl/>
              <w:spacing w:beforeAutospacing="0" w:afterAutospacing="0"/>
              <w:jc w:val="both"/>
            </w:pPr>
            <w:r>
              <w:rPr>
                <w:rFonts w:hint="eastAsia" w:ascii="微软雅黑" w:hAnsi="微软雅黑" w:eastAsia="微软雅黑" w:cs="微软雅黑"/>
                <w:color w:val="000000"/>
              </w:rPr>
              <w:t>结</w:t>
            </w:r>
          </w:p>
        </w:tc>
        <w:tc>
          <w:tcPr>
            <w:tcW w:w="361"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center"/>
            </w:pPr>
            <w:r>
              <w:rPr>
                <w:rFonts w:hint="eastAsia" w:ascii="微软雅黑" w:hAnsi="微软雅黑" w:eastAsia="微软雅黑" w:cs="微软雅黑"/>
                <w:color w:val="000000"/>
              </w:rPr>
              <w:t>总计</w:t>
            </w:r>
          </w:p>
        </w:tc>
        <w:tc>
          <w:tcPr>
            <w:tcW w:w="2937" w:type="dxa"/>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center"/>
            </w:pPr>
            <w:r>
              <w:rPr>
                <w:rFonts w:hint="eastAsia" w:ascii="微软雅黑" w:hAnsi="微软雅黑" w:eastAsia="微软雅黑" w:cs="微软雅黑"/>
                <w:color w:val="000000"/>
              </w:rPr>
              <w:t>未经复议直接起诉</w:t>
            </w:r>
          </w:p>
        </w:tc>
        <w:tc>
          <w:tcPr>
            <w:tcW w:w="2938" w:type="dxa"/>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center"/>
            </w:pPr>
            <w:r>
              <w:rPr>
                <w:rFonts w:hint="eastAsia" w:ascii="微软雅黑" w:hAnsi="微软雅黑" w:eastAsia="微软雅黑" w:cs="微软雅黑"/>
                <w:color w:val="00000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8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ascii="宋体"/>
                <w:sz w:val="24"/>
              </w:rPr>
            </w:pPr>
          </w:p>
        </w:tc>
        <w:tc>
          <w:tcPr>
            <w:tcW w:w="51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ascii="宋体"/>
                <w:sz w:val="24"/>
              </w:rPr>
            </w:pPr>
          </w:p>
        </w:tc>
        <w:tc>
          <w:tcPr>
            <w:tcW w:w="64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ascii="宋体"/>
                <w:sz w:val="24"/>
              </w:rPr>
            </w:pPr>
          </w:p>
        </w:tc>
        <w:tc>
          <w:tcPr>
            <w:tcW w:w="64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ascii="宋体"/>
                <w:sz w:val="24"/>
              </w:rPr>
            </w:pPr>
          </w:p>
        </w:tc>
        <w:tc>
          <w:tcPr>
            <w:tcW w:w="36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ascii="宋体"/>
                <w:sz w:val="24"/>
              </w:rPr>
            </w:pPr>
          </w:p>
        </w:tc>
        <w:tc>
          <w:tcPr>
            <w:tcW w:w="64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both"/>
            </w:pPr>
            <w:r>
              <w:rPr>
                <w:rFonts w:hint="eastAsia" w:ascii="微软雅黑" w:hAnsi="微软雅黑" w:eastAsia="微软雅黑" w:cs="微软雅黑"/>
                <w:color w:val="000000"/>
              </w:rPr>
              <w:t>结果 维</w:t>
            </w:r>
          </w:p>
          <w:p>
            <w:pPr>
              <w:pStyle w:val="2"/>
              <w:widowControl/>
              <w:spacing w:beforeAutospacing="0" w:afterAutospacing="0"/>
              <w:jc w:val="both"/>
            </w:pPr>
            <w:r>
              <w:rPr>
                <w:rFonts w:hint="eastAsia" w:ascii="微软雅黑" w:hAnsi="微软雅黑" w:eastAsia="微软雅黑" w:cs="微软雅黑"/>
                <w:color w:val="000000"/>
              </w:rPr>
              <w:t>持</w:t>
            </w:r>
          </w:p>
        </w:tc>
        <w:tc>
          <w:tcPr>
            <w:tcW w:w="64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both"/>
            </w:pPr>
            <w:r>
              <w:rPr>
                <w:rFonts w:hint="eastAsia" w:ascii="微软雅黑" w:hAnsi="微软雅黑" w:eastAsia="微软雅黑" w:cs="微软雅黑"/>
                <w:color w:val="000000"/>
              </w:rPr>
              <w:t>结果 纠</w:t>
            </w:r>
          </w:p>
          <w:p>
            <w:pPr>
              <w:pStyle w:val="2"/>
              <w:widowControl/>
              <w:spacing w:beforeAutospacing="0" w:afterAutospacing="0"/>
              <w:jc w:val="both"/>
            </w:pPr>
            <w:r>
              <w:rPr>
                <w:rFonts w:hint="eastAsia" w:ascii="微软雅黑" w:hAnsi="微软雅黑" w:eastAsia="微软雅黑" w:cs="微软雅黑"/>
                <w:color w:val="000000"/>
              </w:rPr>
              <w:t>正</w:t>
            </w:r>
          </w:p>
        </w:tc>
        <w:tc>
          <w:tcPr>
            <w:tcW w:w="64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both"/>
            </w:pPr>
            <w:r>
              <w:rPr>
                <w:rFonts w:hint="eastAsia" w:ascii="微软雅黑" w:hAnsi="微软雅黑" w:eastAsia="微软雅黑" w:cs="微软雅黑"/>
                <w:color w:val="000000"/>
              </w:rPr>
              <w:t>其他 结</w:t>
            </w:r>
          </w:p>
          <w:p>
            <w:pPr>
              <w:pStyle w:val="2"/>
              <w:widowControl/>
              <w:spacing w:beforeAutospacing="0" w:afterAutospacing="0"/>
              <w:jc w:val="both"/>
            </w:pPr>
            <w:r>
              <w:rPr>
                <w:rFonts w:hint="eastAsia" w:ascii="微软雅黑" w:hAnsi="微软雅黑" w:eastAsia="微软雅黑" w:cs="微软雅黑"/>
                <w:color w:val="000000"/>
              </w:rPr>
              <w:t>果</w:t>
            </w:r>
          </w:p>
        </w:tc>
        <w:tc>
          <w:tcPr>
            <w:tcW w:w="64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both"/>
            </w:pPr>
            <w:r>
              <w:rPr>
                <w:rFonts w:hint="eastAsia" w:ascii="微软雅黑" w:hAnsi="微软雅黑" w:eastAsia="微软雅黑" w:cs="微软雅黑"/>
                <w:color w:val="000000"/>
              </w:rPr>
              <w:t>尚未 审</w:t>
            </w:r>
          </w:p>
          <w:p>
            <w:pPr>
              <w:pStyle w:val="2"/>
              <w:widowControl/>
              <w:spacing w:beforeAutospacing="0" w:afterAutospacing="0"/>
              <w:jc w:val="both"/>
            </w:pPr>
            <w:r>
              <w:rPr>
                <w:rFonts w:hint="eastAsia" w:ascii="微软雅黑" w:hAnsi="微软雅黑" w:eastAsia="微软雅黑" w:cs="微软雅黑"/>
                <w:color w:val="000000"/>
              </w:rPr>
              <w:t>结</w:t>
            </w:r>
          </w:p>
        </w:tc>
        <w:tc>
          <w:tcPr>
            <w:tcW w:w="36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center"/>
            </w:pPr>
            <w:r>
              <w:rPr>
                <w:rFonts w:hint="eastAsia" w:ascii="微软雅黑" w:hAnsi="微软雅黑" w:eastAsia="微软雅黑" w:cs="微软雅黑"/>
                <w:color w:val="000000"/>
              </w:rPr>
              <w:t>总计</w:t>
            </w:r>
          </w:p>
        </w:tc>
        <w:tc>
          <w:tcPr>
            <w:tcW w:w="64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both"/>
            </w:pPr>
            <w:r>
              <w:rPr>
                <w:rFonts w:hint="eastAsia" w:ascii="微软雅黑" w:hAnsi="微软雅黑" w:eastAsia="微软雅黑" w:cs="微软雅黑"/>
                <w:color w:val="000000"/>
              </w:rPr>
              <w:t>结果 维</w:t>
            </w:r>
          </w:p>
          <w:p>
            <w:pPr>
              <w:pStyle w:val="2"/>
              <w:widowControl/>
              <w:spacing w:beforeAutospacing="0" w:afterAutospacing="0"/>
              <w:jc w:val="both"/>
            </w:pPr>
            <w:r>
              <w:rPr>
                <w:rFonts w:hint="eastAsia" w:ascii="微软雅黑" w:hAnsi="微软雅黑" w:eastAsia="微软雅黑" w:cs="微软雅黑"/>
                <w:color w:val="000000"/>
              </w:rPr>
              <w:t>持</w:t>
            </w:r>
          </w:p>
        </w:tc>
        <w:tc>
          <w:tcPr>
            <w:tcW w:w="64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both"/>
            </w:pPr>
            <w:r>
              <w:rPr>
                <w:rFonts w:hint="eastAsia" w:ascii="微软雅黑" w:hAnsi="微软雅黑" w:eastAsia="微软雅黑" w:cs="微软雅黑"/>
                <w:color w:val="000000"/>
              </w:rPr>
              <w:t>结果 纠</w:t>
            </w:r>
          </w:p>
          <w:p>
            <w:pPr>
              <w:pStyle w:val="2"/>
              <w:widowControl/>
              <w:spacing w:beforeAutospacing="0" w:afterAutospacing="0"/>
              <w:jc w:val="both"/>
            </w:pPr>
            <w:r>
              <w:rPr>
                <w:rFonts w:hint="eastAsia" w:ascii="微软雅黑" w:hAnsi="微软雅黑" w:eastAsia="微软雅黑" w:cs="微软雅黑"/>
                <w:color w:val="000000"/>
              </w:rPr>
              <w:t>正</w:t>
            </w:r>
          </w:p>
        </w:tc>
        <w:tc>
          <w:tcPr>
            <w:tcW w:w="64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both"/>
            </w:pPr>
            <w:r>
              <w:rPr>
                <w:rFonts w:hint="eastAsia" w:ascii="微软雅黑" w:hAnsi="微软雅黑" w:eastAsia="微软雅黑" w:cs="微软雅黑"/>
                <w:color w:val="000000"/>
              </w:rPr>
              <w:t>其他 结</w:t>
            </w:r>
          </w:p>
          <w:p>
            <w:pPr>
              <w:pStyle w:val="2"/>
              <w:widowControl/>
              <w:spacing w:beforeAutospacing="0" w:afterAutospacing="0"/>
              <w:jc w:val="both"/>
            </w:pPr>
            <w:r>
              <w:rPr>
                <w:rFonts w:hint="eastAsia" w:ascii="微软雅黑" w:hAnsi="微软雅黑" w:eastAsia="微软雅黑" w:cs="微软雅黑"/>
                <w:color w:val="000000"/>
              </w:rPr>
              <w:t>果</w:t>
            </w:r>
          </w:p>
        </w:tc>
        <w:tc>
          <w:tcPr>
            <w:tcW w:w="6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both"/>
            </w:pPr>
            <w:r>
              <w:rPr>
                <w:rFonts w:hint="eastAsia" w:ascii="微软雅黑" w:hAnsi="微软雅黑" w:eastAsia="微软雅黑" w:cs="微软雅黑"/>
                <w:color w:val="000000"/>
              </w:rPr>
              <w:t>尚未 审</w:t>
            </w:r>
          </w:p>
          <w:p>
            <w:pPr>
              <w:pStyle w:val="2"/>
              <w:widowControl/>
              <w:spacing w:beforeAutospacing="0" w:afterAutospacing="0"/>
              <w:jc w:val="both"/>
            </w:pPr>
            <w:r>
              <w:rPr>
                <w:rFonts w:hint="eastAsia" w:ascii="微软雅黑" w:hAnsi="微软雅黑" w:eastAsia="微软雅黑" w:cs="微软雅黑"/>
                <w:color w:val="000000"/>
              </w:rPr>
              <w:t>结</w:t>
            </w:r>
          </w:p>
        </w:tc>
        <w:tc>
          <w:tcPr>
            <w:tcW w:w="36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center"/>
            </w:pPr>
            <w:r>
              <w:rPr>
                <w:rFonts w:hint="eastAsia" w:ascii="微软雅黑" w:hAnsi="微软雅黑" w:eastAsia="微软雅黑" w:cs="微软雅黑"/>
                <w:color w:val="00000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trPr>
        <w:tc>
          <w:tcPr>
            <w:tcW w:w="48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51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4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4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36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4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4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4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4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36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4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4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4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6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spacing w:beforeAutospacing="0" w:afterAutospacing="0"/>
              <w:jc w:val="center"/>
            </w:pPr>
            <w:r>
              <w:rPr>
                <w:rFonts w:hint="eastAsia" w:ascii="微软雅黑" w:hAnsi="微软雅黑" w:eastAsia="微软雅黑" w:cs="微软雅黑"/>
                <w:color w:val="000000"/>
              </w:rPr>
              <w:t>0</w:t>
            </w:r>
          </w:p>
        </w:tc>
        <w:tc>
          <w:tcPr>
            <w:tcW w:w="36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widowControl/>
            </w:pPr>
            <w:r>
              <w:rPr>
                <w:rFonts w:hint="eastAsia" w:ascii="微软雅黑" w:hAnsi="微软雅黑" w:eastAsia="微软雅黑" w:cs="微软雅黑"/>
                <w:color w:val="000000"/>
              </w:rPr>
              <w:t>0</w:t>
            </w:r>
          </w:p>
        </w:tc>
      </w:tr>
    </w:tbl>
    <w:p>
      <w:pPr>
        <w:pStyle w:val="2"/>
        <w:widowControl/>
        <w:spacing w:beforeAutospacing="0" w:afterAutospacing="0" w:line="26" w:lineRule="atLeast"/>
        <w:ind w:firstLine="640" w:firstLineChars="200"/>
        <w:jc w:val="both"/>
        <w:rPr>
          <w:rFonts w:ascii="黑体" w:hAnsi="黑体" w:eastAsia="黑体" w:cs="黑体"/>
          <w:bCs/>
          <w:sz w:val="32"/>
          <w:szCs w:val="32"/>
        </w:rPr>
      </w:pPr>
      <w:r>
        <w:rPr>
          <w:rStyle w:val="5"/>
          <w:rFonts w:hint="eastAsia" w:ascii="黑体" w:hAnsi="黑体" w:eastAsia="黑体" w:cs="黑体"/>
          <w:b w:val="0"/>
          <w:bCs/>
          <w:color w:val="000000"/>
          <w:sz w:val="32"/>
          <w:szCs w:val="32"/>
        </w:rPr>
        <w:t>五、存在的主要问题及改进情况</w:t>
      </w:r>
    </w:p>
    <w:p>
      <w:pPr>
        <w:widowControl/>
        <w:shd w:val="clear" w:color="auto" w:fill="FFFFFF"/>
        <w:spacing w:line="480" w:lineRule="atLeast"/>
        <w:ind w:firstLine="643"/>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（一）主要问题。信息公开仍然存在着内容简单、形式单一的现象。</w:t>
      </w:r>
    </w:p>
    <w:p>
      <w:pPr>
        <w:widowControl/>
        <w:shd w:val="clear" w:color="auto" w:fill="FFFFFF"/>
        <w:spacing w:line="480" w:lineRule="atLeast"/>
        <w:ind w:firstLine="643"/>
        <w:rPr>
          <w:rFonts w:hint="eastAsia" w:ascii="仿宋" w:hAnsi="仿宋" w:eastAsia="仿宋" w:cs="仿宋"/>
          <w:color w:val="000000"/>
          <w:kern w:val="0"/>
          <w:sz w:val="32"/>
          <w:szCs w:val="32"/>
          <w:shd w:val="clear" w:color="auto" w:fill="FFFFFF"/>
          <w:lang w:eastAsia="zh-CN" w:bidi="ar"/>
        </w:rPr>
      </w:pPr>
      <w:r>
        <w:rPr>
          <w:rFonts w:hint="eastAsia" w:ascii="仿宋" w:hAnsi="仿宋" w:eastAsia="仿宋" w:cs="仿宋"/>
          <w:color w:val="000000"/>
          <w:kern w:val="0"/>
          <w:sz w:val="32"/>
          <w:szCs w:val="32"/>
          <w:shd w:val="clear" w:color="auto" w:fill="FFFFFF"/>
          <w:lang w:bidi="ar"/>
        </w:rPr>
        <w:t>（二）改进情况。加大公开力度及时效，切实丰富政府信息公开的内容，进一步围绕农业农村工作重点，增加信息发布的质量和数量</w:t>
      </w:r>
      <w:r>
        <w:rPr>
          <w:rFonts w:hint="eastAsia" w:ascii="仿宋" w:hAnsi="仿宋" w:eastAsia="仿宋" w:cs="仿宋"/>
          <w:color w:val="000000"/>
          <w:kern w:val="0"/>
          <w:sz w:val="32"/>
          <w:szCs w:val="32"/>
          <w:shd w:val="clear" w:color="auto" w:fill="FFFFFF"/>
          <w:lang w:eastAsia="zh-CN" w:bidi="ar"/>
        </w:rPr>
        <w:t>。</w:t>
      </w:r>
      <w:bookmarkStart w:id="0" w:name="_GoBack"/>
      <w:bookmarkEnd w:id="0"/>
    </w:p>
    <w:p>
      <w:pPr>
        <w:pStyle w:val="2"/>
        <w:widowControl/>
        <w:spacing w:beforeAutospacing="0" w:afterAutospacing="0" w:line="26" w:lineRule="atLeast"/>
        <w:ind w:firstLine="420"/>
        <w:jc w:val="both"/>
        <w:rPr>
          <w:rFonts w:ascii="黑体" w:hAnsi="黑体" w:eastAsia="黑体" w:cs="黑体"/>
          <w:bCs/>
          <w:sz w:val="32"/>
          <w:szCs w:val="32"/>
        </w:rPr>
      </w:pPr>
      <w:r>
        <w:rPr>
          <w:rStyle w:val="5"/>
          <w:rFonts w:hint="eastAsia" w:ascii="黑体" w:hAnsi="黑体" w:eastAsia="黑体" w:cs="黑体"/>
          <w:b w:val="0"/>
          <w:bCs/>
          <w:color w:val="000000"/>
          <w:sz w:val="32"/>
          <w:szCs w:val="32"/>
        </w:rPr>
        <w:t>六、其他需要报告的事项</w:t>
      </w:r>
    </w:p>
    <w:p>
      <w:pPr>
        <w:pStyle w:val="2"/>
        <w:widowControl/>
        <w:spacing w:beforeAutospacing="0" w:afterAutospacing="0"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收取信息处理费情况。依据《国务院办公厅关于印发政府信息公开信息处理费管理办法的通知》（国办函〔2020〕109号）和《山东省人民政府办公厅关于做好政府信息公开信息处理费管理工作有关事项的通知》（鲁政办字〔2020〕179号）收取信息处理费。2023年，区农业农村局未收取政府信息公开处理费。</w:t>
      </w:r>
      <w:r>
        <w:rPr>
          <w:rFonts w:hint="eastAsia" w:ascii="仿宋" w:hAnsi="仿宋" w:eastAsia="仿宋" w:cs="仿宋"/>
          <w:color w:val="000000"/>
          <w:sz w:val="32"/>
          <w:szCs w:val="32"/>
          <w:shd w:val="clear" w:color="auto" w:fill="FFFFFF"/>
        </w:rPr>
        <w:br w:type="textWrapping"/>
      </w:r>
      <w:r>
        <w:rPr>
          <w:rFonts w:hint="eastAsia" w:ascii="仿宋" w:hAnsi="仿宋" w:eastAsia="仿宋" w:cs="仿宋"/>
          <w:color w:val="000000"/>
          <w:sz w:val="32"/>
          <w:szCs w:val="32"/>
          <w:shd w:val="clear" w:color="auto" w:fill="FFFFFF"/>
        </w:rPr>
        <w:t xml:space="preserve">    2、落实上级年度政务公开工作要点情况。按照《淄川区人民政府办公室关于印发2023年淄川区政务公开工作方案的通知》文件要求，及时更新和发布信息，确保信息的准确性和时效性，同时，不断完善公开内容，扩大公开范围，提高公开质量，保障公众的知情权和监督权。</w:t>
      </w:r>
      <w:r>
        <w:rPr>
          <w:rFonts w:hint="eastAsia" w:ascii="仿宋" w:hAnsi="仿宋" w:eastAsia="仿宋" w:cs="仿宋"/>
          <w:color w:val="000000"/>
          <w:sz w:val="32"/>
          <w:szCs w:val="32"/>
          <w:shd w:val="clear" w:color="auto" w:fill="FFFFFF"/>
        </w:rPr>
        <w:br w:type="textWrapping"/>
      </w:r>
      <w:r>
        <w:rPr>
          <w:rFonts w:hint="eastAsia" w:ascii="仿宋" w:hAnsi="仿宋" w:eastAsia="仿宋" w:cs="仿宋"/>
          <w:color w:val="000000"/>
          <w:sz w:val="32"/>
          <w:szCs w:val="32"/>
          <w:shd w:val="clear" w:color="auto" w:fill="FFFFFF"/>
        </w:rPr>
        <w:t xml:space="preserve">    3、人大代表和政协提案办理结果公开情况。2023年，我局共收到并公开人大建议3条，政协提案8条，接到提案后，区农业农村局党组高度重视，对各提案建议进行了深入细致的研究，详细制定了解决方案，明确办理流程，一是迅速交办工作，将各提案进行认真梳理分类，迅速落实办理科室，落实办理责任，二是强化办理职责，制定办理“作战图”，加强督促，定期检查，三是提高办理质量，在办理过程中，采取电话催办、部门协办等多种方式，加快办理速度，及时解决办理过程中存在的问题，做到了建议提案答复率100%，委员满意率100%。</w:t>
      </w:r>
    </w:p>
    <w:p>
      <w:pPr>
        <w:pStyle w:val="2"/>
        <w:widowControl/>
        <w:spacing w:beforeAutospacing="0" w:afterAutospacing="0"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政务公开工作创新情况。一是加大政策解读力度。严格按照“解读是常态、不解读是例外，发布与解读同步”的原则，认真落实“解读方案、解读材料与政策文件同步组织、同步审签、同步部署”的工作机制，进一步加大政策解读工作。二是创新解读方式。优化政策解读方式，在“多元化”上下功夫。要求发文科室强化互动解读回应，指导发文科室通过图文解读、主要负责人解读、专家解读等方式，进行全方位、立体化解读，全面准确讲清楚文件出台背景、重点内容、特色亮点等，让政策信息融入百姓生活，发挥其最大的服务作用，不断提升社会各界的参与度和获得感。</w:t>
      </w:r>
    </w:p>
    <w:p>
      <w:pPr>
        <w:pStyle w:val="2"/>
        <w:widowControl/>
        <w:spacing w:beforeAutospacing="0" w:afterAutospacing="0"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5、政府信息公开工作年度报告数据统计需要说明的事项。无。</w:t>
      </w:r>
    </w:p>
    <w:p>
      <w:pPr>
        <w:pStyle w:val="2"/>
        <w:widowControl/>
        <w:spacing w:beforeAutospacing="0" w:afterAutospacing="0"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6、本行政机关认为需要报告的其他事项。无。</w:t>
      </w:r>
    </w:p>
    <w:p>
      <w:pPr>
        <w:pStyle w:val="2"/>
        <w:widowControl/>
        <w:spacing w:beforeAutospacing="0" w:afterAutospacing="0" w:line="560" w:lineRule="exact"/>
        <w:ind w:firstLine="640" w:firstLineChars="200"/>
        <w:rPr>
          <w:rFonts w:ascii="微软雅黑" w:hAnsi="微软雅黑" w:eastAsia="微软雅黑" w:cs="微软雅黑"/>
          <w:color w:val="000000"/>
          <w:shd w:val="clear" w:color="auto" w:fill="FFFFFF"/>
        </w:rPr>
      </w:pPr>
      <w:r>
        <w:rPr>
          <w:rFonts w:hint="eastAsia" w:ascii="仿宋" w:hAnsi="仿宋" w:eastAsia="仿宋" w:cs="仿宋"/>
          <w:color w:val="000000"/>
          <w:sz w:val="32"/>
          <w:szCs w:val="32"/>
          <w:shd w:val="clear" w:color="auto" w:fill="FFFFFF"/>
        </w:rPr>
        <w:t>7、其他有关文件专门要求通过政府信息公开工作年度报告予以报告的事项。无。</w:t>
      </w:r>
    </w:p>
    <w:p>
      <w:pPr>
        <w:pStyle w:val="2"/>
        <w:widowControl/>
        <w:spacing w:beforeAutospacing="0" w:afterAutospacing="0" w:line="560" w:lineRule="exact"/>
        <w:ind w:firstLine="640" w:firstLineChars="200"/>
        <w:jc w:val="righ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淄川区农业农村局</w:t>
      </w:r>
    </w:p>
    <w:p>
      <w:pPr>
        <w:pStyle w:val="2"/>
        <w:widowControl/>
        <w:spacing w:beforeAutospacing="0" w:afterAutospacing="0" w:line="560" w:lineRule="exact"/>
        <w:ind w:firstLine="640" w:firstLineChars="200"/>
        <w:jc w:val="righ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2024年1月15日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kMTI1YTJhYjM1ODI1YmMzMGY4OTVhMTRiMzUwMDgifQ=="/>
  </w:docVars>
  <w:rsids>
    <w:rsidRoot w:val="20B75722"/>
    <w:rsid w:val="002D2B26"/>
    <w:rsid w:val="00463696"/>
    <w:rsid w:val="00500707"/>
    <w:rsid w:val="005F104F"/>
    <w:rsid w:val="00A40DF9"/>
    <w:rsid w:val="00B919E8"/>
    <w:rsid w:val="0486237A"/>
    <w:rsid w:val="049D5915"/>
    <w:rsid w:val="06D3385B"/>
    <w:rsid w:val="0D0512FE"/>
    <w:rsid w:val="0FC20E97"/>
    <w:rsid w:val="12157B75"/>
    <w:rsid w:val="1BCF41AF"/>
    <w:rsid w:val="20B75722"/>
    <w:rsid w:val="253C41C4"/>
    <w:rsid w:val="31463618"/>
    <w:rsid w:val="38BA474F"/>
    <w:rsid w:val="47A05AA2"/>
    <w:rsid w:val="48A8013F"/>
    <w:rsid w:val="4C105C8B"/>
    <w:rsid w:val="5BF66CB3"/>
    <w:rsid w:val="5C1271C4"/>
    <w:rsid w:val="6F5378A5"/>
    <w:rsid w:val="6FF46EB5"/>
    <w:rsid w:val="71C456D6"/>
    <w:rsid w:val="7E153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465</Words>
  <Characters>2657</Characters>
  <Lines>22</Lines>
  <Paragraphs>6</Paragraphs>
  <TotalTime>55</TotalTime>
  <ScaleCrop>false</ScaleCrop>
  <LinksUpToDate>false</LinksUpToDate>
  <CharactersWithSpaces>3116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2024-01-08T02:55:00Z</dcterms:created>
  <dc:creator>Administrator</dc:creator>
  <cp:lastModifiedBy>银杏果</cp:lastModifiedBy>
  <dcterms:modified xsi:type="dcterms:W3CDTF">2024-01-30T01:08:53Z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B014B3B0ACD34B44B0D8EF5B70B7B668_11</vt:lpwstr>
  </property>
</Properties>
</file>