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淄博市</w:t>
      </w:r>
      <w:r>
        <w:rPr>
          <w:rFonts w:hint="default" w:ascii="Times New Roman" w:hAnsi="Times New Roman" w:eastAsia="方正小标宋简体" w:cs="Times New Roman"/>
          <w:sz w:val="44"/>
          <w:szCs w:val="44"/>
        </w:rPr>
        <w:t>淄川区农业农村局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1</w:t>
      </w:r>
      <w:r>
        <w:rPr>
          <w:rFonts w:hint="default" w:ascii="Times New Roman" w:hAnsi="Times New Roman" w:eastAsia="方正小标宋简体" w:cs="Times New Roman"/>
          <w:sz w:val="44"/>
          <w:szCs w:val="44"/>
        </w:rPr>
        <w:t>年政府信息公开工作年度报告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center"/>
        <w:textAlignment w:val="auto"/>
        <w:rPr>
          <w:rFonts w:hint="default" w:ascii="Times New Roman" w:hAnsi="Times New Roman" w:eastAsia="方正小标宋简体" w:cs="Times New Roman"/>
          <w:sz w:val="44"/>
          <w:szCs w:val="44"/>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黑体" w:cs="Times New Roman"/>
          <w:b/>
          <w:bCs/>
          <w:i w:val="0"/>
          <w:iCs w:val="0"/>
          <w:caps w:val="0"/>
          <w:color w:val="000000"/>
          <w:spacing w:val="0"/>
          <w:sz w:val="32"/>
          <w:szCs w:val="32"/>
          <w:lang w:eastAsia="zh-CN"/>
        </w:rPr>
      </w:pPr>
      <w:r>
        <w:rPr>
          <w:rFonts w:hint="default" w:ascii="Times New Roman" w:hAnsi="Times New Roman" w:eastAsia="仿宋_GB2312" w:cs="Times New Roman"/>
          <w:bCs/>
          <w:kern w:val="0"/>
          <w:sz w:val="32"/>
          <w:szCs w:val="32"/>
          <w:lang w:eastAsia="zh-CN"/>
        </w:rPr>
        <w:t>根据《中华人民共和国政府信息公开条例》（以下简称《条例》）和《淄川区人民政府办公室关于做好</w:t>
      </w:r>
      <w:r>
        <w:rPr>
          <w:rFonts w:hint="default" w:ascii="Times New Roman" w:hAnsi="Times New Roman" w:eastAsia="仿宋_GB2312" w:cs="Times New Roman"/>
          <w:bCs/>
          <w:kern w:val="0"/>
          <w:sz w:val="32"/>
          <w:szCs w:val="32"/>
          <w:lang w:val="en-US" w:eastAsia="zh-CN"/>
        </w:rPr>
        <w:t>2021年政府信息公开工作年度报告编制和发布工作的通知》要求</w:t>
      </w:r>
      <w:r>
        <w:rPr>
          <w:rFonts w:hint="default" w:ascii="Times New Roman" w:hAnsi="Times New Roman" w:eastAsia="仿宋_GB2312" w:cs="Times New Roman"/>
          <w:bCs/>
          <w:kern w:val="0"/>
          <w:sz w:val="32"/>
          <w:szCs w:val="32"/>
          <w:lang w:val="en-US" w:eastAsia="zh-CN"/>
        </w:rPr>
        <w:t>，区农业农村局</w:t>
      </w:r>
      <w:r>
        <w:rPr>
          <w:rFonts w:hint="default" w:ascii="Times New Roman" w:hAnsi="Times New Roman" w:eastAsia="仿宋_GB2312" w:cs="Times New Roman"/>
          <w:bCs/>
          <w:kern w:val="0"/>
          <w:sz w:val="32"/>
          <w:szCs w:val="32"/>
          <w:lang w:eastAsia="zh-CN"/>
        </w:rPr>
        <w:t>编制2021年政府信息公开年度报告。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2021年1月1日至2021年12月31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default" w:ascii="Times New Roman" w:hAnsi="Times New Roman" w:eastAsia="黑体" w:cs="Times New Roman"/>
          <w:b/>
          <w:bCs/>
          <w:i w:val="0"/>
          <w:iCs w:val="0"/>
          <w:caps w:val="0"/>
          <w:color w:val="000000"/>
          <w:spacing w:val="0"/>
          <w:sz w:val="32"/>
          <w:szCs w:val="32"/>
        </w:rPr>
      </w:pPr>
      <w:r>
        <w:rPr>
          <w:rFonts w:hint="default" w:ascii="Times New Roman" w:hAnsi="Times New Roman" w:eastAsia="黑体" w:cs="Times New Roman"/>
          <w:b/>
          <w:bCs/>
          <w:i w:val="0"/>
          <w:iCs w:val="0"/>
          <w:caps w:val="0"/>
          <w:color w:val="000000"/>
          <w:spacing w:val="0"/>
          <w:sz w:val="32"/>
          <w:szCs w:val="32"/>
          <w:lang w:eastAsia="zh-CN"/>
        </w:rPr>
        <w:t>一、</w:t>
      </w:r>
      <w:r>
        <w:rPr>
          <w:rFonts w:hint="default" w:ascii="Times New Roman" w:hAnsi="Times New Roman" w:eastAsia="黑体" w:cs="Times New Roman"/>
          <w:b/>
          <w:bCs/>
          <w:i w:val="0"/>
          <w:iCs w:val="0"/>
          <w:caps w:val="0"/>
          <w:color w:val="000000"/>
          <w:spacing w:val="0"/>
          <w:sz w:val="32"/>
          <w:szCs w:val="32"/>
        </w:rPr>
        <w:t>总体情况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楷体" w:cs="Times New Roman"/>
          <w:b w:val="0"/>
          <w:bCs w:val="0"/>
          <w:i w:val="0"/>
          <w:iCs w:val="0"/>
          <w:caps w:val="0"/>
          <w:color w:val="000000"/>
          <w:spacing w:val="0"/>
          <w:sz w:val="32"/>
          <w:szCs w:val="32"/>
          <w:lang w:val="en-US" w:eastAsia="zh-CN"/>
        </w:rPr>
      </w:pPr>
      <w:r>
        <w:rPr>
          <w:rFonts w:hint="default" w:ascii="Times New Roman" w:hAnsi="Times New Roman" w:eastAsia="仿宋_GB2312" w:cs="Times New Roman"/>
          <w:b w:val="0"/>
          <w:bCs w:val="0"/>
          <w:i w:val="0"/>
          <w:iCs w:val="0"/>
          <w:caps w:val="0"/>
          <w:color w:val="000000"/>
          <w:spacing w:val="0"/>
          <w:sz w:val="32"/>
          <w:szCs w:val="32"/>
          <w:lang w:val="en-US" w:eastAsia="zh-CN"/>
        </w:rPr>
        <w:t>2021年，淄川区农业农村局认真贯彻落实上级信息公开工作要求，坚持方便群众知情、便于群众监督的原则，结合全区农业农村实际，深化政务公开内容，丰富公开形式，畅通和群众互动渠道，助力全区乡村振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lang w:val="en-US" w:eastAsia="zh-CN"/>
        </w:rPr>
      </w:pPr>
      <w:r>
        <w:rPr>
          <w:rFonts w:hint="default" w:ascii="Times New Roman" w:hAnsi="Times New Roman" w:eastAsia="楷体" w:cs="Times New Roman"/>
          <w:b w:val="0"/>
          <w:bCs w:val="0"/>
          <w:i w:val="0"/>
          <w:iCs w:val="0"/>
          <w:caps w:val="0"/>
          <w:color w:val="000000"/>
          <w:spacing w:val="0"/>
          <w:sz w:val="32"/>
          <w:szCs w:val="32"/>
          <w:lang w:val="en-US" w:eastAsia="zh-CN"/>
        </w:rPr>
        <w:t>（一）主动公开信息情况</w:t>
      </w:r>
      <w:r>
        <w:rPr>
          <w:rFonts w:hint="default" w:ascii="Times New Roman" w:hAnsi="Times New Roman" w:eastAsia="仿宋_GB2312" w:cs="Times New Roman"/>
          <w:b w:val="0"/>
          <w:bCs w:val="0"/>
          <w:i w:val="0"/>
          <w:iCs w:val="0"/>
          <w:caps w:val="0"/>
          <w:color w:val="000000"/>
          <w:spacing w:val="0"/>
          <w:sz w:val="32"/>
          <w:szCs w:val="32"/>
          <w:lang w:val="en-US" w:eastAsia="zh-CN"/>
        </w:rPr>
        <w:t>。2021年，主动公开政府信息83条。公开类别：机构职能类3条；规划计划类3条；政策文件类11条；重大部署执行类3条6条；优化营商环境类1条；乡村振兴类12条；涉农补贴类10条；政府信息公开目录类1条；基层政务公开标准目录类1条；政府信息公开年度报告1条，其他类1条；法治政府建设类1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lang w:val="en-US" w:eastAsia="zh-CN"/>
        </w:rPr>
      </w:pPr>
      <w:r>
        <w:rPr>
          <w:rFonts w:hint="default" w:ascii="Times New Roman" w:hAnsi="Times New Roman" w:eastAsia="楷体" w:cs="Times New Roman"/>
          <w:b w:val="0"/>
          <w:bCs w:val="0"/>
          <w:i w:val="0"/>
          <w:iCs w:val="0"/>
          <w:caps w:val="0"/>
          <w:color w:val="000000"/>
          <w:spacing w:val="0"/>
          <w:sz w:val="32"/>
          <w:szCs w:val="32"/>
          <w:lang w:val="en-US" w:eastAsia="zh-CN"/>
        </w:rPr>
        <w:t>（二）依申请公开政府信息情况</w:t>
      </w:r>
      <w:r>
        <w:rPr>
          <w:rFonts w:hint="default" w:ascii="Times New Roman" w:hAnsi="Times New Roman" w:eastAsia="仿宋_GB2312" w:cs="Times New Roman"/>
          <w:b w:val="0"/>
          <w:bCs w:val="0"/>
          <w:i w:val="0"/>
          <w:iCs w:val="0"/>
          <w:caps w:val="0"/>
          <w:color w:val="000000"/>
          <w:spacing w:val="0"/>
          <w:sz w:val="32"/>
          <w:szCs w:val="32"/>
          <w:lang w:val="en-US" w:eastAsia="zh-CN"/>
        </w:rPr>
        <w:t>。2021年收到政府信息公开申请1件，按照法定程序在规定时限内给予了答复，无行政复议和行政诉讼情况发生。</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楷体" w:cs="Times New Roman"/>
          <w:b w:val="0"/>
          <w:bCs w:val="0"/>
          <w:i w:val="0"/>
          <w:iCs w:val="0"/>
          <w:caps w:val="0"/>
          <w:color w:val="000000"/>
          <w:spacing w:val="0"/>
          <w:kern w:val="0"/>
          <w:sz w:val="32"/>
          <w:szCs w:val="32"/>
          <w:lang w:val="en-US" w:eastAsia="zh-CN" w:bidi="ar"/>
        </w:rPr>
        <w:t>（三）政府信息管理情况</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w:t>
      </w:r>
      <w:r>
        <w:rPr>
          <w:rFonts w:hint="default" w:ascii="Times New Roman" w:hAnsi="Times New Roman" w:eastAsia="仿宋_GB2312" w:cs="Times New Roman"/>
          <w:color w:val="000000"/>
          <w:sz w:val="32"/>
          <w:szCs w:val="32"/>
        </w:rPr>
        <w:t>严格执行政府信息公开审核制度，实行政府信息采集、梳理、编辑、审核、发布、更新等工作常态化工作机制，落实专人负责统筹、协调、编制、公布信息公开内容</w:t>
      </w:r>
      <w:r>
        <w:rPr>
          <w:rFonts w:hint="default" w:ascii="Times New Roman" w:hAnsi="Times New Roman" w:eastAsia="仿宋_GB2312" w:cs="Times New Roman"/>
          <w:color w:val="00000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楷体" w:cs="Times New Roman"/>
          <w:b w:val="0"/>
          <w:bCs w:val="0"/>
          <w:i w:val="0"/>
          <w:iCs w:val="0"/>
          <w:caps w:val="0"/>
          <w:color w:val="000000"/>
          <w:spacing w:val="0"/>
          <w:kern w:val="0"/>
          <w:sz w:val="32"/>
          <w:szCs w:val="32"/>
          <w:lang w:val="en-US" w:eastAsia="zh-CN" w:bidi="ar"/>
        </w:rPr>
        <w:t>（四）平台建设情况</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我局不断加强自身建设，规范政府公开内容，深刻贯彻落实《政府信息公开条例》，按照上级指导整合信息资源，优化服务功能，推进网站规范化建设。妥善管理“淄川三农”微信公众号，及时更新我区农业农村工作进展，</w:t>
      </w:r>
      <w:r>
        <w:rPr>
          <w:rFonts w:hint="default" w:ascii="Times New Roman" w:hAnsi="Times New Roman" w:eastAsia="仿宋_GB2312" w:cs="Times New Roman"/>
          <w:b w:val="0"/>
          <w:bCs w:val="0"/>
          <w:i w:val="0"/>
          <w:iCs w:val="0"/>
          <w:caps w:val="0"/>
          <w:color w:val="000000"/>
          <w:spacing w:val="0"/>
          <w:sz w:val="32"/>
          <w:szCs w:val="32"/>
          <w:lang w:val="en-US" w:eastAsia="zh-CN"/>
        </w:rPr>
        <w:t>公众号上设立“在线留言”，发挥便民利民的作用。</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畅通政府信息依申请公开受理渠道，及时办理依申请公开事项。把网站作为政府信息公开第一平台进行建设。结合我局工作实际，积极公开局年度主要工作和便民服务信息等，使群众能更直观、方便地了解我区农业农村相关工作，提高效率，实现了勤政为民的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楷体" w:cs="Times New Roman"/>
          <w:b w:val="0"/>
          <w:bCs w:val="0"/>
          <w:i w:val="0"/>
          <w:iCs w:val="0"/>
          <w:caps w:val="0"/>
          <w:color w:val="000000"/>
          <w:spacing w:val="0"/>
          <w:kern w:val="0"/>
          <w:sz w:val="32"/>
          <w:szCs w:val="32"/>
          <w:lang w:val="en-US" w:eastAsia="zh-CN" w:bidi="ar"/>
        </w:rPr>
        <w:t>（五）监督保障情况</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w:t>
      </w:r>
      <w:r>
        <w:rPr>
          <w:rFonts w:hint="default" w:ascii="Times New Roman" w:hAnsi="Times New Roman" w:eastAsia="仿宋_GB2312" w:cs="Times New Roman"/>
          <w:sz w:val="32"/>
          <w:szCs w:val="32"/>
          <w:lang w:eastAsia="zh-CN"/>
        </w:rPr>
        <w:t>调整成立了</w:t>
      </w:r>
      <w:r>
        <w:rPr>
          <w:rFonts w:hint="default" w:ascii="Times New Roman" w:hAnsi="Times New Roman" w:eastAsia="仿宋_GB2312" w:cs="Times New Roman"/>
          <w:sz w:val="32"/>
          <w:szCs w:val="32"/>
        </w:rPr>
        <w:t>政务公开工作领导小组，主要领导任组长亲自抓，分管领导靠上抓，各科室相互配合。将政务公开工作纳入科室年度工作任务目标，</w:t>
      </w:r>
      <w:r>
        <w:rPr>
          <w:rFonts w:hint="default" w:ascii="Times New Roman" w:hAnsi="Times New Roman" w:eastAsia="仿宋_GB2312" w:cs="Times New Roman"/>
          <w:color w:val="000000"/>
          <w:kern w:val="0"/>
          <w:sz w:val="32"/>
          <w:szCs w:val="32"/>
        </w:rPr>
        <w:t>定期开展业务培训</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使全体职工都参与到政务公开中来，确保政务公开工作专业规范，</w:t>
      </w:r>
      <w:r>
        <w:rPr>
          <w:rFonts w:hint="default" w:ascii="Times New Roman" w:hAnsi="Times New Roman" w:eastAsia="仿宋_GB2312" w:cs="Times New Roman"/>
          <w:sz w:val="32"/>
          <w:szCs w:val="32"/>
        </w:rPr>
        <w:t>为推进政务公开工作提供了有力的组织保证。</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default" w:ascii="Times New Roman" w:hAnsi="Times New Roman" w:eastAsia="黑体" w:cs="Times New Roman"/>
          <w:b/>
          <w:bCs/>
          <w:i w:val="0"/>
          <w:iCs w:val="0"/>
          <w:caps w:val="0"/>
          <w:color w:val="000000"/>
          <w:spacing w:val="0"/>
          <w:sz w:val="32"/>
          <w:szCs w:val="32"/>
        </w:rPr>
      </w:pPr>
      <w:r>
        <w:rPr>
          <w:rFonts w:hint="default" w:ascii="Times New Roman" w:hAnsi="Times New Roman" w:eastAsia="宋体" w:cs="Times New Roman"/>
          <w:b/>
          <w:bCs/>
          <w:i w:val="0"/>
          <w:iCs w:val="0"/>
          <w:caps w:val="0"/>
          <w:color w:val="000000"/>
          <w:spacing w:val="0"/>
          <w:sz w:val="28"/>
          <w:szCs w:val="28"/>
          <w:lang w:eastAsia="zh-CN"/>
        </w:rPr>
        <w:t>　　</w:t>
      </w:r>
      <w:r>
        <w:rPr>
          <w:rFonts w:hint="default" w:ascii="Times New Roman" w:hAnsi="Times New Roman" w:eastAsia="黑体" w:cs="Times New Roman"/>
          <w:b/>
          <w:bCs/>
          <w:i w:val="0"/>
          <w:iCs w:val="0"/>
          <w:caps w:val="0"/>
          <w:color w:val="000000"/>
          <w:spacing w:val="0"/>
          <w:sz w:val="32"/>
          <w:szCs w:val="32"/>
        </w:rPr>
        <w:t>二、主动公开政府信息情况</w:t>
      </w: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本年</w:t>
            </w:r>
            <w:r>
              <w:rPr>
                <w:rFonts w:hint="default" w:ascii="Times New Roman" w:hAnsi="Times New Roman" w:cs="Times New Roman" w:eastAsiaTheme="minorEastAsia"/>
                <w:color w:val="000000"/>
                <w:kern w:val="0"/>
                <w:sz w:val="20"/>
                <w:szCs w:val="20"/>
                <w:lang w:val="en-US" w:eastAsia="zh-CN" w:bidi="ar"/>
              </w:rPr>
              <w:t>制</w:t>
            </w:r>
            <w:r>
              <w:rPr>
                <w:rFonts w:hint="default" w:ascii="Times New Roman" w:hAnsi="Times New Roman" w:eastAsia="宋体" w:cs="Times New Roman"/>
                <w:color w:val="000000"/>
                <w:kern w:val="0"/>
                <w:sz w:val="20"/>
                <w:szCs w:val="20"/>
                <w:lang w:val="en-US" w:eastAsia="zh-CN" w:bidi="ar"/>
              </w:rPr>
              <w:t>发件</w:t>
            </w:r>
            <w:r>
              <w:rPr>
                <w:rFonts w:hint="default" w:ascii="Times New Roman" w:hAnsi="Times New Roman" w:cs="Times New Roman" w:eastAsiaTheme="minorEastAsia"/>
                <w:color w:val="000000"/>
                <w:kern w:val="0"/>
                <w:sz w:val="20"/>
                <w:szCs w:val="20"/>
                <w:lang w:val="en-US" w:eastAsia="zh-CN" w:bidi="ar"/>
              </w:rPr>
              <w:t>数</w:t>
            </w:r>
          </w:p>
        </w:tc>
        <w:tc>
          <w:tcPr>
            <w:tcW w:w="1250" w:type="pct"/>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现行有效件</w:t>
            </w:r>
            <w:r>
              <w:rPr>
                <w:rFonts w:hint="default" w:ascii="Times New Roman" w:hAnsi="Times New Roman" w:cs="Times New Roman" w:eastAsiaTheme="minorEastAsia"/>
                <w:color w:val="000000"/>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规章</w:t>
            </w:r>
          </w:p>
        </w:tc>
        <w:tc>
          <w:tcPr>
            <w:tcW w:w="1250" w:type="pct"/>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0</w:t>
            </w:r>
          </w:p>
        </w:tc>
        <w:tc>
          <w:tcPr>
            <w:tcW w:w="1250" w:type="pct"/>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c>
          <w:tcPr>
            <w:tcW w:w="1250" w:type="pct"/>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行政规范性文件</w:t>
            </w:r>
          </w:p>
        </w:tc>
        <w:tc>
          <w:tcPr>
            <w:tcW w:w="1250" w:type="pct"/>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c>
          <w:tcPr>
            <w:tcW w:w="1250" w:type="pct"/>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c>
          <w:tcPr>
            <w:tcW w:w="1250" w:type="pct"/>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行政许可</w:t>
            </w:r>
          </w:p>
        </w:tc>
        <w:tc>
          <w:tcPr>
            <w:tcW w:w="3750" w:type="pct"/>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E6F4FF"/>
            <w:tcMar>
              <w:top w:w="0" w:type="dxa"/>
              <w:left w:w="57" w:type="dxa"/>
              <w:bottom w:w="0" w:type="dxa"/>
              <w:right w:w="57" w:type="dxa"/>
            </w:tcMar>
            <w:vAlign w:val="center"/>
          </w:tcPr>
          <w:p>
            <w:pPr>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color w:val="000000"/>
                <w:sz w:val="24"/>
                <w:szCs w:val="24"/>
                <w:lang w:val="en-US" w:eastAsia="zh-CN"/>
              </w:rPr>
              <w:t>0</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default" w:ascii="Times New Roman" w:hAnsi="Times New Roman" w:eastAsia="黑体" w:cs="Times New Roman"/>
          <w:b/>
          <w:bCs/>
          <w:i w:val="0"/>
          <w:iCs w:val="0"/>
          <w:caps w:val="0"/>
          <w:color w:val="000000"/>
          <w:spacing w:val="0"/>
          <w:sz w:val="32"/>
          <w:szCs w:val="32"/>
        </w:rPr>
      </w:pPr>
      <w:r>
        <w:rPr>
          <w:rFonts w:hint="default" w:ascii="Times New Roman" w:hAnsi="Times New Roman" w:eastAsia="宋体" w:cs="Times New Roman"/>
          <w:b/>
          <w:bCs/>
          <w:i w:val="0"/>
          <w:iCs w:val="0"/>
          <w:caps w:val="0"/>
          <w:color w:val="000000"/>
          <w:spacing w:val="0"/>
          <w:sz w:val="28"/>
          <w:szCs w:val="28"/>
          <w:lang w:eastAsia="zh-CN"/>
        </w:rPr>
        <w:t>　　</w:t>
      </w:r>
      <w:r>
        <w:rPr>
          <w:rFonts w:hint="default" w:ascii="Times New Roman" w:hAnsi="Times New Roman" w:eastAsia="黑体" w:cs="Times New Roman"/>
          <w:b/>
          <w:bCs/>
          <w:i w:val="0"/>
          <w:iCs w:val="0"/>
          <w:caps w:val="0"/>
          <w:color w:val="000000"/>
          <w:spacing w:val="0"/>
          <w:sz w:val="32"/>
          <w:szCs w:val="32"/>
        </w:rPr>
        <w:t>三、收到和处理政府信息公开申请情况</w:t>
      </w:r>
    </w:p>
    <w:tbl>
      <w:tblPr>
        <w:tblStyle w:val="3"/>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Layout w:type="autofit"/>
        <w:tblCellMar>
          <w:top w:w="15" w:type="dxa"/>
          <w:left w:w="15" w:type="dxa"/>
          <w:bottom w:w="15" w:type="dxa"/>
          <w:right w:w="15" w:type="dxa"/>
        </w:tblCellMar>
      </w:tblPr>
      <w:tblGrid>
        <w:gridCol w:w="666"/>
        <w:gridCol w:w="818"/>
        <w:gridCol w:w="2800"/>
        <w:gridCol w:w="596"/>
        <w:gridCol w:w="596"/>
        <w:gridCol w:w="596"/>
        <w:gridCol w:w="596"/>
        <w:gridCol w:w="596"/>
        <w:gridCol w:w="603"/>
        <w:gridCol w:w="60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15" w:type="dxa"/>
            <w:left w:w="15" w:type="dxa"/>
            <w:bottom w:w="15" w:type="dxa"/>
            <w:right w:w="15" w:type="dxa"/>
          </w:tblCellMar>
        </w:tblPrEx>
        <w:trPr>
          <w:jc w:val="center"/>
        </w:trPr>
        <w:tc>
          <w:tcPr>
            <w:tcW w:w="2529" w:type="pct"/>
            <w:gridSpan w:val="3"/>
            <w:vMerge w:val="restart"/>
            <w:tcBorders>
              <w:top w:val="single" w:color="auto" w:sz="8" w:space="0"/>
              <w:left w:val="single" w:color="auto" w:sz="8" w:space="0"/>
              <w:bottom w:val="outset"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楷体" w:cs="Times New Roman"/>
                <w:color w:val="000000"/>
                <w:kern w:val="0"/>
                <w:sz w:val="20"/>
                <w:szCs w:val="20"/>
                <w:lang w:val="en-US" w:eastAsia="zh-CN" w:bidi="ar"/>
              </w:rPr>
              <w:t>（本列数据的勾稽关系为：第一项加第二项之和，等于第三项加第四项之和）</w:t>
            </w:r>
          </w:p>
        </w:tc>
        <w:tc>
          <w:tcPr>
            <w:tcW w:w="2470" w:type="pct"/>
            <w:gridSpan w:val="7"/>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529" w:type="pct"/>
            <w:gridSpan w:val="3"/>
            <w:vMerge w:val="continue"/>
            <w:tcBorders>
              <w:top w:val="single" w:color="auto" w:sz="8" w:space="0"/>
              <w:left w:val="single" w:color="auto" w:sz="8" w:space="0"/>
              <w:bottom w:val="outset" w:color="auto" w:sz="8" w:space="0"/>
              <w:right w:val="single" w:color="auto" w:sz="8" w:space="0"/>
            </w:tcBorders>
            <w:shd w:val="clear" w:color="auto" w:fill="FFFFFF" w:themeFill="background1"/>
            <w:tcMar>
              <w:top w:w="0" w:type="dxa"/>
              <w:left w:w="108" w:type="dxa"/>
              <w:bottom w:w="0" w:type="dxa"/>
              <w:right w:w="108" w:type="dxa"/>
            </w:tcMar>
            <w:vAlign w:val="center"/>
          </w:tcPr>
          <w:p>
            <w:pPr>
              <w:rPr>
                <w:rFonts w:hint="default" w:ascii="Times New Roman" w:hAnsi="Times New Roman" w:cs="Times New Roman"/>
                <w:color w:val="000000"/>
                <w:sz w:val="24"/>
                <w:szCs w:val="24"/>
              </w:rPr>
            </w:pPr>
          </w:p>
        </w:tc>
        <w:tc>
          <w:tcPr>
            <w:tcW w:w="352" w:type="pct"/>
            <w:vMerge w:val="restar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自然人</w:t>
            </w:r>
          </w:p>
        </w:tc>
        <w:tc>
          <w:tcPr>
            <w:tcW w:w="1764" w:type="pct"/>
            <w:gridSpan w:val="5"/>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法人或其他组织</w:t>
            </w:r>
          </w:p>
        </w:tc>
        <w:tc>
          <w:tcPr>
            <w:tcW w:w="353" w:type="pct"/>
            <w:vMerge w:val="restart"/>
            <w:tcBorders>
              <w:top w:val="single" w:color="auto" w:sz="8" w:space="0"/>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529" w:type="pct"/>
            <w:gridSpan w:val="3"/>
            <w:vMerge w:val="continue"/>
            <w:tcBorders>
              <w:top w:val="single" w:color="auto" w:sz="8" w:space="0"/>
              <w:left w:val="single" w:color="auto" w:sz="8" w:space="0"/>
              <w:bottom w:val="outset" w:color="auto" w:sz="8" w:space="0"/>
              <w:right w:val="single" w:color="auto" w:sz="8" w:space="0"/>
            </w:tcBorders>
            <w:shd w:val="clear" w:color="auto" w:fill="FFFFFF" w:themeFill="background1"/>
            <w:tcMar>
              <w:top w:w="0" w:type="dxa"/>
              <w:left w:w="108" w:type="dxa"/>
              <w:bottom w:w="0" w:type="dxa"/>
              <w:right w:w="108" w:type="dxa"/>
            </w:tcMar>
            <w:vAlign w:val="center"/>
          </w:tcPr>
          <w:p>
            <w:pPr>
              <w:rPr>
                <w:rFonts w:hint="default" w:ascii="Times New Roman" w:hAnsi="Times New Roman" w:cs="Times New Roman"/>
                <w:color w:val="000000"/>
                <w:sz w:val="24"/>
                <w:szCs w:val="24"/>
              </w:rPr>
            </w:pPr>
          </w:p>
        </w:tc>
        <w:tc>
          <w:tcPr>
            <w:tcW w:w="352" w:type="pct"/>
            <w:vMerge w:val="continue"/>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企业</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机构</w:t>
            </w:r>
          </w:p>
        </w:tc>
        <w:tc>
          <w:tcPr>
            <w:tcW w:w="352" w:type="pct"/>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社会公益组织</w:t>
            </w:r>
          </w:p>
        </w:tc>
        <w:tc>
          <w:tcPr>
            <w:tcW w:w="352" w:type="pct"/>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法律服务机构</w:t>
            </w:r>
          </w:p>
        </w:tc>
        <w:tc>
          <w:tcPr>
            <w:tcW w:w="353" w:type="pct"/>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其他</w:t>
            </w:r>
          </w:p>
        </w:tc>
        <w:tc>
          <w:tcPr>
            <w:tcW w:w="353" w:type="pct"/>
            <w:vMerge w:val="continue"/>
            <w:tcBorders>
              <w:top w:val="single" w:color="auto" w:sz="8" w:space="0"/>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529" w:type="pct"/>
            <w:gridSpan w:val="3"/>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一、本年新收政府信息公开申请数量</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1</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lang w:val="en-US"/>
              </w:rPr>
            </w:pPr>
            <w:r>
              <w:rPr>
                <w:rFonts w:hint="default" w:ascii="Times New Roman" w:hAnsi="Times New Roman" w:cs="Times New Roman" w:eastAsiaTheme="minorEastAsia"/>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529" w:type="pct"/>
            <w:gridSpan w:val="3"/>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二、上年结转政府信息公开申请数量</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lang w:val="en-US"/>
              </w:rPr>
            </w:pPr>
            <w:r>
              <w:rPr>
                <w:rFonts w:hint="default" w:ascii="Times New Roman" w:hAnsi="Times New Roman" w:cs="Times New Roman" w:eastAsiaTheme="minorEastAsia"/>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lang w:val="en-US"/>
              </w:rPr>
            </w:pPr>
            <w:r>
              <w:rPr>
                <w:rFonts w:hint="default" w:ascii="Times New Roman" w:hAnsi="Times New Roman" w:cs="Times New Roman"/>
                <w:color w:val="000000"/>
                <w:kern w:val="0"/>
                <w:sz w:val="20"/>
                <w:szCs w:val="20"/>
                <w:lang w:val="en-US" w:eastAsia="zh-CN" w:bidi="ar"/>
              </w:rPr>
              <w:t>0</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restart"/>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三、本年度办理结果</w:t>
            </w:r>
          </w:p>
        </w:tc>
        <w:tc>
          <w:tcPr>
            <w:tcW w:w="2135" w:type="pct"/>
            <w:gridSpan w:val="2"/>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（一）予以公开</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1</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2135" w:type="pct"/>
            <w:gridSpan w:val="2"/>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（二）部分公开</w:t>
            </w:r>
            <w:r>
              <w:rPr>
                <w:rFonts w:hint="default" w:ascii="Times New Roman" w:hAnsi="Times New Roman" w:eastAsia="楷体" w:cs="Times New Roman"/>
                <w:color w:val="000000"/>
                <w:kern w:val="0"/>
                <w:sz w:val="20"/>
                <w:szCs w:val="20"/>
                <w:lang w:val="en-US" w:eastAsia="zh-CN" w:bidi="ar"/>
              </w:rPr>
              <w:t>（区分处理的，只计这一情形，不计其他情形）</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restar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（三）不予公开</w:t>
            </w: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1.属于国家秘密</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2.其他法律行政法规禁止公开</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3.危及“三安全一稳定”</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4.保护第三方合法权益</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5.属于三类内部事务信息</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6.属于四类过程性信息</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7.属于行政执法案卷</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8.属于行政查询事项</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restar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（四）无法提供</w:t>
            </w: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1.本机关不掌握相关政府信息</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2.没有现成信息需要另行制作</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3.补正后申请内容仍不明确</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restar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（五）不予处理</w:t>
            </w: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1.信访举报投诉类申请</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2.重复申请</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3.要求提供公开出版物</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4.无正当理由大量反复申请</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5.要求行政机关确认或重新出具已获取信息</w:t>
            </w:r>
          </w:p>
        </w:tc>
        <w:tc>
          <w:tcPr>
            <w:tcW w:w="352" w:type="pc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restart"/>
            <w:tcBorders>
              <w:top w:val="outset" w:color="auto" w:sz="8" w:space="0"/>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（六）其他处理</w:t>
            </w: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1.申请人无正当理由逾期不补正、行政机关不再处理其政府信息公开申请</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outset" w:color="auto" w:sz="8" w:space="0"/>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2.申请人逾期未按收费通知要求缴纳费用、行政机关不再处理其政府信息公开申请</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outset" w:color="auto" w:sz="8" w:space="0"/>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3.其他</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2135" w:type="pct"/>
            <w:gridSpan w:val="2"/>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（七）总计</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1</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529" w:type="pct"/>
            <w:gridSpan w:val="3"/>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四、结转下年度继续办理</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lang w:val="en-US"/>
              </w:rPr>
            </w:pPr>
            <w:r>
              <w:rPr>
                <w:rFonts w:hint="default" w:ascii="Times New Roman" w:hAnsi="Times New Roman" w:cs="Times New Roman" w:eastAsiaTheme="minorEastAsia"/>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lang w:val="en-US"/>
              </w:rPr>
            </w:pPr>
            <w:r>
              <w:rPr>
                <w:rFonts w:hint="default" w:ascii="Times New Roman" w:hAnsi="Times New Roman" w:cs="Times New Roman" w:eastAsiaTheme="minorEastAsia"/>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lang w:val="en-US"/>
              </w:rPr>
            </w:pPr>
            <w:r>
              <w:rPr>
                <w:rFonts w:hint="default" w:ascii="Times New Roman" w:hAnsi="Times New Roman" w:cs="Times New Roman" w:eastAsiaTheme="minorEastAsia"/>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lang w:val="en-US"/>
              </w:rPr>
            </w:pPr>
            <w:r>
              <w:rPr>
                <w:rFonts w:hint="default" w:ascii="Times New Roman" w:hAnsi="Times New Roman" w:cs="Times New Roman" w:eastAsiaTheme="minorEastAsia"/>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ind w:firstLine="200" w:firstLineChars="100"/>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color w:val="000000"/>
                <w:sz w:val="20"/>
                <w:szCs w:val="20"/>
                <w:lang w:val="en-US" w:eastAsia="zh-CN"/>
              </w:rPr>
              <w:t>0</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3" w:firstLineChars="200"/>
        <w:jc w:val="both"/>
        <w:rPr>
          <w:rFonts w:hint="default" w:ascii="Times New Roman" w:hAnsi="Times New Roman" w:eastAsia="黑体" w:cs="Times New Roman"/>
          <w:b/>
          <w:bCs/>
          <w:i w:val="0"/>
          <w:iCs w:val="0"/>
          <w:caps w:val="0"/>
          <w:color w:val="000000"/>
          <w:spacing w:val="0"/>
          <w:sz w:val="32"/>
          <w:szCs w:val="32"/>
        </w:rPr>
      </w:pPr>
      <w:r>
        <w:rPr>
          <w:rFonts w:hint="default" w:ascii="Times New Roman" w:hAnsi="Times New Roman" w:eastAsia="黑体" w:cs="Times New Roman"/>
          <w:b/>
          <w:bCs/>
          <w:i w:val="0"/>
          <w:iCs w:val="0"/>
          <w:caps w:val="0"/>
          <w:color w:val="000000"/>
          <w:spacing w:val="0"/>
          <w:sz w:val="32"/>
          <w:szCs w:val="32"/>
        </w:rPr>
        <w:t>四、</w:t>
      </w:r>
      <w:r>
        <w:rPr>
          <w:rFonts w:hint="default" w:ascii="Times New Roman" w:hAnsi="Times New Roman" w:eastAsia="黑体" w:cs="Times New Roman"/>
          <w:b/>
          <w:bCs/>
          <w:i w:val="0"/>
          <w:iCs w:val="0"/>
          <w:caps w:val="0"/>
          <w:color w:val="000000"/>
          <w:spacing w:val="0"/>
          <w:sz w:val="32"/>
          <w:szCs w:val="32"/>
          <w:lang w:eastAsia="zh-CN"/>
        </w:rPr>
        <w:t>因</w:t>
      </w:r>
      <w:r>
        <w:rPr>
          <w:rFonts w:hint="default" w:ascii="Times New Roman" w:hAnsi="Times New Roman" w:eastAsia="黑体" w:cs="Times New Roman"/>
          <w:b/>
          <w:bCs/>
          <w:i w:val="0"/>
          <w:iCs w:val="0"/>
          <w:caps w:val="0"/>
          <w:color w:val="000000"/>
          <w:spacing w:val="0"/>
          <w:sz w:val="32"/>
          <w:szCs w:val="32"/>
        </w:rPr>
        <w:t>政府信息公开</w:t>
      </w:r>
      <w:r>
        <w:rPr>
          <w:rFonts w:hint="default" w:ascii="Times New Roman" w:hAnsi="Times New Roman" w:eastAsia="黑体" w:cs="Times New Roman"/>
          <w:b/>
          <w:bCs/>
          <w:i w:val="0"/>
          <w:iCs w:val="0"/>
          <w:caps w:val="0"/>
          <w:color w:val="000000"/>
          <w:spacing w:val="0"/>
          <w:sz w:val="32"/>
          <w:szCs w:val="32"/>
          <w:lang w:eastAsia="zh-CN"/>
        </w:rPr>
        <w:t>工作被</w:t>
      </w:r>
      <w:r>
        <w:rPr>
          <w:rFonts w:hint="eastAsia" w:ascii="Times New Roman" w:hAnsi="Times New Roman" w:eastAsia="黑体" w:cs="Times New Roman"/>
          <w:b/>
          <w:bCs/>
          <w:i w:val="0"/>
          <w:iCs w:val="0"/>
          <w:caps w:val="0"/>
          <w:color w:val="000000"/>
          <w:spacing w:val="0"/>
          <w:sz w:val="32"/>
          <w:szCs w:val="32"/>
          <w:lang w:eastAsia="zh-CN"/>
        </w:rPr>
        <w:t>申请</w:t>
      </w:r>
      <w:r>
        <w:rPr>
          <w:rFonts w:hint="default" w:ascii="Times New Roman" w:hAnsi="Times New Roman" w:eastAsia="黑体" w:cs="Times New Roman"/>
          <w:b/>
          <w:bCs/>
          <w:i w:val="0"/>
          <w:iCs w:val="0"/>
          <w:caps w:val="0"/>
          <w:color w:val="000000"/>
          <w:spacing w:val="0"/>
          <w:sz w:val="32"/>
          <w:szCs w:val="32"/>
        </w:rPr>
        <w:t>行政复议、</w:t>
      </w:r>
      <w:r>
        <w:rPr>
          <w:rFonts w:hint="eastAsia" w:ascii="Times New Roman" w:hAnsi="Times New Roman" w:eastAsia="黑体" w:cs="Times New Roman"/>
          <w:b/>
          <w:bCs/>
          <w:i w:val="0"/>
          <w:iCs w:val="0"/>
          <w:caps w:val="0"/>
          <w:color w:val="000000"/>
          <w:spacing w:val="0"/>
          <w:sz w:val="32"/>
          <w:szCs w:val="32"/>
          <w:lang w:eastAsia="zh-CN"/>
        </w:rPr>
        <w:t>提起</w:t>
      </w:r>
      <w:r>
        <w:rPr>
          <w:rFonts w:hint="default" w:ascii="Times New Roman" w:hAnsi="Times New Roman" w:eastAsia="黑体" w:cs="Times New Roman"/>
          <w:b/>
          <w:bCs/>
          <w:i w:val="0"/>
          <w:iCs w:val="0"/>
          <w:caps w:val="0"/>
          <w:color w:val="000000"/>
          <w:spacing w:val="0"/>
          <w:sz w:val="32"/>
          <w:szCs w:val="32"/>
        </w:rPr>
        <w:t>行政诉讼情况</w:t>
      </w:r>
    </w:p>
    <w:tbl>
      <w:tblPr>
        <w:tblStyle w:val="3"/>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Layout w:type="fixed"/>
        <w:tblCellMar>
          <w:top w:w="15" w:type="dxa"/>
          <w:left w:w="15" w:type="dxa"/>
          <w:bottom w:w="15" w:type="dxa"/>
          <w:right w:w="15" w:type="dxa"/>
        </w:tblCellMar>
      </w:tblPr>
      <w:tblGrid>
        <w:gridCol w:w="481"/>
        <w:gridCol w:w="519"/>
        <w:gridCol w:w="643"/>
        <w:gridCol w:w="643"/>
        <w:gridCol w:w="361"/>
        <w:gridCol w:w="643"/>
        <w:gridCol w:w="643"/>
        <w:gridCol w:w="643"/>
        <w:gridCol w:w="643"/>
        <w:gridCol w:w="365"/>
        <w:gridCol w:w="643"/>
        <w:gridCol w:w="643"/>
        <w:gridCol w:w="643"/>
        <w:gridCol w:w="644"/>
        <w:gridCol w:w="3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15" w:type="dxa"/>
            <w:left w:w="15" w:type="dxa"/>
            <w:bottom w:w="15" w:type="dxa"/>
            <w:right w:w="15" w:type="dxa"/>
          </w:tblCellMar>
        </w:tblPrEx>
        <w:trPr>
          <w:jc w:val="center"/>
        </w:trPr>
        <w:tc>
          <w:tcPr>
            <w:tcW w:w="1554" w:type="pct"/>
            <w:gridSpan w:val="5"/>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行政复议</w:t>
            </w:r>
          </w:p>
        </w:tc>
        <w:tc>
          <w:tcPr>
            <w:tcW w:w="3445" w:type="pct"/>
            <w:gridSpan w:val="10"/>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83" w:type="pct"/>
            <w:vMerge w:val="restar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结果维持</w:t>
            </w:r>
          </w:p>
        </w:tc>
        <w:tc>
          <w:tcPr>
            <w:tcW w:w="305" w:type="pct"/>
            <w:vMerge w:val="restar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结果 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正</w:t>
            </w:r>
          </w:p>
        </w:tc>
        <w:tc>
          <w:tcPr>
            <w:tcW w:w="377" w:type="pct"/>
            <w:vMerge w:val="restar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其他 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果</w:t>
            </w:r>
          </w:p>
        </w:tc>
        <w:tc>
          <w:tcPr>
            <w:tcW w:w="377" w:type="pct"/>
            <w:vMerge w:val="restar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尚未 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结</w:t>
            </w:r>
          </w:p>
        </w:tc>
        <w:tc>
          <w:tcPr>
            <w:tcW w:w="210" w:type="pct"/>
            <w:vMerge w:val="restar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总计</w:t>
            </w:r>
          </w:p>
        </w:tc>
        <w:tc>
          <w:tcPr>
            <w:tcW w:w="1722" w:type="pct"/>
            <w:gridSpan w:val="5"/>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未经复议直接起诉</w:t>
            </w:r>
          </w:p>
        </w:tc>
        <w:tc>
          <w:tcPr>
            <w:tcW w:w="1723" w:type="pct"/>
            <w:gridSpan w:val="5"/>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83" w:type="pct"/>
            <w:vMerge w:val="continue"/>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rPr>
                <w:rFonts w:hint="default" w:ascii="Times New Roman" w:hAnsi="Times New Roman" w:cs="Times New Roman"/>
                <w:color w:val="000000"/>
                <w:sz w:val="24"/>
                <w:szCs w:val="24"/>
              </w:rPr>
            </w:pPr>
          </w:p>
        </w:tc>
        <w:tc>
          <w:tcPr>
            <w:tcW w:w="305" w:type="pct"/>
            <w:vMerge w:val="continue"/>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rPr>
                <w:rFonts w:hint="default" w:ascii="Times New Roman" w:hAnsi="Times New Roman" w:cs="Times New Roman"/>
                <w:color w:val="000000"/>
                <w:sz w:val="24"/>
                <w:szCs w:val="24"/>
              </w:rPr>
            </w:pPr>
          </w:p>
        </w:tc>
        <w:tc>
          <w:tcPr>
            <w:tcW w:w="377" w:type="pct"/>
            <w:vMerge w:val="continue"/>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rPr>
                <w:rFonts w:hint="default" w:ascii="Times New Roman" w:hAnsi="Times New Roman" w:cs="Times New Roman"/>
                <w:color w:val="000000"/>
                <w:sz w:val="24"/>
                <w:szCs w:val="24"/>
              </w:rPr>
            </w:pPr>
          </w:p>
        </w:tc>
        <w:tc>
          <w:tcPr>
            <w:tcW w:w="377" w:type="pct"/>
            <w:vMerge w:val="continue"/>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rPr>
                <w:rFonts w:hint="default" w:ascii="Times New Roman" w:hAnsi="Times New Roman" w:cs="Times New Roman"/>
                <w:color w:val="000000"/>
                <w:sz w:val="24"/>
                <w:szCs w:val="24"/>
              </w:rPr>
            </w:pPr>
          </w:p>
        </w:tc>
        <w:tc>
          <w:tcPr>
            <w:tcW w:w="210" w:type="pct"/>
            <w:vMerge w:val="continue"/>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rPr>
                <w:rFonts w:hint="default" w:ascii="Times New Roman" w:hAnsi="Times New Roman" w:cs="Times New Roman"/>
                <w:color w:val="000000"/>
                <w:sz w:val="24"/>
                <w:szCs w:val="24"/>
              </w:rPr>
            </w:pPr>
          </w:p>
        </w:tc>
        <w:tc>
          <w:tcPr>
            <w:tcW w:w="377"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结果 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持</w:t>
            </w:r>
          </w:p>
        </w:tc>
        <w:tc>
          <w:tcPr>
            <w:tcW w:w="377"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结果 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正</w:t>
            </w:r>
          </w:p>
        </w:tc>
        <w:tc>
          <w:tcPr>
            <w:tcW w:w="377" w:type="pc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其他 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果</w:t>
            </w:r>
          </w:p>
        </w:tc>
        <w:tc>
          <w:tcPr>
            <w:tcW w:w="377" w:type="pc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尚未 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结</w:t>
            </w:r>
          </w:p>
        </w:tc>
        <w:tc>
          <w:tcPr>
            <w:tcW w:w="210" w:type="pc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总计</w:t>
            </w:r>
          </w:p>
        </w:tc>
        <w:tc>
          <w:tcPr>
            <w:tcW w:w="377" w:type="pc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结果 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持</w:t>
            </w:r>
          </w:p>
        </w:tc>
        <w:tc>
          <w:tcPr>
            <w:tcW w:w="377" w:type="pc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结果 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正</w:t>
            </w:r>
          </w:p>
        </w:tc>
        <w:tc>
          <w:tcPr>
            <w:tcW w:w="377" w:type="pc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其他 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果</w:t>
            </w:r>
          </w:p>
        </w:tc>
        <w:tc>
          <w:tcPr>
            <w:tcW w:w="378" w:type="pc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尚未 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结</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2" w:hRule="atLeast"/>
          <w:jc w:val="center"/>
        </w:trPr>
        <w:tc>
          <w:tcPr>
            <w:tcW w:w="283"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305"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377"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377"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210"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377"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c>
          <w:tcPr>
            <w:tcW w:w="377"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377"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377"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210"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377"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377"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377"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378"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211"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color w:val="000000"/>
                <w:sz w:val="24"/>
                <w:szCs w:val="24"/>
                <w:lang w:val="en-US" w:eastAsia="zh-CN"/>
              </w:rPr>
              <w:t>0</w:t>
            </w:r>
          </w:p>
        </w:tc>
      </w:tr>
    </w:tbl>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default" w:ascii="Times New Roman" w:hAnsi="Times New Roman" w:eastAsia="黑体" w:cs="Times New Roman"/>
          <w:b/>
          <w:bCs/>
          <w:i w:val="0"/>
          <w:iCs w:val="0"/>
          <w:caps w:val="0"/>
          <w:color w:val="000000"/>
          <w:spacing w:val="0"/>
          <w:sz w:val="32"/>
          <w:szCs w:val="32"/>
        </w:rPr>
      </w:pPr>
      <w:r>
        <w:rPr>
          <w:rFonts w:hint="eastAsia" w:ascii="Times New Roman" w:hAnsi="Times New Roman" w:eastAsia="黑体" w:cs="Times New Roman"/>
          <w:b/>
          <w:bCs/>
          <w:i w:val="0"/>
          <w:iCs w:val="0"/>
          <w:caps w:val="0"/>
          <w:color w:val="000000"/>
          <w:spacing w:val="0"/>
          <w:sz w:val="32"/>
          <w:szCs w:val="32"/>
          <w:lang w:eastAsia="zh-CN"/>
        </w:rPr>
        <w:t>五、</w:t>
      </w:r>
      <w:r>
        <w:rPr>
          <w:rFonts w:hint="default" w:ascii="Times New Roman" w:hAnsi="Times New Roman" w:eastAsia="黑体" w:cs="Times New Roman"/>
          <w:b/>
          <w:bCs/>
          <w:i w:val="0"/>
          <w:iCs w:val="0"/>
          <w:caps w:val="0"/>
          <w:color w:val="000000"/>
          <w:spacing w:val="0"/>
          <w:sz w:val="32"/>
          <w:szCs w:val="32"/>
        </w:rPr>
        <w:t>存在的主要问题及改进情况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rPr>
      </w:pPr>
      <w:r>
        <w:rPr>
          <w:rFonts w:hint="default" w:ascii="Times New Roman" w:hAnsi="Times New Roman" w:eastAsia="仿宋_GB2312" w:cs="Times New Roman"/>
          <w:b w:val="0"/>
          <w:bCs w:val="0"/>
          <w:i w:val="0"/>
          <w:iCs w:val="0"/>
          <w:caps w:val="0"/>
          <w:color w:val="000000"/>
          <w:spacing w:val="0"/>
          <w:sz w:val="32"/>
          <w:szCs w:val="32"/>
        </w:rPr>
        <w:t>我局信息公开工作虽然取得一定成效，但也存在着一些差距和不足。一是相关法律法规学习不够透彻；二是专业性不够强。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rPr>
      </w:pPr>
      <w:bookmarkStart w:id="0" w:name="_GoBack"/>
      <w:bookmarkEnd w:id="0"/>
      <w:r>
        <w:rPr>
          <w:rFonts w:hint="default" w:ascii="Times New Roman" w:hAnsi="Times New Roman" w:eastAsia="仿宋_GB2312" w:cs="Times New Roman"/>
          <w:b w:val="0"/>
          <w:bCs w:val="0"/>
          <w:i w:val="0"/>
          <w:iCs w:val="0"/>
          <w:caps w:val="0"/>
          <w:color w:val="000000"/>
          <w:spacing w:val="0"/>
          <w:sz w:val="32"/>
          <w:szCs w:val="32"/>
        </w:rPr>
        <w:t>改进情况：对《中华人民共和国政府信息公开条例》进行进一步的深入学习，全面理解，遵循公正、公平、合法、便民的原则；对信息公开工作进一步加大力度，力求做到全面、及时、准确；提高专业性，加大信息公开工作力度，积极参与上级部门组织的培训，对上传材料认真审核，严把法律关、政策关、文字关和保密关，确保政务公开及时、准确、规范，同时对一些个人信息做好保密工作，保障公众知情权、参与权、表达权和监督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default" w:ascii="Times New Roman" w:hAnsi="Times New Roman" w:eastAsia="黑体" w:cs="Times New Roman"/>
          <w:b/>
          <w:bCs/>
          <w:i w:val="0"/>
          <w:iCs w:val="0"/>
          <w:caps w:val="0"/>
          <w:color w:val="000000"/>
          <w:spacing w:val="0"/>
          <w:sz w:val="32"/>
          <w:szCs w:val="32"/>
        </w:rPr>
      </w:pPr>
      <w:r>
        <w:rPr>
          <w:rFonts w:hint="default" w:ascii="Times New Roman" w:hAnsi="Times New Roman" w:eastAsia="宋体" w:cs="Times New Roman"/>
          <w:b/>
          <w:bCs/>
          <w:i w:val="0"/>
          <w:iCs w:val="0"/>
          <w:caps w:val="0"/>
          <w:color w:val="000000"/>
          <w:spacing w:val="0"/>
          <w:sz w:val="28"/>
          <w:szCs w:val="28"/>
          <w:lang w:eastAsia="zh-CN"/>
        </w:rPr>
        <w:t>　　</w:t>
      </w:r>
      <w:r>
        <w:rPr>
          <w:rFonts w:hint="default" w:ascii="Times New Roman" w:hAnsi="Times New Roman" w:eastAsia="黑体" w:cs="Times New Roman"/>
          <w:b/>
          <w:bCs/>
          <w:i w:val="0"/>
          <w:iCs w:val="0"/>
          <w:caps w:val="0"/>
          <w:color w:val="000000"/>
          <w:spacing w:val="0"/>
          <w:sz w:val="32"/>
          <w:szCs w:val="32"/>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1、</w:t>
      </w:r>
      <w:r>
        <w:rPr>
          <w:rFonts w:hint="default" w:ascii="Times New Roman" w:hAnsi="Times New Roman" w:eastAsia="仿宋_GB2312" w:cs="Times New Roman"/>
          <w:color w:val="000000"/>
          <w:sz w:val="32"/>
          <w:szCs w:val="32"/>
          <w:lang w:eastAsia="zh-CN"/>
        </w:rPr>
        <w:t>收取信息处理费情况。</w:t>
      </w:r>
      <w:r>
        <w:rPr>
          <w:rFonts w:hint="default" w:ascii="Times New Roman" w:hAnsi="Times New Roman" w:eastAsia="仿宋_GB2312" w:cs="Times New Roman"/>
          <w:i w:val="0"/>
          <w:caps w:val="0"/>
          <w:color w:val="000000"/>
          <w:spacing w:val="0"/>
          <w:sz w:val="32"/>
          <w:szCs w:val="32"/>
        </w:rPr>
        <w:t>依据《国务院办公厅关于印发&lt;政府信息公开信息处理费管理办法&gt;的通知》（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2、落实上级年度政务公开工作要点情况。</w:t>
      </w:r>
      <w:r>
        <w:rPr>
          <w:rFonts w:hint="default" w:ascii="Times New Roman" w:hAnsi="Times New Roman" w:eastAsia="仿宋_GB2312" w:cs="Times New Roman"/>
          <w:kern w:val="0"/>
          <w:sz w:val="32"/>
          <w:szCs w:val="32"/>
          <w:lang w:val="en-US" w:eastAsia="zh-CN"/>
        </w:rPr>
        <w:t>按照《</w:t>
      </w:r>
      <w:r>
        <w:rPr>
          <w:rFonts w:hint="default" w:ascii="Times New Roman" w:hAnsi="Times New Roman" w:eastAsia="仿宋_GB2312" w:cs="Times New Roman"/>
          <w:kern w:val="0"/>
          <w:sz w:val="32"/>
          <w:szCs w:val="32"/>
          <w:lang w:val="en-US" w:eastAsia="zh-CN"/>
        </w:rPr>
        <w:t>淄川区人民政府办公室关于印发淄川区2021年政务公开工作要点的通知</w:t>
      </w:r>
      <w:r>
        <w:rPr>
          <w:rFonts w:hint="default" w:ascii="Times New Roman" w:hAnsi="Times New Roman" w:eastAsia="仿宋_GB2312" w:cs="Times New Roman"/>
          <w:kern w:val="0"/>
          <w:sz w:val="32"/>
          <w:szCs w:val="32"/>
          <w:lang w:val="en-US" w:eastAsia="zh-CN"/>
        </w:rPr>
        <w:t>》文件要求，落实好任务清单，重点做好涉农补贴和乡村振兴专栏。按照《淄川区涉农补贴领域基层政务公开标准目录》设立涉农补贴专栏，对资金申请政策、申请指南、补贴结果信息及时公开。开设乡村振兴专栏，对国家、省、市政策文件及时转载，对资金分配计划、分配结果、项目安排进行了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_GB2312" w:cs="Times New Roman"/>
          <w:i w:val="0"/>
          <w:caps w:val="0"/>
          <w:color w:val="000000"/>
          <w:spacing w:val="0"/>
          <w:sz w:val="32"/>
          <w:szCs w:val="32"/>
          <w:lang w:val="en-US"/>
        </w:rPr>
      </w:pPr>
      <w:r>
        <w:rPr>
          <w:rFonts w:hint="default" w:ascii="Times New Roman" w:hAnsi="Times New Roman" w:eastAsia="仿宋_GB2312" w:cs="Times New Roman"/>
          <w:i w:val="0"/>
          <w:caps w:val="0"/>
          <w:color w:val="000000"/>
          <w:spacing w:val="0"/>
          <w:sz w:val="32"/>
          <w:szCs w:val="32"/>
          <w:lang w:val="en-US" w:eastAsia="zh-CN"/>
        </w:rPr>
        <w:t>3、建议提案办理结果公开情况。</w:t>
      </w:r>
      <w:r>
        <w:rPr>
          <w:rFonts w:hint="default" w:ascii="Times New Roman" w:hAnsi="Times New Roman" w:eastAsia="仿宋_GB2312" w:cs="Times New Roman"/>
          <w:i w:val="0"/>
          <w:caps w:val="0"/>
          <w:color w:val="000000"/>
          <w:spacing w:val="0"/>
          <w:sz w:val="32"/>
          <w:szCs w:val="32"/>
          <w:lang w:val="en-US"/>
        </w:rPr>
        <w:t>2021</w:t>
      </w:r>
      <w:r>
        <w:rPr>
          <w:rFonts w:hint="default" w:ascii="Times New Roman" w:hAnsi="Times New Roman" w:eastAsia="仿宋_GB2312" w:cs="Times New Roman"/>
          <w:i w:val="0"/>
          <w:caps w:val="0"/>
          <w:color w:val="000000"/>
          <w:spacing w:val="0"/>
          <w:sz w:val="32"/>
          <w:szCs w:val="32"/>
        </w:rPr>
        <w:t>年，我局共收到人大代表建议1件，政协委员提案7件，在办理过程中，克服“重答复、轻落实”的倾向，把着力点放在推动解决实际问题上，多次与人大代表、政协委员以及有关镇办对接，加强与代表委员们的沟通协商，做到了建议提案答复率</w:t>
      </w:r>
      <w:r>
        <w:rPr>
          <w:rFonts w:hint="default" w:ascii="Times New Roman" w:hAnsi="Times New Roman" w:eastAsia="仿宋_GB2312" w:cs="Times New Roman"/>
          <w:i w:val="0"/>
          <w:caps w:val="0"/>
          <w:color w:val="000000"/>
          <w:spacing w:val="0"/>
          <w:sz w:val="32"/>
          <w:szCs w:val="32"/>
          <w:lang w:val="en-US"/>
        </w:rPr>
        <w:t>100%</w:t>
      </w:r>
      <w:r>
        <w:rPr>
          <w:rFonts w:hint="default" w:ascii="Times New Roman" w:hAnsi="Times New Roman" w:eastAsia="仿宋_GB2312" w:cs="Times New Roman"/>
          <w:i w:val="0"/>
          <w:caps w:val="0"/>
          <w:color w:val="000000"/>
          <w:spacing w:val="0"/>
          <w:sz w:val="32"/>
          <w:szCs w:val="32"/>
        </w:rPr>
        <w:t>，委员满意率</w:t>
      </w:r>
      <w:r>
        <w:rPr>
          <w:rFonts w:hint="default" w:ascii="Times New Roman" w:hAnsi="Times New Roman" w:eastAsia="仿宋_GB2312" w:cs="Times New Roman"/>
          <w:i w:val="0"/>
          <w:caps w:val="0"/>
          <w:color w:val="000000"/>
          <w:spacing w:val="0"/>
          <w:sz w:val="32"/>
          <w:szCs w:val="32"/>
          <w:lang w:val="en-US"/>
        </w:rPr>
        <w:t>100%</w:t>
      </w:r>
      <w:r>
        <w:rPr>
          <w:rFonts w:hint="default" w:ascii="Times New Roman" w:hAnsi="Times New Roman" w:eastAsia="仿宋_GB2312" w:cs="Times New Roman"/>
          <w:i w:val="0"/>
          <w:caps w:val="0"/>
          <w:color w:val="000000"/>
          <w:spacing w:val="0"/>
          <w:sz w:val="32"/>
          <w:szCs w:val="32"/>
        </w:rPr>
        <w:t>。</w:t>
      </w:r>
      <w:r>
        <w:rPr>
          <w:rFonts w:hint="default" w:ascii="Times New Roman" w:hAnsi="Times New Roman" w:eastAsia="仿宋_GB2312" w:cs="Times New Roman"/>
          <w:i w:val="0"/>
          <w:caps w:val="0"/>
          <w:color w:val="000000"/>
          <w:spacing w:val="0"/>
          <w:sz w:val="32"/>
          <w:szCs w:val="32"/>
          <w:lang w:val="en-US"/>
        </w:rPr>
        <w:t>未有上级建议提案办理任务。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淄博市淄川区农业农村局</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2022年1月19日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96C86"/>
    <w:rsid w:val="01BD557C"/>
    <w:rsid w:val="052125DE"/>
    <w:rsid w:val="0BB23087"/>
    <w:rsid w:val="13D36A1A"/>
    <w:rsid w:val="1409529D"/>
    <w:rsid w:val="18484AED"/>
    <w:rsid w:val="18AD646D"/>
    <w:rsid w:val="1E0351E1"/>
    <w:rsid w:val="226715E5"/>
    <w:rsid w:val="26DF3752"/>
    <w:rsid w:val="2D0A7B24"/>
    <w:rsid w:val="319D5718"/>
    <w:rsid w:val="323B06E2"/>
    <w:rsid w:val="4C481E13"/>
    <w:rsid w:val="5052136F"/>
    <w:rsid w:val="55291F8C"/>
    <w:rsid w:val="5D772590"/>
    <w:rsid w:val="6ED621C1"/>
    <w:rsid w:val="70D9386B"/>
    <w:rsid w:val="7612020B"/>
    <w:rsid w:val="7FF17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银杏果</cp:lastModifiedBy>
  <cp:lastPrinted>2021-12-21T01:34:00Z</cp:lastPrinted>
  <dcterms:modified xsi:type="dcterms:W3CDTF">2022-01-27T07:13:15Z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8E32BDAD499149D8B40031A09A63E450</vt:lpwstr>
  </property>
</Properties>
</file>