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淄川区人力资源和社会保障局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2020年政府信息公开工作年度报告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line="420" w:lineRule="atLeast"/>
        <w:ind w:right="0" w:right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line="420" w:lineRule="atLeast"/>
        <w:ind w:right="0" w:righ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总体情况</w:t>
      </w:r>
      <w:r>
        <w:rPr>
          <w:rFonts w:hint="default" w:ascii="Times New Roman" w:hAnsi="Times New Roman" w:eastAsia="黑体" w:cs="Times New Roman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，根据《中华人民共和国政府信息公开条例》的相关规定，按照区委、区政府的部署要求，区人社局立足实际，围绕群众关心关切的重点问题，抓好政府信息公开工作，对政府信息公开的范围、内容、形式等做了进一步的明确，确保政府信息公开工作顺利开展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主动公开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2020年共主动公开各类信息232条。</w:t>
      </w:r>
      <w:r>
        <w:rPr>
          <w:rFonts w:hint="eastAsia" w:ascii="仿宋_GB2312" w:hAnsi="仿宋_GB2312" w:eastAsia="仿宋_GB2312" w:cs="仿宋_GB2312"/>
          <w:sz w:val="32"/>
          <w:szCs w:val="32"/>
        </w:rPr>
        <w:t>共接收人大代表建议办理提案1件，政协委员建议办理提案2件，回复率100%，并在政府信息网站进行公开。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（二）依申请公开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本年度，我局无依申请公开信息情况。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（三）政府信息管理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成立政务信息公开小组，专项负责政府信息公开工作，对需公开信息定期进行更新和维护，保证了信息公开的及时性、有效性。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（四）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政府信息公开</w:t>
      </w:r>
      <w:r>
        <w:rPr>
          <w:rFonts w:hint="eastAsia" w:ascii="楷体" w:hAnsi="楷体" w:eastAsia="楷体" w:cs="楷体"/>
          <w:sz w:val="32"/>
          <w:szCs w:val="32"/>
        </w:rPr>
        <w:t>平台建设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我局按照要求，组织专人负责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区政府网站区人力资源和社会保障局政府信息公开平台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的管理使用，及时进行政务公开。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（五）监督保障情况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根据政务信息管理监督考核实施细则，按照平时加强监管，定期督促检查，年终考核的方式，对我局政务信息公开、政务信息报送、采用情况进行监督考核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892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1980"/>
        <w:gridCol w:w="2025"/>
        <w:gridCol w:w="22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信息内容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本年新制作数量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本年新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公开数量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对外公开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总数量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规章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规范性文件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信息内容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上一年项目数量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本年增</w:t>
            </w:r>
            <w:r>
              <w:rPr>
                <w:rFonts w:hint="default" w:ascii="Times New Roman" w:hAnsi="Times New Roman" w:cs="Times New Roman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</w:rPr>
              <w:t>减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行政许可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-1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其他对外管理服务事项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信息内容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上一年项目数量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本年增</w:t>
            </w:r>
            <w:r>
              <w:rPr>
                <w:rFonts w:hint="default" w:ascii="Times New Roman" w:hAnsi="Times New Roman" w:cs="Times New Roman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</w:rPr>
              <w:t>减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行政处罚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25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-11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行政强制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信息内容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上一年项目数量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本年增</w:t>
            </w:r>
            <w:r>
              <w:rPr>
                <w:rFonts w:hint="default" w:ascii="Times New Roman" w:hAnsi="Times New Roman" w:cs="Times New Roman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</w:rPr>
              <w:t>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行政事业性收费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3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第二十条第（九）项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信息内容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采购项目数量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采购总金额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政府集中采购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9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48279</w:t>
            </w:r>
            <w:r>
              <w:rPr>
                <w:rFonts w:hint="default" w:ascii="Times New Roman" w:hAnsi="Times New Roman" w:cs="Times New Roman"/>
              </w:rPr>
              <w:t>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 </w:t>
      </w: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3"/>
        <w:tblW w:w="918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558"/>
        <w:gridCol w:w="2694"/>
        <w:gridCol w:w="569"/>
        <w:gridCol w:w="539"/>
        <w:gridCol w:w="569"/>
        <w:gridCol w:w="704"/>
        <w:gridCol w:w="704"/>
        <w:gridCol w:w="569"/>
        <w:gridCol w:w="7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（本列数据的勾稽关系为：第一项加第二项之和，等于第三项加第四项之和）</w:t>
            </w:r>
          </w:p>
        </w:tc>
        <w:tc>
          <w:tcPr>
            <w:tcW w:w="4365" w:type="dxa"/>
            <w:gridSpan w:val="7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自然人</w:t>
            </w:r>
          </w:p>
        </w:tc>
        <w:tc>
          <w:tcPr>
            <w:tcW w:w="3090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法人或其他组织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商业企业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科研机构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社会公益组织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法律服务机构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</w:t>
            </w: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一、本年新收政府信息公开申请数量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二、上年结转政府信息公开申请数量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三、本年度办理结果</w:t>
            </w:r>
          </w:p>
        </w:tc>
        <w:tc>
          <w:tcPr>
            <w:tcW w:w="4260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（一）予以公开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（二）部分公开（区分处理的，只计这一情形，不计其他情形）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（三）不予公开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</w:rPr>
              <w:t>．属于国家秘密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</w:rPr>
              <w:t>．其他法律行政法规禁止公开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</w:rPr>
              <w:t>．危及“三安全一稳定”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</w:rPr>
              <w:t>．保护第三方合法权益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</w:rPr>
              <w:t>．属于三类内部事务信息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</w:rPr>
              <w:t>．属于四类过程性信息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</w:rPr>
              <w:t>．属于行政执法案卷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</w:rPr>
              <w:t>．属于行政查询事项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（四）无法提供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</w:rPr>
              <w:t>．本机关不掌握相关政府信息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</w:rPr>
              <w:t>．没有现成信息需要另行制作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</w:rPr>
              <w:t>．补正后申请内容仍不明确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（五）不予处理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</w:rPr>
              <w:t>．信访举报投诉类申请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</w:rPr>
              <w:t>．重复申请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</w:rPr>
              <w:t>．要求提供公开出版物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</w:rPr>
              <w:t>．无正当理由大量反复申请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</w:rPr>
              <w:t>．要求行政机关确认或重新出具已获取信息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 </w:t>
            </w:r>
          </w:p>
        </w:tc>
        <w:tc>
          <w:tcPr>
            <w:tcW w:w="4260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（六）其他处理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 </w:t>
            </w:r>
          </w:p>
        </w:tc>
        <w:tc>
          <w:tcPr>
            <w:tcW w:w="4260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（七）总计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四、结转下年度继续办理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  </w:t>
      </w: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3"/>
        <w:tblW w:w="847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0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行政复议</w:t>
            </w:r>
          </w:p>
        </w:tc>
        <w:tc>
          <w:tcPr>
            <w:tcW w:w="5670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结果维持</w:t>
            </w:r>
          </w:p>
        </w:tc>
        <w:tc>
          <w:tcPr>
            <w:tcW w:w="5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结果纠正</w:t>
            </w:r>
          </w:p>
        </w:tc>
        <w:tc>
          <w:tcPr>
            <w:tcW w:w="5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其他结果</w:t>
            </w:r>
          </w:p>
        </w:tc>
        <w:tc>
          <w:tcPr>
            <w:tcW w:w="5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尚未审结</w:t>
            </w:r>
          </w:p>
        </w:tc>
        <w:tc>
          <w:tcPr>
            <w:tcW w:w="5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总计</w:t>
            </w:r>
          </w:p>
        </w:tc>
        <w:tc>
          <w:tcPr>
            <w:tcW w:w="28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结果维持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结果纠正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其他结果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尚未审结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总计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结果维持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结果纠正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其他结果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尚未审结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420" w:lineRule="atLeast"/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对照服务政府、法治政府建设的要求，主动公开政府信息的意识还需要进一步提高，政府信息公开工作的配套制度和工作机制还需要进一步完善，方便公众获取政府信息的形式还需要进一步改进。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针对存在的问题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主要做好以下工作：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一是加强培训和教育，进一步提升全体干部职工的政府信息公开意识和业务水平。提高服务意识，不断探索、丰富内容、创新形式，确保政府信息及时全面的公开。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二是进一步提高对政府信息公开的认识，按照“谁制作、谁发布，谁审查、谁负责”的原则，规范信息公开程序，推进政务公开标准化、规范化建设。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三是进一步加强对全局政府信息公开工作的指导和监督，严格考核制度，督促机关各科室及时提供政务信息，及时发布业务信息。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四是进一步加强载体建设。及时维护好区政府网站相关栏目，进一步完善和优化栏目设置，增强服务功能，方便公众获取和检索相关政府信息。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无其他需要报告的事项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FADCBA"/>
    <w:multiLevelType w:val="singleLevel"/>
    <w:tmpl w:val="DEFADCB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37DD0"/>
    <w:rsid w:val="5EA751AE"/>
    <w:rsid w:val="71A3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2021-02-02T07:16:00Z</dcterms:created>
  <dc:creator>徐汪</dc:creator>
  <cp:lastModifiedBy>银杏果</cp:lastModifiedBy>
  <dcterms:modified xsi:type="dcterms:W3CDTF">2022-01-25T08:21:54Z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