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jc w:val="center"/>
        <w:rPr>
          <w:rFonts w:ascii="Times New Roman" w:hAnsi="Times New Roman" w:eastAsia="方正小标宋简体"/>
          <w:bCs/>
          <w:spacing w:val="-17"/>
          <w:sz w:val="44"/>
          <w:szCs w:val="44"/>
          <w:shd w:val="clear" w:color="auto" w:fill="FFFFFF"/>
        </w:rPr>
      </w:pPr>
      <w:r>
        <w:rPr>
          <w:rFonts w:hint="eastAsia" w:ascii="Times New Roman" w:hAnsi="Times New Roman" w:eastAsia="方正小标宋简体"/>
          <w:bCs/>
          <w:spacing w:val="-17"/>
          <w:sz w:val="44"/>
          <w:szCs w:val="44"/>
          <w:shd w:val="clear" w:color="auto" w:fill="FFFFFF"/>
          <w:lang w:eastAsia="zh-CN"/>
        </w:rPr>
        <w:t>淄博市</w:t>
      </w:r>
      <w:r>
        <w:rPr>
          <w:rFonts w:hint="eastAsia" w:ascii="Times New Roman" w:hAnsi="Times New Roman" w:eastAsia="方正小标宋简体"/>
          <w:bCs/>
          <w:spacing w:val="-17"/>
          <w:sz w:val="44"/>
          <w:szCs w:val="44"/>
          <w:shd w:val="clear" w:color="auto" w:fill="FFFFFF"/>
        </w:rPr>
        <w:t>淄川区人力资源和社会保障</w:t>
      </w:r>
      <w:r>
        <w:rPr>
          <w:rFonts w:ascii="Times New Roman" w:hAnsi="Times New Roman" w:eastAsia="方正小标宋简体"/>
          <w:bCs/>
          <w:spacing w:val="-17"/>
          <w:sz w:val="44"/>
          <w:szCs w:val="44"/>
          <w:shd w:val="clear" w:color="auto" w:fill="FFFFFF"/>
        </w:rPr>
        <w:t>局</w:t>
      </w:r>
    </w:p>
    <w:p>
      <w:pPr>
        <w:pStyle w:val="2"/>
        <w:widowControl/>
        <w:shd w:val="clear" w:color="auto" w:fill="FFFFFF"/>
        <w:spacing w:before="0" w:beforeAutospacing="0" w:after="0" w:afterAutospacing="0" w:line="560" w:lineRule="exact"/>
        <w:jc w:val="center"/>
        <w:rPr>
          <w:rFonts w:ascii="Times New Roman" w:hAnsi="Times New Roman" w:eastAsia="方正小标宋简体"/>
          <w:bCs/>
          <w:sz w:val="44"/>
          <w:szCs w:val="44"/>
          <w:shd w:val="clear" w:color="auto" w:fill="FFFFFF"/>
        </w:rPr>
      </w:pPr>
      <w:r>
        <w:rPr>
          <w:rFonts w:ascii="Times New Roman" w:hAnsi="Times New Roman" w:eastAsia="方正小标宋简体"/>
          <w:bCs/>
          <w:spacing w:val="-17"/>
          <w:sz w:val="44"/>
          <w:szCs w:val="44"/>
          <w:shd w:val="clear" w:color="auto" w:fill="FFFFFF"/>
        </w:rPr>
        <w:t>2023年政府信息公开工作</w:t>
      </w:r>
      <w:r>
        <w:rPr>
          <w:rFonts w:ascii="Times New Roman" w:hAnsi="Times New Roman" w:eastAsia="方正小标宋简体"/>
          <w:bCs/>
          <w:sz w:val="44"/>
          <w:szCs w:val="44"/>
          <w:shd w:val="clear" w:color="auto" w:fill="FFFFFF"/>
        </w:rPr>
        <w:t>年度报告</w:t>
      </w:r>
    </w:p>
    <w:p>
      <w:pPr>
        <w:spacing w:line="560" w:lineRule="exact"/>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本年度报告中所列数据的统计期限自2023年1月1日起，至2023年12月31日止。如对报告内容有疑问，请与</w:t>
      </w:r>
      <w:r>
        <w:rPr>
          <w:rFonts w:hint="eastAsia" w:ascii="Times New Roman" w:hAnsi="Times New Roman" w:eastAsia="仿宋_GB2312"/>
          <w:sz w:val="32"/>
          <w:szCs w:val="32"/>
        </w:rPr>
        <w:t>淄川区人力资源和社会保障</w:t>
      </w:r>
      <w:r>
        <w:rPr>
          <w:rFonts w:ascii="Times New Roman" w:hAnsi="Times New Roman" w:eastAsia="仿宋_GB2312"/>
          <w:sz w:val="32"/>
          <w:szCs w:val="32"/>
        </w:rPr>
        <w:t>局联系（地址：</w:t>
      </w:r>
      <w:r>
        <w:rPr>
          <w:rFonts w:hint="eastAsia" w:ascii="Times New Roman" w:hAnsi="Times New Roman" w:eastAsia="仿宋_GB2312"/>
          <w:sz w:val="32"/>
          <w:szCs w:val="32"/>
        </w:rPr>
        <w:t>淄川区般阳路266号</w:t>
      </w:r>
      <w:r>
        <w:rPr>
          <w:rFonts w:ascii="Times New Roman" w:hAnsi="Times New Roman" w:eastAsia="仿宋_GB2312"/>
          <w:sz w:val="32"/>
          <w:szCs w:val="32"/>
        </w:rPr>
        <w:t>；邮编：</w:t>
      </w:r>
      <w:r>
        <w:rPr>
          <w:rFonts w:hint="eastAsia" w:ascii="Times New Roman" w:hAnsi="Times New Roman" w:eastAsia="仿宋_GB2312"/>
          <w:sz w:val="32"/>
          <w:szCs w:val="32"/>
        </w:rPr>
        <w:t>255100</w:t>
      </w:r>
      <w:r>
        <w:rPr>
          <w:rFonts w:ascii="Times New Roman" w:hAnsi="Times New Roman" w:eastAsia="仿宋_GB2312"/>
          <w:sz w:val="32"/>
          <w:szCs w:val="32"/>
        </w:rPr>
        <w:t>；电话：0533-</w:t>
      </w:r>
      <w:r>
        <w:rPr>
          <w:rFonts w:hint="eastAsia" w:ascii="Times New Roman" w:hAnsi="Times New Roman" w:eastAsia="仿宋_GB2312"/>
          <w:sz w:val="32"/>
          <w:szCs w:val="32"/>
        </w:rPr>
        <w:t>5281124</w:t>
      </w:r>
      <w:r>
        <w:rPr>
          <w:rFonts w:ascii="Times New Roman" w:hAnsi="Times New Roman" w:eastAsia="仿宋_GB2312"/>
          <w:sz w:val="32"/>
          <w:szCs w:val="32"/>
        </w:rPr>
        <w:t>；电子邮箱：</w:t>
      </w:r>
      <w:r>
        <w:fldChar w:fldCharType="begin"/>
      </w:r>
      <w:r>
        <w:instrText xml:space="preserve"> HYPERLINK "mailto:zcqrsj@zb.shandong.cn）。" </w:instrText>
      </w:r>
      <w:r>
        <w:fldChar w:fldCharType="separate"/>
      </w:r>
      <w:r>
        <w:rPr>
          <w:rStyle w:val="5"/>
          <w:rFonts w:hint="eastAsia" w:ascii="Times New Roman" w:hAnsi="Times New Roman" w:eastAsia="仿宋_GB2312"/>
          <w:color w:val="auto"/>
          <w:sz w:val="32"/>
          <w:szCs w:val="32"/>
        </w:rPr>
        <w:t>zcqrsj</w:t>
      </w:r>
      <w:r>
        <w:rPr>
          <w:rStyle w:val="5"/>
          <w:rFonts w:ascii="Times New Roman" w:hAnsi="Times New Roman" w:eastAsia="仿宋_GB2312"/>
          <w:color w:val="auto"/>
          <w:sz w:val="32"/>
          <w:szCs w:val="32"/>
        </w:rPr>
        <w:t>@</w:t>
      </w:r>
      <w:r>
        <w:rPr>
          <w:rStyle w:val="5"/>
          <w:rFonts w:hint="eastAsia" w:ascii="Times New Roman" w:hAnsi="Times New Roman" w:eastAsia="仿宋_GB2312"/>
          <w:color w:val="auto"/>
          <w:sz w:val="32"/>
          <w:szCs w:val="32"/>
        </w:rPr>
        <w:t>zb.shandong.cn</w:t>
      </w:r>
      <w:r>
        <w:rPr>
          <w:rStyle w:val="5"/>
          <w:rFonts w:ascii="Times New Roman" w:hAnsi="Times New Roman" w:eastAsia="仿宋_GB2312"/>
          <w:color w:val="auto"/>
          <w:sz w:val="32"/>
          <w:szCs w:val="32"/>
        </w:rPr>
        <w:t>）。</w:t>
      </w:r>
      <w:r>
        <w:rPr>
          <w:rStyle w:val="5"/>
          <w:rFonts w:ascii="Times New Roman" w:hAnsi="Times New Roman" w:eastAsia="仿宋_GB2312"/>
          <w:color w:val="auto"/>
          <w:sz w:val="32"/>
          <w:szCs w:val="32"/>
        </w:rPr>
        <w:fldChar w:fldCharType="end"/>
      </w:r>
    </w:p>
    <w:p>
      <w:pPr>
        <w:pStyle w:val="2"/>
        <w:widowControl/>
        <w:shd w:val="clear" w:color="auto" w:fill="FFFFFF"/>
        <w:spacing w:before="0" w:beforeAutospacing="0" w:after="0" w:afterAutospacing="0" w:line="560" w:lineRule="exact"/>
        <w:ind w:firstLine="420"/>
        <w:jc w:val="both"/>
        <w:rPr>
          <w:rFonts w:ascii="黑体" w:hAnsi="黑体" w:eastAsia="黑体" w:cs="黑体"/>
          <w:sz w:val="32"/>
          <w:szCs w:val="32"/>
        </w:rPr>
      </w:pPr>
      <w:r>
        <w:rPr>
          <w:rFonts w:hint="eastAsia" w:ascii="黑体" w:hAnsi="黑体" w:eastAsia="黑体" w:cs="黑体"/>
          <w:b/>
          <w:sz w:val="32"/>
          <w:szCs w:val="32"/>
          <w:shd w:val="clear" w:color="auto" w:fill="FFFFFF"/>
        </w:rPr>
        <w:t>一、总体情况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年，淄川区人力资源和社会保障局坚持以习近平新时代中国特色社会主义思想为指导，认真落实《中华人民共和国政府信息公开条例》等相关规定和国家、省、市、区部署的各项公开任务，</w:t>
      </w:r>
      <w:r>
        <w:rPr>
          <w:rFonts w:hint="eastAsia" w:ascii="Times New Roman" w:hAnsi="Times New Roman" w:eastAsia="仿宋_GB2312"/>
          <w:sz w:val="32"/>
          <w:szCs w:val="32"/>
        </w:rPr>
        <w:t>通过积极</w:t>
      </w:r>
      <w:r>
        <w:rPr>
          <w:rFonts w:ascii="Times New Roman" w:hAnsi="Times New Roman" w:eastAsia="仿宋_GB2312"/>
          <w:sz w:val="32"/>
          <w:szCs w:val="32"/>
        </w:rPr>
        <w:t>落实稳就业</w:t>
      </w:r>
      <w:r>
        <w:rPr>
          <w:rFonts w:hint="eastAsia" w:ascii="Times New Roman" w:hAnsi="Times New Roman" w:eastAsia="仿宋_GB2312"/>
          <w:sz w:val="32"/>
          <w:szCs w:val="32"/>
        </w:rPr>
        <w:t>、社保</w:t>
      </w:r>
      <w:r>
        <w:rPr>
          <w:rFonts w:ascii="Times New Roman" w:hAnsi="Times New Roman" w:eastAsia="仿宋_GB2312"/>
          <w:sz w:val="32"/>
          <w:szCs w:val="32"/>
        </w:rPr>
        <w:t>政策、全力提升人才队伍建设水平</w:t>
      </w:r>
      <w:r>
        <w:rPr>
          <w:rFonts w:hint="eastAsia" w:ascii="Times New Roman" w:hAnsi="Times New Roman" w:eastAsia="仿宋_GB2312"/>
          <w:sz w:val="32"/>
          <w:szCs w:val="32"/>
        </w:rPr>
        <w:t>、推进劳动领域和谐稳定</w:t>
      </w:r>
      <w:r>
        <w:rPr>
          <w:rFonts w:ascii="Times New Roman" w:hAnsi="Times New Roman" w:eastAsia="仿宋_GB2312"/>
          <w:sz w:val="32"/>
          <w:szCs w:val="32"/>
        </w:rPr>
        <w:t>等措施</w:t>
      </w:r>
      <w:r>
        <w:rPr>
          <w:rFonts w:hint="eastAsia" w:ascii="Times New Roman" w:hAnsi="Times New Roman" w:eastAsia="仿宋_GB2312"/>
          <w:sz w:val="32"/>
          <w:szCs w:val="32"/>
        </w:rPr>
        <w:t>，</w:t>
      </w:r>
      <w:r>
        <w:rPr>
          <w:rFonts w:ascii="Times New Roman" w:hAnsi="Times New Roman" w:eastAsia="仿宋_GB2312"/>
          <w:sz w:val="32"/>
          <w:szCs w:val="32"/>
        </w:rPr>
        <w:t>持续深入推进政务公开，严格政府信息公开管理制度、规范政府信息公开内容，全面落实条例各项公开要求，扎实推进人社事业高质量发展。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1.主动公开方面</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按照区人社局主动公开目录所涉栏目，分别公开机构职能、政策文件及解读、规划计划、部门会议、建议提案办理、双随机一公开、行政执法、稳岗就业、社会保险等各项信息</w:t>
      </w:r>
      <w:r>
        <w:rPr>
          <w:rFonts w:hint="eastAsia" w:ascii="Times New Roman" w:hAnsi="Times New Roman" w:eastAsia="仿宋_GB2312"/>
          <w:sz w:val="32"/>
          <w:szCs w:val="32"/>
        </w:rPr>
        <w:t>4</w:t>
      </w:r>
      <w:r>
        <w:rPr>
          <w:rFonts w:ascii="Times New Roman" w:hAnsi="Times New Roman" w:eastAsia="仿宋_GB2312"/>
          <w:sz w:val="32"/>
          <w:szCs w:val="32"/>
        </w:rPr>
        <w:t>09条。</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2.依申请公开方面</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本年度，我</w:t>
      </w:r>
      <w:r>
        <w:rPr>
          <w:rFonts w:hint="eastAsia" w:ascii="Times New Roman" w:hAnsi="Times New Roman" w:eastAsia="仿宋_GB2312"/>
          <w:sz w:val="32"/>
          <w:szCs w:val="32"/>
        </w:rPr>
        <w:t>局收到政府信息公开</w:t>
      </w:r>
      <w:r>
        <w:rPr>
          <w:rFonts w:ascii="Times New Roman" w:hAnsi="Times New Roman" w:eastAsia="仿宋_GB2312"/>
          <w:sz w:val="32"/>
          <w:szCs w:val="32"/>
        </w:rPr>
        <w:t>申请</w:t>
      </w:r>
      <w:r>
        <w:rPr>
          <w:rFonts w:hint="eastAsia" w:ascii="Times New Roman" w:hAnsi="Times New Roman" w:eastAsia="仿宋_GB2312"/>
          <w:sz w:val="32"/>
          <w:szCs w:val="32"/>
        </w:rPr>
        <w:t>书</w:t>
      </w:r>
      <w:r>
        <w:rPr>
          <w:rFonts w:ascii="Times New Roman" w:hAnsi="Times New Roman" w:eastAsia="仿宋_GB2312"/>
          <w:sz w:val="32"/>
          <w:szCs w:val="32"/>
        </w:rPr>
        <w:t>2件，</w:t>
      </w:r>
      <w:r>
        <w:rPr>
          <w:rFonts w:hint="eastAsia" w:ascii="Times New Roman" w:hAnsi="Times New Roman" w:eastAsia="仿宋_GB2312"/>
          <w:sz w:val="32"/>
          <w:szCs w:val="32"/>
        </w:rPr>
        <w:t>全部</w:t>
      </w:r>
      <w:r>
        <w:rPr>
          <w:rFonts w:ascii="Times New Roman" w:hAnsi="Times New Roman" w:eastAsia="仿宋_GB2312"/>
          <w:sz w:val="32"/>
          <w:szCs w:val="32"/>
        </w:rPr>
        <w:t>依法依规给予了答复，未发生行政复议和行政诉讼情况。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政府信息管理情况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区人社局进一步规范发布范围和发布程序。同时，按照</w:t>
      </w:r>
      <w:r>
        <w:rPr>
          <w:rFonts w:hint="eastAsia" w:ascii="Times New Roman" w:hAnsi="Times New Roman" w:eastAsia="仿宋_GB2312"/>
          <w:sz w:val="32"/>
          <w:szCs w:val="32"/>
        </w:rPr>
        <w:t>人社</w:t>
      </w:r>
      <w:r>
        <w:rPr>
          <w:rFonts w:ascii="Times New Roman" w:hAnsi="Times New Roman" w:eastAsia="仿宋_GB2312"/>
          <w:sz w:val="32"/>
          <w:szCs w:val="32"/>
        </w:rPr>
        <w:t>局</w:t>
      </w:r>
      <w:r>
        <w:rPr>
          <w:rFonts w:hint="eastAsia" w:ascii="Times New Roman" w:hAnsi="Times New Roman" w:eastAsia="仿宋_GB2312"/>
          <w:sz w:val="32"/>
          <w:szCs w:val="32"/>
        </w:rPr>
        <w:t>本年度政务公开工作台账</w:t>
      </w:r>
      <w:r>
        <w:rPr>
          <w:rFonts w:ascii="Times New Roman" w:hAnsi="Times New Roman" w:eastAsia="仿宋_GB2312"/>
          <w:sz w:val="32"/>
          <w:szCs w:val="32"/>
        </w:rPr>
        <w:t>，及时调整主动公开基本目录并通过淄川区政府政务公开网站发布，持续做好文件管理</w:t>
      </w:r>
      <w:r>
        <w:rPr>
          <w:rFonts w:hint="eastAsia" w:ascii="Times New Roman" w:hAnsi="Times New Roman" w:eastAsia="仿宋_GB2312"/>
          <w:sz w:val="32"/>
          <w:szCs w:val="32"/>
        </w:rPr>
        <w:t>、审核、发布</w:t>
      </w:r>
      <w:r>
        <w:rPr>
          <w:rFonts w:ascii="Times New Roman" w:hAnsi="Times New Roman" w:eastAsia="仿宋_GB2312"/>
          <w:sz w:val="32"/>
          <w:szCs w:val="32"/>
        </w:rPr>
        <w:t>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平台建设情况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年继续通过区政府政务公开网站区人社局政府信息公开专栏发布主动公开信息。同时，</w:t>
      </w:r>
      <w:r>
        <w:rPr>
          <w:rFonts w:hint="eastAsia" w:ascii="Times New Roman" w:hAnsi="Times New Roman" w:eastAsia="仿宋_GB2312"/>
          <w:sz w:val="32"/>
          <w:szCs w:val="32"/>
        </w:rPr>
        <w:t>优化公开形式。充分利用抖音直播、微信公众号等新媒体传播广、便捷度高、群众喜爱的特点，打造“人社政策云讲堂”“仲裁与你行”等特色宣传品牌和主题，通过视频、案例等方式，认真做好政策解读、信息宣传等工作，有效提高了工作效率。</w:t>
      </w:r>
      <w:r>
        <w:rPr>
          <w:rFonts w:ascii="Times New Roman" w:hAnsi="Times New Roman" w:eastAsia="仿宋_GB2312"/>
          <w:sz w:val="32"/>
          <w:szCs w:val="32"/>
        </w:rPr>
        <w:t>抓好“温暖人社服务淄川”</w:t>
      </w:r>
      <w:r>
        <w:rPr>
          <w:rFonts w:hint="eastAsia" w:ascii="Times New Roman" w:hAnsi="Times New Roman" w:eastAsia="仿宋_GB2312"/>
          <w:sz w:val="32"/>
          <w:szCs w:val="32"/>
        </w:rPr>
        <w:t>“淄川公共就业创业”</w:t>
      </w:r>
      <w:r>
        <w:rPr>
          <w:rFonts w:ascii="Times New Roman" w:hAnsi="Times New Roman" w:eastAsia="仿宋_GB2312"/>
          <w:sz w:val="32"/>
          <w:szCs w:val="32"/>
        </w:rPr>
        <w:t>微信订阅号的发布审核工作，</w:t>
      </w:r>
      <w:r>
        <w:rPr>
          <w:rFonts w:hint="eastAsia" w:ascii="Times New Roman" w:hAnsi="Times New Roman" w:eastAsia="仿宋_GB2312"/>
          <w:sz w:val="32"/>
          <w:szCs w:val="32"/>
        </w:rPr>
        <w:t>公众号用户达3.6万余人，累计发布消息800余条；</w:t>
      </w:r>
      <w:r>
        <w:rPr>
          <w:rFonts w:ascii="Times New Roman" w:hAnsi="Times New Roman" w:eastAsia="仿宋_GB2312"/>
          <w:sz w:val="32"/>
          <w:szCs w:val="32"/>
        </w:rPr>
        <w:t>充分利用好“淄川就业”抖音直播平台，用群众喜闻乐见的短视频形式宣传人社政策</w:t>
      </w:r>
      <w:r>
        <w:rPr>
          <w:rFonts w:hint="eastAsia" w:ascii="Times New Roman" w:hAnsi="Times New Roman" w:eastAsia="仿宋_GB2312"/>
          <w:sz w:val="32"/>
          <w:szCs w:val="32"/>
        </w:rPr>
        <w:t>，</w:t>
      </w:r>
      <w:r>
        <w:rPr>
          <w:rFonts w:ascii="Times New Roman" w:hAnsi="Times New Roman" w:eastAsia="仿宋_GB2312"/>
          <w:sz w:val="32"/>
          <w:szCs w:val="32"/>
        </w:rPr>
        <w:t>抖音视频号关注人数6</w:t>
      </w:r>
      <w:r>
        <w:rPr>
          <w:rFonts w:hint="eastAsia" w:ascii="Times New Roman" w:hAnsi="Times New Roman" w:eastAsia="仿宋_GB2312"/>
          <w:sz w:val="32"/>
          <w:szCs w:val="32"/>
        </w:rPr>
        <w:t>万余</w:t>
      </w:r>
      <w:r>
        <w:rPr>
          <w:rFonts w:ascii="Times New Roman" w:hAnsi="Times New Roman" w:eastAsia="仿宋_GB2312"/>
          <w:sz w:val="32"/>
          <w:szCs w:val="32"/>
        </w:rPr>
        <w:t>人，发布视频416条</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监督保障情况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局内部设立政务公开工作领导小组，领导小组下设办公室，负责政务公开工作的日常工作，统筹协调全局政务公开工作的组织管理和监督指导，及时与有关部门对接我局政务公开工作过程中的存在问题和经验做法，组织、调度和监督局各科室、各局属单位对政务公开工作开展情况，确保政务公开工作高质量开展。</w:t>
      </w:r>
    </w:p>
    <w:p>
      <w:pPr>
        <w:pStyle w:val="2"/>
        <w:widowControl/>
        <w:shd w:val="clear" w:color="auto" w:fill="FFFFFF"/>
        <w:spacing w:before="0" w:beforeAutospacing="0" w:after="0" w:afterAutospacing="0" w:line="560" w:lineRule="exact"/>
        <w:ind w:firstLine="420"/>
        <w:jc w:val="both"/>
        <w:rPr>
          <w:rFonts w:ascii="黑体" w:hAnsi="黑体" w:eastAsia="黑体" w:cs="黑体"/>
          <w:bCs/>
          <w:sz w:val="32"/>
          <w:szCs w:val="32"/>
        </w:rPr>
      </w:pPr>
      <w:r>
        <w:rPr>
          <w:rFonts w:hint="eastAsia" w:ascii="黑体" w:hAnsi="黑体" w:eastAsia="黑体" w:cs="黑体"/>
          <w:bCs/>
          <w:sz w:val="32"/>
          <w:szCs w:val="32"/>
          <w:shd w:val="clear" w:color="auto" w:fill="FFFFFF"/>
        </w:rPr>
        <w:t>二、主动公开政府信息情况</w:t>
      </w:r>
    </w:p>
    <w:tbl>
      <w:tblPr>
        <w:tblStyle w:val="3"/>
        <w:tblW w:w="9061" w:type="dxa"/>
        <w:tblInd w:w="0" w:type="dxa"/>
        <w:tblLayout w:type="fixed"/>
        <w:tblCellMar>
          <w:top w:w="0" w:type="dxa"/>
          <w:left w:w="108" w:type="dxa"/>
          <w:bottom w:w="0" w:type="dxa"/>
          <w:right w:w="108" w:type="dxa"/>
        </w:tblCellMar>
      </w:tblPr>
      <w:tblGrid>
        <w:gridCol w:w="2263"/>
        <w:gridCol w:w="2263"/>
        <w:gridCol w:w="2263"/>
        <w:gridCol w:w="2272"/>
      </w:tblGrid>
      <w:tr>
        <w:tblPrEx>
          <w:tblCellMar>
            <w:top w:w="0" w:type="dxa"/>
            <w:left w:w="108" w:type="dxa"/>
            <w:bottom w:w="0" w:type="dxa"/>
            <w:right w:w="108" w:type="dxa"/>
          </w:tblCellMar>
        </w:tblPrEx>
        <w:trPr>
          <w:trHeight w:val="901" w:hRule="atLeast"/>
        </w:trPr>
        <w:tc>
          <w:tcPr>
            <w:tcW w:w="9061"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560" w:lineRule="exact"/>
              <w:jc w:val="center"/>
              <w:rPr>
                <w:rFonts w:ascii="黑体" w:hAnsi="黑体" w:eastAsia="黑体" w:cs="宋体"/>
                <w:kern w:val="0"/>
                <w:szCs w:val="21"/>
              </w:rPr>
            </w:pPr>
            <w:r>
              <w:rPr>
                <w:rFonts w:hint="eastAsia" w:ascii="黑体" w:hAnsi="黑体" w:eastAsia="黑体" w:cs="宋体"/>
                <w:kern w:val="0"/>
                <w:szCs w:val="21"/>
              </w:rPr>
              <w:t>第二十条第（一）项</w:t>
            </w:r>
          </w:p>
        </w:tc>
      </w:tr>
      <w:tr>
        <w:tblPrEx>
          <w:tblCellMar>
            <w:top w:w="0" w:type="dxa"/>
            <w:left w:w="108" w:type="dxa"/>
            <w:bottom w:w="0" w:type="dxa"/>
            <w:right w:w="108" w:type="dxa"/>
          </w:tblCellMar>
        </w:tblPrEx>
        <w:trPr>
          <w:trHeight w:val="901"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信息内容</w:t>
            </w:r>
          </w:p>
        </w:tc>
        <w:tc>
          <w:tcPr>
            <w:tcW w:w="2263" w:type="dxa"/>
            <w:tcBorders>
              <w:top w:val="nil"/>
              <w:left w:val="nil"/>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本年制发件数</w:t>
            </w:r>
          </w:p>
        </w:tc>
        <w:tc>
          <w:tcPr>
            <w:tcW w:w="2263" w:type="dxa"/>
            <w:tcBorders>
              <w:top w:val="nil"/>
              <w:left w:val="nil"/>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本年废止件数</w:t>
            </w:r>
          </w:p>
        </w:tc>
        <w:tc>
          <w:tcPr>
            <w:tcW w:w="2272" w:type="dxa"/>
            <w:tcBorders>
              <w:top w:val="nil"/>
              <w:left w:val="nil"/>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现行有效件数</w:t>
            </w:r>
          </w:p>
        </w:tc>
      </w:tr>
      <w:tr>
        <w:tblPrEx>
          <w:tblCellMar>
            <w:top w:w="0" w:type="dxa"/>
            <w:left w:w="108" w:type="dxa"/>
            <w:bottom w:w="0" w:type="dxa"/>
            <w:right w:w="108" w:type="dxa"/>
          </w:tblCellMar>
        </w:tblPrEx>
        <w:trPr>
          <w:trHeight w:val="904"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规章</w:t>
            </w:r>
          </w:p>
        </w:tc>
        <w:tc>
          <w:tcPr>
            <w:tcW w:w="2263" w:type="dxa"/>
            <w:tcBorders>
              <w:top w:val="nil"/>
              <w:left w:val="nil"/>
              <w:bottom w:val="single" w:color="auto" w:sz="8" w:space="0"/>
              <w:right w:val="single" w:color="auto" w:sz="8" w:space="0"/>
            </w:tcBorders>
            <w:vAlign w:val="center"/>
          </w:tcPr>
          <w:p>
            <w:pPr>
              <w:widowControl/>
              <w:spacing w:line="56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63" w:type="dxa"/>
            <w:tcBorders>
              <w:top w:val="nil"/>
              <w:left w:val="nil"/>
              <w:bottom w:val="single" w:color="auto" w:sz="8" w:space="0"/>
              <w:right w:val="single" w:color="auto" w:sz="8" w:space="0"/>
            </w:tcBorders>
            <w:vAlign w:val="center"/>
          </w:tcPr>
          <w:p>
            <w:pPr>
              <w:widowControl/>
              <w:spacing w:line="56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72" w:type="dxa"/>
            <w:tcBorders>
              <w:top w:val="nil"/>
              <w:left w:val="nil"/>
              <w:bottom w:val="single" w:color="auto" w:sz="8" w:space="0"/>
              <w:right w:val="single" w:color="auto" w:sz="8" w:space="0"/>
            </w:tcBorders>
            <w:vAlign w:val="center"/>
          </w:tcPr>
          <w:p>
            <w:pPr>
              <w:widowControl/>
              <w:spacing w:line="560" w:lineRule="exact"/>
              <w:jc w:val="center"/>
              <w:rPr>
                <w:rFonts w:ascii="仿宋_GB2312" w:eastAsia="仿宋_GB2312" w:cs="Calibri"/>
                <w:kern w:val="0"/>
                <w:szCs w:val="21"/>
              </w:rPr>
            </w:pPr>
            <w:r>
              <w:rPr>
                <w:rFonts w:hint="eastAsia" w:ascii="仿宋_GB2312" w:eastAsia="仿宋_GB2312" w:cs="Calibri"/>
                <w:kern w:val="0"/>
                <w:szCs w:val="21"/>
              </w:rPr>
              <w:t>0</w:t>
            </w:r>
          </w:p>
        </w:tc>
      </w:tr>
      <w:tr>
        <w:tblPrEx>
          <w:tblCellMar>
            <w:top w:w="0" w:type="dxa"/>
            <w:left w:w="108" w:type="dxa"/>
            <w:bottom w:w="0" w:type="dxa"/>
            <w:right w:w="108" w:type="dxa"/>
          </w:tblCellMar>
        </w:tblPrEx>
        <w:trPr>
          <w:trHeight w:val="1028"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行政规范性文件</w:t>
            </w:r>
          </w:p>
        </w:tc>
        <w:tc>
          <w:tcPr>
            <w:tcW w:w="2263" w:type="dxa"/>
            <w:tcBorders>
              <w:top w:val="nil"/>
              <w:left w:val="nil"/>
              <w:bottom w:val="single" w:color="auto" w:sz="8" w:space="0"/>
              <w:right w:val="single" w:color="auto" w:sz="8" w:space="0"/>
            </w:tcBorders>
            <w:vAlign w:val="center"/>
          </w:tcPr>
          <w:p>
            <w:pPr>
              <w:widowControl/>
              <w:spacing w:line="56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63" w:type="dxa"/>
            <w:tcBorders>
              <w:top w:val="nil"/>
              <w:left w:val="nil"/>
              <w:bottom w:val="single" w:color="auto" w:sz="8" w:space="0"/>
              <w:right w:val="single" w:color="auto" w:sz="8" w:space="0"/>
            </w:tcBorders>
            <w:vAlign w:val="center"/>
          </w:tcPr>
          <w:p>
            <w:pPr>
              <w:widowControl/>
              <w:spacing w:line="56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2272" w:type="dxa"/>
            <w:tcBorders>
              <w:top w:val="nil"/>
              <w:left w:val="nil"/>
              <w:bottom w:val="single" w:color="auto" w:sz="8" w:space="0"/>
              <w:right w:val="single" w:color="auto" w:sz="8" w:space="0"/>
            </w:tcBorders>
            <w:vAlign w:val="center"/>
          </w:tcPr>
          <w:p>
            <w:pPr>
              <w:widowControl/>
              <w:spacing w:line="560" w:lineRule="exact"/>
              <w:jc w:val="center"/>
              <w:rPr>
                <w:rFonts w:ascii="仿宋_GB2312" w:hAnsi="宋体" w:eastAsia="仿宋_GB2312" w:cs="宋体"/>
                <w:kern w:val="0"/>
                <w:szCs w:val="21"/>
              </w:rPr>
            </w:pPr>
            <w:r>
              <w:rPr>
                <w:rFonts w:hint="eastAsia" w:ascii="仿宋_GB2312" w:eastAsia="仿宋_GB2312" w:cs="Calibri"/>
                <w:kern w:val="0"/>
                <w:szCs w:val="21"/>
              </w:rPr>
              <w:t>0</w:t>
            </w:r>
          </w:p>
        </w:tc>
      </w:tr>
      <w:tr>
        <w:tblPrEx>
          <w:tblCellMar>
            <w:top w:w="0" w:type="dxa"/>
            <w:left w:w="108" w:type="dxa"/>
            <w:bottom w:w="0" w:type="dxa"/>
            <w:right w:w="108" w:type="dxa"/>
          </w:tblCellMar>
        </w:tblPrEx>
        <w:trPr>
          <w:trHeight w:val="901" w:hRule="atLeast"/>
        </w:trPr>
        <w:tc>
          <w:tcPr>
            <w:tcW w:w="9061"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560" w:lineRule="exact"/>
              <w:jc w:val="center"/>
              <w:rPr>
                <w:rFonts w:ascii="黑体" w:hAnsi="黑体" w:eastAsia="黑体" w:cs="宋体"/>
                <w:kern w:val="0"/>
                <w:szCs w:val="21"/>
              </w:rPr>
            </w:pPr>
            <w:r>
              <w:rPr>
                <w:rFonts w:hint="eastAsia" w:ascii="黑体" w:hAnsi="黑体" w:eastAsia="黑体" w:cs="宋体"/>
                <w:kern w:val="0"/>
                <w:szCs w:val="21"/>
              </w:rPr>
              <w:t>第二十条第（五）项</w:t>
            </w:r>
          </w:p>
        </w:tc>
      </w:tr>
      <w:tr>
        <w:tblPrEx>
          <w:tblCellMar>
            <w:top w:w="0" w:type="dxa"/>
            <w:left w:w="108" w:type="dxa"/>
            <w:bottom w:w="0" w:type="dxa"/>
            <w:right w:w="108" w:type="dxa"/>
          </w:tblCellMar>
        </w:tblPrEx>
        <w:trPr>
          <w:trHeight w:val="901"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信息内容</w:t>
            </w:r>
          </w:p>
        </w:tc>
        <w:tc>
          <w:tcPr>
            <w:tcW w:w="6798" w:type="dxa"/>
            <w:gridSpan w:val="3"/>
            <w:tcBorders>
              <w:top w:val="single" w:color="auto" w:sz="8" w:space="0"/>
              <w:left w:val="nil"/>
              <w:bottom w:val="single" w:color="auto" w:sz="8" w:space="0"/>
              <w:right w:val="single" w:color="000000"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本年处理决定数量</w:t>
            </w:r>
          </w:p>
        </w:tc>
      </w:tr>
      <w:tr>
        <w:tblPrEx>
          <w:tblCellMar>
            <w:top w:w="0" w:type="dxa"/>
            <w:left w:w="108" w:type="dxa"/>
            <w:bottom w:w="0" w:type="dxa"/>
            <w:right w:w="108" w:type="dxa"/>
          </w:tblCellMar>
        </w:tblPrEx>
        <w:trPr>
          <w:trHeight w:val="880"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center"/>
              <w:rPr>
                <w:rFonts w:ascii="仿宋_GB2312" w:hAnsi="宋体" w:eastAsia="仿宋_GB2312" w:cs="宋体"/>
                <w:kern w:val="0"/>
                <w:szCs w:val="21"/>
              </w:rPr>
            </w:pPr>
            <w:r>
              <w:rPr>
                <w:rFonts w:hint="eastAsia" w:ascii="仿宋_GB2312" w:hAnsi="宋体" w:eastAsia="仿宋_GB2312" w:cs="宋体"/>
                <w:b/>
                <w:bCs/>
                <w:kern w:val="0"/>
                <w:szCs w:val="21"/>
              </w:rPr>
              <w:t>行政许可</w:t>
            </w:r>
          </w:p>
        </w:tc>
        <w:tc>
          <w:tcPr>
            <w:tcW w:w="6798" w:type="dxa"/>
            <w:gridSpan w:val="3"/>
            <w:tcBorders>
              <w:top w:val="single" w:color="auto" w:sz="8" w:space="0"/>
              <w:left w:val="nil"/>
              <w:bottom w:val="single" w:color="auto" w:sz="8" w:space="0"/>
              <w:right w:val="single" w:color="000000" w:sz="8" w:space="0"/>
            </w:tcBorders>
            <w:vAlign w:val="center"/>
          </w:tcPr>
          <w:p>
            <w:pPr>
              <w:widowControl/>
              <w:spacing w:line="560" w:lineRule="exact"/>
              <w:jc w:val="center"/>
              <w:rPr>
                <w:rFonts w:ascii="仿宋_GB2312" w:eastAsia="仿宋_GB2312" w:cs="Calibri"/>
                <w:kern w:val="0"/>
                <w:szCs w:val="21"/>
              </w:rPr>
            </w:pPr>
            <w:r>
              <w:rPr>
                <w:rFonts w:hint="eastAsia" w:ascii="仿宋_GB2312" w:eastAsia="仿宋_GB2312" w:cs="Calibri"/>
                <w:kern w:val="0"/>
                <w:szCs w:val="21"/>
              </w:rPr>
              <w:t>0</w:t>
            </w:r>
          </w:p>
        </w:tc>
      </w:tr>
      <w:tr>
        <w:tblPrEx>
          <w:tblCellMar>
            <w:top w:w="0" w:type="dxa"/>
            <w:left w:w="108" w:type="dxa"/>
            <w:bottom w:w="0" w:type="dxa"/>
            <w:right w:w="108" w:type="dxa"/>
          </w:tblCellMar>
        </w:tblPrEx>
        <w:trPr>
          <w:trHeight w:val="901" w:hRule="atLeast"/>
        </w:trPr>
        <w:tc>
          <w:tcPr>
            <w:tcW w:w="9061"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560" w:lineRule="exact"/>
              <w:jc w:val="center"/>
              <w:rPr>
                <w:rFonts w:ascii="黑体" w:hAnsi="黑体" w:eastAsia="黑体" w:cs="宋体"/>
                <w:kern w:val="0"/>
                <w:szCs w:val="21"/>
              </w:rPr>
            </w:pPr>
            <w:r>
              <w:rPr>
                <w:rFonts w:hint="eastAsia" w:ascii="黑体" w:hAnsi="黑体" w:eastAsia="黑体" w:cs="宋体"/>
                <w:kern w:val="0"/>
                <w:szCs w:val="21"/>
              </w:rPr>
              <w:t>第二十条第（六）项</w:t>
            </w:r>
          </w:p>
        </w:tc>
      </w:tr>
      <w:tr>
        <w:tblPrEx>
          <w:tblCellMar>
            <w:top w:w="0" w:type="dxa"/>
            <w:left w:w="108" w:type="dxa"/>
            <w:bottom w:w="0" w:type="dxa"/>
            <w:right w:w="108" w:type="dxa"/>
          </w:tblCellMar>
        </w:tblPrEx>
        <w:trPr>
          <w:trHeight w:val="901"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信息内容</w:t>
            </w:r>
          </w:p>
        </w:tc>
        <w:tc>
          <w:tcPr>
            <w:tcW w:w="6798" w:type="dxa"/>
            <w:gridSpan w:val="3"/>
            <w:tcBorders>
              <w:top w:val="single" w:color="auto" w:sz="8" w:space="0"/>
              <w:left w:val="nil"/>
              <w:bottom w:val="single" w:color="auto" w:sz="8" w:space="0"/>
              <w:right w:val="single" w:color="000000"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本年处理决定数量</w:t>
            </w:r>
          </w:p>
        </w:tc>
      </w:tr>
      <w:tr>
        <w:tblPrEx>
          <w:tblCellMar>
            <w:top w:w="0" w:type="dxa"/>
            <w:left w:w="108" w:type="dxa"/>
            <w:bottom w:w="0" w:type="dxa"/>
            <w:right w:w="108" w:type="dxa"/>
          </w:tblCellMar>
        </w:tblPrEx>
        <w:trPr>
          <w:trHeight w:val="901"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行政处罚</w:t>
            </w:r>
          </w:p>
        </w:tc>
        <w:tc>
          <w:tcPr>
            <w:tcW w:w="6798" w:type="dxa"/>
            <w:gridSpan w:val="3"/>
            <w:tcBorders>
              <w:top w:val="single" w:color="auto" w:sz="8" w:space="0"/>
              <w:left w:val="nil"/>
              <w:bottom w:val="single" w:color="auto" w:sz="8" w:space="0"/>
              <w:right w:val="single" w:color="000000" w:sz="8" w:space="0"/>
            </w:tcBorders>
            <w:vAlign w:val="center"/>
          </w:tcPr>
          <w:p>
            <w:pPr>
              <w:widowControl/>
              <w:spacing w:line="560" w:lineRule="exact"/>
              <w:jc w:val="center"/>
              <w:rPr>
                <w:rFonts w:hint="default" w:ascii="仿宋_GB2312" w:eastAsia="仿宋_GB2312" w:cs="Calibri"/>
                <w:kern w:val="0"/>
                <w:szCs w:val="21"/>
                <w:lang w:val="en-US" w:eastAsia="zh-CN"/>
              </w:rPr>
            </w:pPr>
            <w:r>
              <w:rPr>
                <w:rFonts w:hint="eastAsia" w:ascii="仿宋_GB2312" w:eastAsia="仿宋_GB2312" w:cs="Calibri"/>
                <w:kern w:val="0"/>
                <w:szCs w:val="21"/>
                <w:lang w:val="en-US" w:eastAsia="zh-CN"/>
              </w:rPr>
              <w:t>19</w:t>
            </w:r>
            <w:bookmarkStart w:id="11" w:name="_GoBack"/>
            <w:bookmarkEnd w:id="11"/>
          </w:p>
        </w:tc>
      </w:tr>
      <w:tr>
        <w:tblPrEx>
          <w:tblCellMar>
            <w:top w:w="0" w:type="dxa"/>
            <w:left w:w="108" w:type="dxa"/>
            <w:bottom w:w="0" w:type="dxa"/>
            <w:right w:w="108" w:type="dxa"/>
          </w:tblCellMar>
        </w:tblPrEx>
        <w:trPr>
          <w:trHeight w:val="901"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行政强制</w:t>
            </w:r>
          </w:p>
        </w:tc>
        <w:tc>
          <w:tcPr>
            <w:tcW w:w="6798" w:type="dxa"/>
            <w:gridSpan w:val="3"/>
            <w:tcBorders>
              <w:top w:val="single" w:color="auto" w:sz="8" w:space="0"/>
              <w:left w:val="nil"/>
              <w:bottom w:val="single" w:color="auto" w:sz="8" w:space="0"/>
              <w:right w:val="single" w:color="000000" w:sz="8" w:space="0"/>
            </w:tcBorders>
            <w:vAlign w:val="center"/>
          </w:tcPr>
          <w:p>
            <w:pPr>
              <w:widowControl/>
              <w:spacing w:line="560" w:lineRule="exact"/>
              <w:jc w:val="center"/>
              <w:rPr>
                <w:rFonts w:ascii="仿宋_GB2312" w:eastAsia="仿宋_GB2312" w:cs="Calibri"/>
                <w:kern w:val="0"/>
                <w:szCs w:val="21"/>
              </w:rPr>
            </w:pPr>
            <w:r>
              <w:rPr>
                <w:rFonts w:hint="eastAsia" w:ascii="仿宋_GB2312" w:eastAsia="仿宋_GB2312" w:cs="Calibri"/>
                <w:kern w:val="0"/>
                <w:szCs w:val="21"/>
              </w:rPr>
              <w:t>0</w:t>
            </w:r>
          </w:p>
        </w:tc>
      </w:tr>
      <w:tr>
        <w:tblPrEx>
          <w:tblCellMar>
            <w:top w:w="0" w:type="dxa"/>
            <w:left w:w="108" w:type="dxa"/>
            <w:bottom w:w="0" w:type="dxa"/>
            <w:right w:w="108" w:type="dxa"/>
          </w:tblCellMar>
        </w:tblPrEx>
        <w:trPr>
          <w:trHeight w:val="901" w:hRule="atLeast"/>
        </w:trPr>
        <w:tc>
          <w:tcPr>
            <w:tcW w:w="9061"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spacing w:line="560" w:lineRule="exact"/>
              <w:jc w:val="center"/>
              <w:rPr>
                <w:rFonts w:ascii="黑体" w:hAnsi="黑体" w:eastAsia="黑体" w:cs="宋体"/>
                <w:kern w:val="0"/>
                <w:szCs w:val="21"/>
              </w:rPr>
            </w:pPr>
            <w:r>
              <w:rPr>
                <w:rFonts w:hint="eastAsia" w:ascii="黑体" w:hAnsi="黑体" w:eastAsia="黑体" w:cs="宋体"/>
                <w:kern w:val="0"/>
                <w:szCs w:val="21"/>
              </w:rPr>
              <w:t>第二十条第（八）项</w:t>
            </w:r>
          </w:p>
        </w:tc>
      </w:tr>
      <w:tr>
        <w:tblPrEx>
          <w:tblCellMar>
            <w:top w:w="0" w:type="dxa"/>
            <w:left w:w="108" w:type="dxa"/>
            <w:bottom w:w="0" w:type="dxa"/>
            <w:right w:w="108" w:type="dxa"/>
          </w:tblCellMar>
        </w:tblPrEx>
        <w:trPr>
          <w:trHeight w:val="901"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信息内容</w:t>
            </w:r>
          </w:p>
        </w:tc>
        <w:tc>
          <w:tcPr>
            <w:tcW w:w="6798" w:type="dxa"/>
            <w:gridSpan w:val="3"/>
            <w:tcBorders>
              <w:top w:val="single" w:color="auto" w:sz="8" w:space="0"/>
              <w:left w:val="nil"/>
              <w:bottom w:val="single" w:color="auto" w:sz="8" w:space="0"/>
              <w:right w:val="single" w:color="000000" w:sz="8" w:space="0"/>
            </w:tcBorders>
            <w:vAlign w:val="center"/>
          </w:tcPr>
          <w:p>
            <w:pPr>
              <w:widowControl/>
              <w:spacing w:line="5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本年收费金额（单位：万元）</w:t>
            </w:r>
          </w:p>
        </w:tc>
      </w:tr>
      <w:tr>
        <w:tblPrEx>
          <w:tblCellMar>
            <w:top w:w="0" w:type="dxa"/>
            <w:left w:w="108" w:type="dxa"/>
            <w:bottom w:w="0" w:type="dxa"/>
            <w:right w:w="108" w:type="dxa"/>
          </w:tblCellMar>
        </w:tblPrEx>
        <w:trPr>
          <w:trHeight w:val="1045" w:hRule="atLeast"/>
        </w:trPr>
        <w:tc>
          <w:tcPr>
            <w:tcW w:w="2263" w:type="dxa"/>
            <w:tcBorders>
              <w:top w:val="nil"/>
              <w:left w:val="single" w:color="auto" w:sz="8" w:space="0"/>
              <w:bottom w:val="single" w:color="auto" w:sz="8" w:space="0"/>
              <w:right w:val="single" w:color="auto" w:sz="8" w:space="0"/>
            </w:tcBorders>
            <w:vAlign w:val="center"/>
          </w:tcPr>
          <w:p>
            <w:pPr>
              <w:widowControl/>
              <w:spacing w:line="560" w:lineRule="exact"/>
              <w:jc w:val="center"/>
              <w:rPr>
                <w:rFonts w:ascii="仿宋_GB2312" w:hAnsi="宋体" w:eastAsia="仿宋_GB2312" w:cs="宋体"/>
                <w:kern w:val="0"/>
                <w:szCs w:val="21"/>
              </w:rPr>
            </w:pPr>
            <w:r>
              <w:rPr>
                <w:rFonts w:hint="eastAsia" w:ascii="仿宋_GB2312" w:hAnsi="宋体" w:eastAsia="仿宋_GB2312" w:cs="宋体"/>
                <w:b/>
                <w:bCs/>
                <w:kern w:val="0"/>
                <w:szCs w:val="21"/>
              </w:rPr>
              <w:t>行政事业性收费</w:t>
            </w:r>
          </w:p>
        </w:tc>
        <w:tc>
          <w:tcPr>
            <w:tcW w:w="6798" w:type="dxa"/>
            <w:gridSpan w:val="3"/>
            <w:tcBorders>
              <w:top w:val="single" w:color="auto" w:sz="8" w:space="0"/>
              <w:left w:val="nil"/>
              <w:bottom w:val="single" w:color="auto" w:sz="8" w:space="0"/>
              <w:right w:val="single" w:color="000000" w:sz="8" w:space="0"/>
            </w:tcBorders>
            <w:vAlign w:val="center"/>
          </w:tcPr>
          <w:p>
            <w:pPr>
              <w:widowControl/>
              <w:spacing w:line="560" w:lineRule="exact"/>
              <w:jc w:val="center"/>
              <w:rPr>
                <w:rFonts w:ascii="仿宋_GB2312" w:eastAsia="仿宋_GB2312" w:cs="Calibri"/>
                <w:kern w:val="0"/>
                <w:szCs w:val="21"/>
                <w:highlight w:val="yellow"/>
              </w:rPr>
            </w:pPr>
            <w:r>
              <w:rPr>
                <w:rFonts w:hint="eastAsia" w:ascii="仿宋_GB2312" w:eastAsia="仿宋_GB2312" w:cs="Calibri"/>
                <w:kern w:val="0"/>
                <w:szCs w:val="21"/>
              </w:rPr>
              <w:t>16.004</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3"/>
        <w:tblW w:w="9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36"/>
        <w:gridCol w:w="830"/>
        <w:gridCol w:w="2909"/>
        <w:gridCol w:w="650"/>
        <w:gridCol w:w="541"/>
        <w:gridCol w:w="628"/>
        <w:gridCol w:w="869"/>
        <w:gridCol w:w="823"/>
        <w:gridCol w:w="562"/>
        <w:gridCol w:w="6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jc w:val="center"/>
        </w:trPr>
        <w:tc>
          <w:tcPr>
            <w:tcW w:w="4375"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684"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375"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650"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423"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61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4375"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650" w:type="dxa"/>
            <w:vMerge w:val="continue"/>
            <w:shd w:val="clear" w:color="auto" w:fill="auto"/>
            <w:tcMar>
              <w:left w:w="108" w:type="dxa"/>
              <w:right w:w="108" w:type="dxa"/>
            </w:tcMar>
            <w:vAlign w:val="center"/>
          </w:tcPr>
          <w:p>
            <w:pPr>
              <w:jc w:val="center"/>
              <w:rPr>
                <w:rFonts w:ascii="黑体" w:hAnsi="黑体" w:eastAsia="黑体"/>
                <w:szCs w:val="21"/>
              </w:rPr>
            </w:pPr>
          </w:p>
        </w:tc>
        <w:tc>
          <w:tcPr>
            <w:tcW w:w="541"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628"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869"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823"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2"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61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4375"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2</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4375"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shd w:val="clear" w:color="auto"/>
              </w:rPr>
              <w:t>二、上年结转政府信息公开申请数量</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63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3739" w:type="dxa"/>
            <w:gridSpan w:val="2"/>
            <w:shd w:val="clear" w:color="auto" w:fill="auto"/>
            <w:tcMar>
              <w:left w:w="108" w:type="dxa"/>
              <w:right w:w="108" w:type="dxa"/>
            </w:tcMar>
            <w:vAlign w:val="center"/>
          </w:tcPr>
          <w:p>
            <w:pPr>
              <w:widowControl/>
              <w:rPr>
                <w:rFonts w:ascii="黑体" w:hAnsi="黑体" w:eastAsia="黑体"/>
                <w:sz w:val="16"/>
                <w:szCs w:val="16"/>
              </w:rPr>
            </w:pPr>
            <w:r>
              <w:rPr>
                <w:rFonts w:hint="eastAsia" w:ascii="黑体" w:hAnsi="黑体" w:eastAsia="黑体"/>
                <w:kern w:val="0"/>
                <w:sz w:val="16"/>
                <w:szCs w:val="16"/>
              </w:rPr>
              <w:t>（一）予以公开</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1</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3739" w:type="dxa"/>
            <w:gridSpan w:val="2"/>
            <w:shd w:val="clear" w:color="auto" w:fill="auto"/>
            <w:tcMar>
              <w:left w:w="108" w:type="dxa"/>
              <w:right w:w="108" w:type="dxa"/>
            </w:tcMar>
            <w:vAlign w:val="center"/>
          </w:tcPr>
          <w:p>
            <w:pPr>
              <w:widowControl/>
              <w:rPr>
                <w:rFonts w:ascii="黑体" w:hAnsi="黑体" w:eastAsia="黑体"/>
                <w:sz w:val="16"/>
                <w:szCs w:val="16"/>
              </w:rPr>
            </w:pPr>
            <w:r>
              <w:rPr>
                <w:rFonts w:hint="eastAsia" w:ascii="黑体" w:hAnsi="黑体" w:eastAsia="黑体"/>
                <w:kern w:val="0"/>
                <w:sz w:val="16"/>
                <w:szCs w:val="16"/>
              </w:rPr>
              <w:t>（二）部分公开（</w:t>
            </w:r>
            <w:bookmarkStart w:id="1" w:name="_Hlk66973981"/>
            <w:r>
              <w:rPr>
                <w:rFonts w:hint="eastAsia" w:ascii="黑体" w:hAnsi="黑体" w:eastAsia="黑体"/>
                <w:kern w:val="0"/>
                <w:sz w:val="16"/>
                <w:szCs w:val="16"/>
              </w:rPr>
              <w:t>区分处理的，只计这一情形，不计其他情形</w:t>
            </w:r>
            <w:bookmarkEnd w:id="1"/>
            <w:r>
              <w:rPr>
                <w:rFonts w:hint="eastAsia" w:ascii="黑体" w:hAnsi="黑体" w:eastAsia="黑体"/>
                <w:kern w:val="0"/>
                <w:sz w:val="16"/>
                <w:szCs w:val="16"/>
              </w:rPr>
              <w:t>）</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（三）不予公开</w:t>
            </w: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1.属于国家秘密</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r>
              <w:rPr>
                <w:rFonts w:hint="eastAsia" w:ascii="黑体" w:hAnsi="黑体" w:eastAsia="黑体"/>
                <w:szCs w:val="21"/>
              </w:rPr>
              <w:t>S</w:t>
            </w: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2" w:name="_Hlk66974104"/>
            <w:r>
              <w:rPr>
                <w:rFonts w:hint="eastAsia" w:ascii="仿宋_GB2312" w:hAnsi="黑体" w:eastAsia="仿宋_GB2312"/>
                <w:kern w:val="0"/>
                <w:sz w:val="16"/>
                <w:szCs w:val="16"/>
              </w:rPr>
              <w:t>其他法律行政法规禁止公开</w:t>
            </w:r>
            <w:bookmarkEnd w:id="2"/>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3.危及“三安全一稳定”</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4.</w:t>
            </w:r>
            <w:bookmarkStart w:id="3" w:name="_Hlk66974290"/>
            <w:r>
              <w:rPr>
                <w:rFonts w:hint="eastAsia" w:ascii="仿宋_GB2312" w:hAnsi="黑体" w:eastAsia="仿宋_GB2312"/>
                <w:kern w:val="0"/>
                <w:sz w:val="16"/>
                <w:szCs w:val="16"/>
              </w:rPr>
              <w:t>保护第三方合法权益</w:t>
            </w:r>
            <w:bookmarkEnd w:id="3"/>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5.属于三类内部事务信息</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6.</w:t>
            </w:r>
            <w:bookmarkStart w:id="4" w:name="_Hlk66974555"/>
            <w:r>
              <w:rPr>
                <w:rFonts w:hint="eastAsia" w:ascii="仿宋_GB2312" w:hAnsi="黑体" w:eastAsia="仿宋_GB2312"/>
                <w:kern w:val="0"/>
                <w:sz w:val="16"/>
                <w:szCs w:val="16"/>
              </w:rPr>
              <w:t>属于四类过程性信息</w:t>
            </w:r>
            <w:bookmarkEnd w:id="4"/>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7.属于行政执法案卷</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8.</w:t>
            </w:r>
            <w:bookmarkStart w:id="5" w:name="_Hlk66975211"/>
            <w:r>
              <w:rPr>
                <w:rFonts w:hint="eastAsia" w:ascii="仿宋_GB2312" w:hAnsi="黑体" w:eastAsia="仿宋_GB2312"/>
                <w:kern w:val="0"/>
                <w:sz w:val="16"/>
                <w:szCs w:val="16"/>
              </w:rPr>
              <w:t>属于行政查询事项</w:t>
            </w:r>
            <w:bookmarkEnd w:id="5"/>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（四）无法提供</w:t>
            </w: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1.本机关不掌握相关政府信息</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1</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ind w:left="-107" w:leftChars="-51"/>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6" w:name="_Hlk66975392"/>
            <w:r>
              <w:rPr>
                <w:rFonts w:hint="eastAsia" w:ascii="仿宋_GB2312" w:hAnsi="黑体" w:eastAsia="仿宋_GB2312"/>
                <w:kern w:val="0"/>
                <w:sz w:val="16"/>
                <w:szCs w:val="16"/>
              </w:rPr>
              <w:t>没有现成信息需要另行制作</w:t>
            </w:r>
            <w:bookmarkEnd w:id="6"/>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ind w:left="-107" w:leftChars="-51"/>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w:t>
            </w:r>
            <w:bookmarkStart w:id="7" w:name="_Hlk66975466"/>
            <w:r>
              <w:rPr>
                <w:rFonts w:hint="eastAsia" w:ascii="仿宋_GB2312" w:hAnsi="黑体" w:eastAsia="仿宋_GB2312"/>
                <w:kern w:val="0"/>
                <w:sz w:val="16"/>
                <w:szCs w:val="16"/>
              </w:rPr>
              <w:t>补正后申请内容仍不明确</w:t>
            </w:r>
            <w:bookmarkEnd w:id="7"/>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（五）不予处理</w:t>
            </w: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w:t>
            </w:r>
            <w:bookmarkStart w:id="8" w:name="_Hlk66975537"/>
            <w:r>
              <w:rPr>
                <w:rFonts w:hint="eastAsia" w:ascii="仿宋_GB2312" w:hAnsi="黑体" w:eastAsia="仿宋_GB2312"/>
                <w:kern w:val="0"/>
                <w:sz w:val="16"/>
                <w:szCs w:val="16"/>
              </w:rPr>
              <w:t>信访举报投诉类申请</w:t>
            </w:r>
            <w:bookmarkEnd w:id="8"/>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2.重复申请</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3.要求提供公开出版物</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4.无正当理由大量反复申请</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909" w:type="dxa"/>
            <w:shd w:val="clear" w:color="auto" w:fill="auto"/>
            <w:tcMar>
              <w:left w:w="108" w:type="dxa"/>
              <w:right w:w="108" w:type="dxa"/>
            </w:tcMar>
            <w:vAlign w:val="center"/>
          </w:tcPr>
          <w:p>
            <w:pPr>
              <w:widowControl/>
              <w:spacing w:line="300" w:lineRule="exact"/>
              <w:rPr>
                <w:rFonts w:ascii="仿宋_GB2312" w:hAnsi="黑体" w:eastAsia="仿宋_GB2312"/>
                <w:kern w:val="0"/>
                <w:sz w:val="16"/>
                <w:szCs w:val="16"/>
              </w:rPr>
            </w:pPr>
            <w:r>
              <w:rPr>
                <w:rFonts w:hint="eastAsia" w:ascii="仿宋_GB2312" w:hAnsi="黑体" w:eastAsia="仿宋_GB2312"/>
                <w:kern w:val="0"/>
                <w:sz w:val="16"/>
                <w:szCs w:val="16"/>
              </w:rPr>
              <w:t>5.要求行政机关确认或重新</w:t>
            </w:r>
          </w:p>
          <w:p>
            <w:pPr>
              <w:widowControl/>
              <w:spacing w:line="300" w:lineRule="exact"/>
              <w:ind w:firstLine="160" w:firstLineChars="100"/>
              <w:rPr>
                <w:rFonts w:ascii="仿宋_GB2312" w:hAnsi="黑体" w:eastAsia="仿宋_GB2312"/>
                <w:sz w:val="16"/>
                <w:szCs w:val="16"/>
              </w:rPr>
            </w:pPr>
            <w:r>
              <w:rPr>
                <w:rFonts w:hint="eastAsia" w:ascii="仿宋_GB2312" w:hAnsi="黑体" w:eastAsia="仿宋_GB2312"/>
                <w:kern w:val="0"/>
                <w:sz w:val="16"/>
                <w:szCs w:val="16"/>
              </w:rPr>
              <w:t>出具已获取信息</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restart"/>
            <w:shd w:val="clear" w:color="auto" w:fill="auto"/>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（六）其他处理</w:t>
            </w:r>
          </w:p>
        </w:tc>
        <w:tc>
          <w:tcPr>
            <w:tcW w:w="2909" w:type="dxa"/>
            <w:shd w:val="clear" w:color="auto" w:fill="auto"/>
            <w:vAlign w:val="center"/>
          </w:tcPr>
          <w:p>
            <w:pPr>
              <w:widowControl/>
              <w:spacing w:line="300" w:lineRule="exact"/>
              <w:rPr>
                <w:rFonts w:ascii="仿宋_GB2312" w:hAnsi="楷体" w:eastAsia="仿宋_GB2312"/>
                <w:sz w:val="16"/>
                <w:szCs w:val="18"/>
              </w:rPr>
            </w:pPr>
            <w:r>
              <w:rPr>
                <w:rFonts w:hint="eastAsia" w:ascii="仿宋_GB2312" w:hAnsi="楷体" w:eastAsia="仿宋_GB2312"/>
                <w:sz w:val="16"/>
                <w:szCs w:val="18"/>
              </w:rPr>
              <w:t>1.申请人无正当理由逾期……</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widowControl/>
              <w:spacing w:line="300" w:lineRule="exact"/>
              <w:rPr>
                <w:rFonts w:ascii="黑体" w:hAnsi="黑体" w:eastAsia="黑体"/>
                <w:kern w:val="0"/>
                <w:sz w:val="16"/>
                <w:szCs w:val="16"/>
              </w:rPr>
            </w:pPr>
          </w:p>
        </w:tc>
        <w:tc>
          <w:tcPr>
            <w:tcW w:w="2909" w:type="dxa"/>
            <w:shd w:val="clear" w:color="auto" w:fill="auto"/>
            <w:vAlign w:val="center"/>
          </w:tcPr>
          <w:p>
            <w:pPr>
              <w:widowControl/>
              <w:spacing w:line="300" w:lineRule="exact"/>
              <w:rPr>
                <w:rFonts w:ascii="仿宋_GB2312" w:hAnsi="黑体" w:eastAsia="仿宋_GB2312"/>
                <w:kern w:val="0"/>
                <w:sz w:val="16"/>
                <w:szCs w:val="16"/>
              </w:rPr>
            </w:pPr>
            <w:r>
              <w:rPr>
                <w:rFonts w:hint="eastAsia" w:ascii="仿宋_GB2312" w:hAnsi="楷体" w:eastAsia="仿宋_GB2312"/>
                <w:sz w:val="16"/>
                <w:szCs w:val="18"/>
              </w:rPr>
              <w:t>2.申请人逾期未按收费通知……</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830" w:type="dxa"/>
            <w:vMerge w:val="continue"/>
            <w:shd w:val="clear" w:color="auto" w:fill="auto"/>
            <w:tcMar>
              <w:left w:w="108" w:type="dxa"/>
              <w:right w:w="108" w:type="dxa"/>
            </w:tcMar>
            <w:vAlign w:val="center"/>
          </w:tcPr>
          <w:p>
            <w:pPr>
              <w:widowControl/>
              <w:spacing w:line="300" w:lineRule="exact"/>
              <w:rPr>
                <w:rFonts w:ascii="黑体" w:hAnsi="黑体" w:eastAsia="黑体"/>
                <w:kern w:val="0"/>
                <w:sz w:val="16"/>
                <w:szCs w:val="16"/>
              </w:rPr>
            </w:pPr>
          </w:p>
        </w:tc>
        <w:tc>
          <w:tcPr>
            <w:tcW w:w="2909" w:type="dxa"/>
            <w:shd w:val="clear" w:color="auto" w:fill="auto"/>
            <w:vAlign w:val="center"/>
          </w:tcPr>
          <w:p>
            <w:pPr>
              <w:widowControl/>
              <w:spacing w:line="300" w:lineRule="exact"/>
              <w:rPr>
                <w:rFonts w:ascii="仿宋_GB2312" w:hAnsi="黑体" w:eastAsia="仿宋_GB2312"/>
                <w:kern w:val="0"/>
                <w:sz w:val="16"/>
                <w:szCs w:val="16"/>
              </w:rPr>
            </w:pPr>
            <w:r>
              <w:rPr>
                <w:rFonts w:hint="eastAsia" w:ascii="仿宋_GB2312" w:hAnsi="楷体" w:eastAsia="仿宋_GB2312"/>
                <w:sz w:val="16"/>
                <w:szCs w:val="18"/>
              </w:rPr>
              <w:t>3.其他</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636" w:type="dxa"/>
            <w:vMerge w:val="continue"/>
            <w:shd w:val="clear" w:color="auto" w:fill="auto"/>
            <w:tcMar>
              <w:left w:w="108" w:type="dxa"/>
              <w:right w:w="108" w:type="dxa"/>
            </w:tcMar>
            <w:vAlign w:val="center"/>
          </w:tcPr>
          <w:p>
            <w:pPr>
              <w:rPr>
                <w:rFonts w:ascii="黑体" w:hAnsi="黑体" w:eastAsia="黑体"/>
                <w:szCs w:val="21"/>
              </w:rPr>
            </w:pPr>
          </w:p>
        </w:tc>
        <w:tc>
          <w:tcPr>
            <w:tcW w:w="3739" w:type="dxa"/>
            <w:gridSpan w:val="2"/>
            <w:shd w:val="clear" w:color="auto" w:fill="auto"/>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（七）总计</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2</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75"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65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2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82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61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bl>
    <w:p>
      <w:pPr>
        <w:ind w:firstLine="640" w:firstLineChars="200"/>
        <w:rPr>
          <w:rFonts w:ascii="仿宋_GB2312" w:eastAsia="仿宋_GB2312"/>
          <w:sz w:val="32"/>
          <w:szCs w:val="32"/>
        </w:rPr>
      </w:pPr>
      <w:r>
        <w:rPr>
          <w:rFonts w:hint="eastAsia" w:ascii="黑体" w:hAnsi="黑体" w:eastAsia="黑体" w:cs="黑体"/>
          <w:bCs/>
          <w:kern w:val="0"/>
          <w:sz w:val="32"/>
          <w:szCs w:val="32"/>
          <w:shd w:val="clear" w:color="auto" w:fill="FFFFFF"/>
          <w:lang w:bidi="ar"/>
        </w:rPr>
        <w:t>四、政府信息公开行政复议、行政诉讼情况</w:t>
      </w:r>
    </w:p>
    <w:tbl>
      <w:tblPr>
        <w:tblStyle w:val="3"/>
        <w:tblpPr w:leftFromText="180" w:rightFromText="180" w:vertAnchor="text" w:horzAnchor="page" w:tblpX="1537" w:tblpY="619"/>
        <w:tblOverlap w:val="never"/>
        <w:tblW w:w="90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2"/>
        <w:gridCol w:w="602"/>
        <w:gridCol w:w="602"/>
        <w:gridCol w:w="602"/>
        <w:gridCol w:w="663"/>
        <w:gridCol w:w="547"/>
        <w:gridCol w:w="603"/>
        <w:gridCol w:w="603"/>
        <w:gridCol w:w="603"/>
        <w:gridCol w:w="607"/>
        <w:gridCol w:w="603"/>
        <w:gridCol w:w="603"/>
        <w:gridCol w:w="603"/>
        <w:gridCol w:w="604"/>
        <w:gridCol w:w="6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1"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88"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2"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2"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2"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63"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63"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5"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2" w:type="dxa"/>
            <w:vMerge w:val="continue"/>
            <w:tcBorders>
              <w:top w:val="nil"/>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2"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2"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63"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547"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3"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3"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3"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7"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3"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3"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3"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4"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12"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6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547"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7"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12"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r>
    </w:tbl>
    <w:p>
      <w:pPr>
        <w:pStyle w:val="2"/>
        <w:widowControl/>
        <w:shd w:val="clear" w:color="auto" w:fill="FFFFFF"/>
        <w:spacing w:before="0" w:beforeAutospacing="0" w:after="0" w:afterAutospacing="0"/>
        <w:ind w:firstLine="420"/>
        <w:jc w:val="both"/>
        <w:rPr>
          <w:rFonts w:ascii="黑体" w:hAnsi="黑体" w:eastAsia="黑体" w:cs="黑体"/>
          <w:bCs/>
          <w:sz w:val="32"/>
          <w:szCs w:val="32"/>
          <w:shd w:val="clear" w:color="auto" w:fill="FFFFFF"/>
          <w:lang w:bidi="ar"/>
        </w:rPr>
      </w:pPr>
      <w:r>
        <w:rPr>
          <w:rFonts w:hint="eastAsia" w:ascii="黑体" w:hAnsi="黑体" w:eastAsia="黑体" w:cs="黑体"/>
          <w:bCs/>
          <w:sz w:val="32"/>
          <w:szCs w:val="32"/>
          <w:shd w:val="clear" w:color="auto" w:fill="FFFFFF"/>
          <w:lang w:bidi="ar"/>
        </w:rPr>
        <w:t>五、存在的主要问题及改进情况</w:t>
      </w:r>
    </w:p>
    <w:p>
      <w:pPr>
        <w:spacing w:line="560" w:lineRule="exact"/>
        <w:ind w:firstLine="640" w:firstLineChars="200"/>
        <w:rPr>
          <w:rFonts w:ascii="Times New Roman" w:hAnsi="Times New Roman" w:eastAsia="仿宋_GB2312"/>
          <w:sz w:val="32"/>
          <w:szCs w:val="32"/>
        </w:rPr>
      </w:pPr>
      <w:bookmarkStart w:id="10" w:name="_Hlk157176013"/>
      <w:r>
        <w:rPr>
          <w:rFonts w:hint="eastAsia" w:ascii="Times New Roman" w:hAnsi="Times New Roman" w:eastAsia="仿宋_GB2312"/>
          <w:sz w:val="32"/>
          <w:szCs w:val="32"/>
        </w:rPr>
        <w:t>1.存在问题</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一是政府信息公开工作机构建设和人员力量还比较薄弱，政府信息公开工作机构与其他科室合并一起，没有配备政府信息公开专职工作人员；二是在公开内容和形式上不够丰富。</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2.改进措施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一是加强人员</w:t>
      </w:r>
      <w:r>
        <w:rPr>
          <w:rFonts w:hint="eastAsia" w:ascii="Times New Roman" w:hAnsi="Times New Roman" w:eastAsia="仿宋_GB2312"/>
          <w:sz w:val="32"/>
          <w:szCs w:val="32"/>
        </w:rPr>
        <w:t>设置和能力</w:t>
      </w:r>
      <w:r>
        <w:rPr>
          <w:rFonts w:ascii="Times New Roman" w:hAnsi="Times New Roman" w:eastAsia="仿宋_GB2312"/>
          <w:sz w:val="32"/>
          <w:szCs w:val="32"/>
        </w:rPr>
        <w:t>培训。进一步加强对全局政府信息公开工作的指导和监督，严格考核制度，督促机关各科室及时提供政务信息，及时发布业务信息。二是</w:t>
      </w:r>
      <w:r>
        <w:rPr>
          <w:rFonts w:hint="eastAsia" w:ascii="Times New Roman" w:hAnsi="Times New Roman" w:eastAsia="仿宋_GB2312"/>
          <w:sz w:val="32"/>
          <w:szCs w:val="32"/>
        </w:rPr>
        <w:t>进一步完善和</w:t>
      </w:r>
      <w:r>
        <w:rPr>
          <w:rFonts w:ascii="Times New Roman" w:hAnsi="Times New Roman" w:eastAsia="仿宋_GB2312"/>
          <w:sz w:val="32"/>
          <w:szCs w:val="32"/>
        </w:rPr>
        <w:t>丰富公开内容。</w:t>
      </w:r>
      <w:r>
        <w:rPr>
          <w:rFonts w:hint="eastAsia" w:ascii="Times New Roman" w:hAnsi="Times New Roman" w:eastAsia="仿宋_GB2312"/>
          <w:sz w:val="32"/>
          <w:szCs w:val="32"/>
        </w:rPr>
        <w:t>围绕</w:t>
      </w:r>
      <w:r>
        <w:rPr>
          <w:rFonts w:ascii="Times New Roman" w:hAnsi="Times New Roman" w:eastAsia="仿宋_GB2312"/>
          <w:sz w:val="32"/>
          <w:szCs w:val="32"/>
        </w:rPr>
        <w:t>我局</w:t>
      </w:r>
      <w:r>
        <w:rPr>
          <w:rFonts w:hint="eastAsia" w:ascii="Times New Roman" w:hAnsi="Times New Roman" w:eastAsia="仿宋_GB2312"/>
          <w:sz w:val="32"/>
          <w:szCs w:val="32"/>
        </w:rPr>
        <w:t>本年度政务公开工作要点</w:t>
      </w:r>
      <w:r>
        <w:rPr>
          <w:rFonts w:ascii="Times New Roman" w:hAnsi="Times New Roman" w:eastAsia="仿宋_GB2312"/>
          <w:sz w:val="32"/>
          <w:szCs w:val="32"/>
        </w:rPr>
        <w:t>安排，努力扩大信息来源，围绕群众、企业需要，丰富公开内容，及时、准确、规范更新发布信息，进一步提高政务公开的针对性，保证各类公开信息的完整性和准确性。</w:t>
      </w:r>
    </w:p>
    <w:bookmarkEnd w:id="10"/>
    <w:p>
      <w:pPr>
        <w:pStyle w:val="2"/>
        <w:widowControl/>
        <w:shd w:val="clear" w:color="auto" w:fill="FFFFFF"/>
        <w:spacing w:before="0" w:beforeAutospacing="0" w:after="0" w:afterAutospacing="0"/>
        <w:ind w:firstLine="420"/>
        <w:jc w:val="both"/>
        <w:rPr>
          <w:rFonts w:ascii="黑体" w:hAnsi="黑体" w:eastAsia="黑体" w:cs="黑体"/>
          <w:bCs/>
          <w:sz w:val="32"/>
          <w:szCs w:val="32"/>
          <w:shd w:val="clear" w:color="auto" w:fill="FFFFFF"/>
          <w:lang w:bidi="ar"/>
        </w:rPr>
      </w:pPr>
      <w:r>
        <w:rPr>
          <w:rFonts w:hint="eastAsia" w:ascii="黑体" w:hAnsi="黑体" w:eastAsia="黑体" w:cs="黑体"/>
          <w:bCs/>
          <w:sz w:val="32"/>
          <w:szCs w:val="32"/>
          <w:shd w:val="clear" w:color="auto" w:fill="FFFFFF"/>
          <w:lang w:bidi="ar"/>
        </w:rPr>
        <w:t>六、其他需要报告的事项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1、收取信息处理费情况。按照《国务院办公厅关于印发</w:t>
      </w:r>
      <w:r>
        <w:rPr>
          <w:rFonts w:hint="eastAsia" w:ascii="Times New Roman" w:hAnsi="Times New Roman" w:eastAsia="仿宋_GB2312"/>
          <w:sz w:val="32"/>
          <w:szCs w:val="32"/>
        </w:rPr>
        <w:t>〈</w:t>
      </w:r>
      <w:r>
        <w:rPr>
          <w:rFonts w:ascii="Times New Roman" w:hAnsi="Times New Roman" w:eastAsia="仿宋_GB2312"/>
          <w:sz w:val="32"/>
          <w:szCs w:val="32"/>
        </w:rPr>
        <w:t>政府信息公开信息处理费管理办法</w:t>
      </w:r>
      <w:r>
        <w:rPr>
          <w:rFonts w:hint="eastAsia" w:ascii="Times New Roman" w:hAnsi="Times New Roman" w:eastAsia="仿宋_GB2312"/>
          <w:sz w:val="32"/>
          <w:szCs w:val="32"/>
        </w:rPr>
        <w:t>〉</w:t>
      </w:r>
      <w:r>
        <w:rPr>
          <w:rFonts w:ascii="Times New Roman" w:hAnsi="Times New Roman" w:eastAsia="仿宋_GB2312"/>
          <w:sz w:val="32"/>
          <w:szCs w:val="32"/>
        </w:rPr>
        <w:t>的通知》（国办函〔2020〕109号）。和《山东省人民政府办公厅关于做好政府信息公开信息处理费管理工作有关事项的通知》（鲁政办字〔2020〕179号）收取信息处理费。2023年本机关依申请公开政府信息未收取任何费用</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2、落实上级年度政务公开工作要点情况。按照《淄川区人民政府办公室关于印发</w:t>
      </w:r>
      <w:r>
        <w:rPr>
          <w:rFonts w:hint="eastAsia" w:ascii="Times New Roman" w:hAnsi="Times New Roman" w:eastAsia="仿宋_GB2312"/>
          <w:sz w:val="32"/>
          <w:szCs w:val="32"/>
        </w:rPr>
        <w:t>2023年淄川区政务公开工作方案</w:t>
      </w:r>
      <w:r>
        <w:rPr>
          <w:rFonts w:ascii="Times New Roman" w:hAnsi="Times New Roman" w:eastAsia="仿宋_GB2312"/>
          <w:sz w:val="32"/>
          <w:szCs w:val="32"/>
        </w:rPr>
        <w:t>的通知》要求，</w:t>
      </w:r>
      <w:r>
        <w:rPr>
          <w:rFonts w:hint="eastAsia" w:ascii="Times New Roman" w:hAnsi="Times New Roman" w:eastAsia="仿宋_GB2312"/>
          <w:sz w:val="32"/>
          <w:szCs w:val="32"/>
        </w:rPr>
        <w:t>持续做好</w:t>
      </w:r>
      <w:r>
        <w:rPr>
          <w:rFonts w:ascii="Times New Roman" w:hAnsi="Times New Roman" w:eastAsia="仿宋_GB2312"/>
          <w:sz w:val="32"/>
          <w:szCs w:val="32"/>
        </w:rPr>
        <w:t>稳岗就业专栏信息公开</w:t>
      </w:r>
      <w:r>
        <w:rPr>
          <w:rFonts w:hint="eastAsia" w:ascii="Times New Roman" w:hAnsi="Times New Roman" w:eastAsia="仿宋_GB2312"/>
          <w:sz w:val="32"/>
          <w:szCs w:val="32"/>
        </w:rPr>
        <w:t>，动态更新就业岗位、补贴信息等，切实做好我局就业服务任务</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3、人大代表和政协提案办理结果公开情况。202</w:t>
      </w:r>
      <w:r>
        <w:rPr>
          <w:rFonts w:hint="eastAsia" w:ascii="Times New Roman" w:hAnsi="Times New Roman" w:eastAsia="仿宋_GB2312"/>
          <w:sz w:val="32"/>
          <w:szCs w:val="32"/>
        </w:rPr>
        <w:t>3</w:t>
      </w:r>
      <w:r>
        <w:rPr>
          <w:rFonts w:ascii="Times New Roman" w:hAnsi="Times New Roman" w:eastAsia="仿宋_GB2312"/>
          <w:sz w:val="32"/>
          <w:szCs w:val="32"/>
        </w:rPr>
        <w:t>年，淄川区人力资源和社会保障局共收到人大建议</w:t>
      </w:r>
      <w:r>
        <w:rPr>
          <w:rFonts w:hint="eastAsia" w:ascii="Times New Roman" w:hAnsi="Times New Roman" w:eastAsia="仿宋_GB2312"/>
          <w:sz w:val="32"/>
          <w:szCs w:val="32"/>
        </w:rPr>
        <w:t>6</w:t>
      </w:r>
      <w:r>
        <w:rPr>
          <w:rFonts w:ascii="Times New Roman" w:hAnsi="Times New Roman" w:eastAsia="仿宋_GB2312"/>
          <w:sz w:val="32"/>
          <w:szCs w:val="32"/>
        </w:rPr>
        <w:t>件，政协提案9件，均已在规定时限内办理完毕，答复率100%，委员代表满意率100%。全年未有上级建议提案办理任务。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4、政务公开工作创新情况。</w:t>
      </w:r>
      <w:r>
        <w:rPr>
          <w:rFonts w:hint="eastAsia" w:ascii="Times New Roman" w:hAnsi="Times New Roman" w:eastAsia="仿宋_GB2312"/>
          <w:sz w:val="32"/>
          <w:szCs w:val="32"/>
        </w:rPr>
        <w:t>淄川区人社局以政务直播拓宽政务公开新渠道，搭建起了“岗位推荐+线上答疑+后台服务”三位一体的网络直播招聘就业服务数字平台，打造出全链条式就业服务体系，进一步缓解就业压力，拓宽就业渠道。</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5、政府信息公开工作年度报告数据统计需要说明的事项。</w:t>
      </w:r>
      <w:r>
        <w:rPr>
          <w:rFonts w:hint="eastAsia" w:ascii="Times New Roman" w:hAnsi="Times New Roman" w:eastAsia="仿宋_GB2312"/>
          <w:sz w:val="32"/>
          <w:szCs w:val="32"/>
        </w:rPr>
        <w:t>无</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6、本行政机关认为需要报告的其他事项。</w:t>
      </w:r>
      <w:r>
        <w:rPr>
          <w:rFonts w:hint="eastAsia" w:ascii="Times New Roman" w:hAnsi="Times New Roman" w:eastAsia="仿宋_GB2312"/>
          <w:sz w:val="32"/>
          <w:szCs w:val="32"/>
        </w:rPr>
        <w:t>无</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7、其他有关文件专门要求通过政府信息公开工作年度报告予以报告的事项。</w:t>
      </w:r>
      <w:r>
        <w:rPr>
          <w:rFonts w:hint="eastAsia" w:ascii="Times New Roman" w:hAnsi="Times New Roman" w:eastAsia="仿宋_GB2312"/>
          <w:sz w:val="32"/>
          <w:szCs w:val="32"/>
        </w:rPr>
        <w:t>无</w:t>
      </w:r>
    </w:p>
    <w:p>
      <w:pPr>
        <w:spacing w:line="560" w:lineRule="exact"/>
        <w:ind w:firstLine="640" w:firstLineChars="200"/>
        <w:rPr>
          <w:rFonts w:hint="eastAsia" w:ascii="Times New Roman" w:hAnsi="Times New Roman" w:eastAsia="仿宋_GB2312"/>
          <w:sz w:val="32"/>
          <w:szCs w:val="32"/>
        </w:rPr>
      </w:pPr>
    </w:p>
    <w:p>
      <w:pPr>
        <w:spacing w:line="560" w:lineRule="exact"/>
        <w:ind w:firstLine="640" w:firstLineChars="200"/>
        <w:jc w:val="right"/>
        <w:rPr>
          <w:rFonts w:ascii="Times New Roman" w:hAnsi="Times New Roman" w:eastAsia="仿宋_GB2312"/>
          <w:sz w:val="32"/>
          <w:szCs w:val="32"/>
        </w:rPr>
      </w:pPr>
      <w:r>
        <w:rPr>
          <w:rFonts w:hint="eastAsia" w:ascii="Times New Roman" w:hAnsi="Times New Roman" w:eastAsia="仿宋_GB2312"/>
          <w:sz w:val="32"/>
          <w:szCs w:val="32"/>
        </w:rPr>
        <w:t>淄川区人力资源和社会保障局</w:t>
      </w:r>
    </w:p>
    <w:p>
      <w:pPr>
        <w:spacing w:line="560" w:lineRule="exact"/>
        <w:ind w:firstLine="640" w:firstLineChars="200"/>
        <w:jc w:val="right"/>
        <w:rPr>
          <w:rFonts w:hint="eastAsia" w:ascii="Times New Roman" w:hAnsi="Times New Roman" w:eastAsia="仿宋_GB2312"/>
          <w:sz w:val="32"/>
          <w:szCs w:val="32"/>
        </w:rPr>
      </w:pPr>
      <w:r>
        <w:rPr>
          <w:rFonts w:hint="eastAsia" w:ascii="Times New Roman" w:hAnsi="Times New Roman" w:eastAsia="仿宋_GB2312"/>
          <w:sz w:val="32"/>
          <w:szCs w:val="32"/>
        </w:rPr>
        <w:t>2024年1月26日</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MTYzNjUwZWQzOWQ2MmIxMGM0MDJmNmU2N2VhNGQifQ=="/>
  </w:docVars>
  <w:rsids>
    <w:rsidRoot w:val="75D44697"/>
    <w:rsid w:val="002C52AE"/>
    <w:rsid w:val="003054CE"/>
    <w:rsid w:val="00412E66"/>
    <w:rsid w:val="008344AD"/>
    <w:rsid w:val="00A31CC4"/>
    <w:rsid w:val="00B448EA"/>
    <w:rsid w:val="05D31001"/>
    <w:rsid w:val="086302C4"/>
    <w:rsid w:val="1DAB6F39"/>
    <w:rsid w:val="1E14059F"/>
    <w:rsid w:val="2B194FFC"/>
    <w:rsid w:val="30590093"/>
    <w:rsid w:val="31644F41"/>
    <w:rsid w:val="31753494"/>
    <w:rsid w:val="36BA39F3"/>
    <w:rsid w:val="3E271DB3"/>
    <w:rsid w:val="43377E32"/>
    <w:rsid w:val="5EBB1C78"/>
    <w:rsid w:val="5FE674F2"/>
    <w:rsid w:val="6FE52C6F"/>
    <w:rsid w:val="75D4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2639</Words>
  <Characters>2762</Characters>
  <Lines>22</Lines>
  <Paragraphs>6</Paragraphs>
  <TotalTime>77</TotalTime>
  <ScaleCrop>false</ScaleCrop>
  <LinksUpToDate>false</LinksUpToDate>
  <CharactersWithSpaces>2762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2024-01-12T07:30:00Z</dcterms:created>
  <dc:creator>人生何处不青山</dc:creator>
  <cp:lastModifiedBy>银杏果</cp:lastModifiedBy>
  <dcterms:modified xsi:type="dcterms:W3CDTF">2024-01-31T06:31:01Z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C881119725834C7B90B14AEF630FED2C_13</vt:lpwstr>
  </property>
</Properties>
</file>