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2E31">
      <w:pPr>
        <w:pStyle w:val="2"/>
        <w:bidi w:val="0"/>
        <w:rPr>
          <w:rFonts w:hint="eastAsia"/>
        </w:rPr>
      </w:pPr>
      <w:r>
        <w:rPr>
          <w:rFonts w:hint="eastAsia"/>
        </w:rPr>
        <w:t>关于提升我区基层劳动人事争议调解组织服务能力的建议</w:t>
      </w:r>
    </w:p>
    <w:p w14:paraId="6FA2E599">
      <w:pPr>
        <w:bidi w:val="0"/>
        <w:rPr>
          <w:rFonts w:hint="eastAsia"/>
        </w:rPr>
      </w:pPr>
    </w:p>
    <w:p w14:paraId="1202D0C2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背景及问题分析</w:t>
      </w:r>
    </w:p>
    <w:p w14:paraId="73DB874D">
      <w:pPr>
        <w:bidi w:val="0"/>
        <w:rPr>
          <w:rFonts w:hint="eastAsia"/>
        </w:rPr>
      </w:pPr>
      <w:r>
        <w:rPr>
          <w:rFonts w:hint="eastAsia"/>
        </w:rPr>
        <w:t>近年来，随着我区经济的快速发展和产业结构</w:t>
      </w:r>
      <w:bookmarkStart w:id="0" w:name="_GoBack"/>
      <w:bookmarkEnd w:id="0"/>
      <w:r>
        <w:rPr>
          <w:rFonts w:hint="eastAsia"/>
        </w:rPr>
        <w:t>的不断优化，劳动关系日益复杂，劳动者与用人单位之间的劳动争议案件数量居高不下。尽管我区在劳动人事争议调解方面取得一定成效，如我区已有6家劳动人事争议调解组织获评市级金牌调解组织，但面对日益复杂多变的劳动关系，现有调解组织的调解能力亟需提升。具体表现在：调解组织的覆盖面不够广、缺乏专业的调解机构和调解人员，从而导致调解的专业性、权威性不足、信息化水平不高，有待进一步加强调解效率和提升群众满意度。</w:t>
      </w:r>
    </w:p>
    <w:p w14:paraId="42C161F5">
      <w:pPr>
        <w:bidi w:val="0"/>
        <w:rPr>
          <w:rFonts w:hint="eastAsia"/>
        </w:rPr>
      </w:pPr>
      <w:r>
        <w:rPr>
          <w:rFonts w:hint="eastAsia"/>
        </w:rPr>
        <w:t>从目前我区劳动人事争议调解组织现状来看，自2021年淄博市开展第一批劳动人事争议金牌调解组织评选活动以来，淄川区共有6家调解组织获评市级金牌调解组织，分别为4家街镇级劳动人事争议调解委员会、1家企业调解委员会和1家区级调解委员会。金牌调解组织的年度调解成功率一般均能达到65%以上，但仍有部分案件因调解不及时、调解方案不合理等各方面原因导致调解失败，从而进入劳动仲裁或司法诉讼程序，增加了劳动者的维权成本和社会的司法负担。</w:t>
      </w:r>
    </w:p>
    <w:p w14:paraId="60DC8D5E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建议</w:t>
      </w:r>
    </w:p>
    <w:p w14:paraId="0AF1ED20">
      <w:pPr>
        <w:bidi w:val="0"/>
        <w:rPr>
          <w:rFonts w:hint="eastAsia"/>
        </w:rPr>
      </w:pPr>
      <w:r>
        <w:rPr>
          <w:rStyle w:val="7"/>
          <w:rFonts w:hint="eastAsia" w:asciiTheme="minorHAnsi" w:hAnsiTheme="minorHAnsi"/>
        </w:rPr>
        <w:t>一是扩大调解组织的覆盖面。</w:t>
      </w:r>
      <w:r>
        <w:rPr>
          <w:rFonts w:hint="eastAsia"/>
        </w:rPr>
        <w:t>进一步加大对劳动人事争议调解工作的投入力度，在全区范围内建立更多专业的调解组织和调解队伍。特别是在工业园区、大型企业、商业街区等劳动人事争议高发的区域设立调解机构，确保劳动者在发生争议时能够及时获得有效的调解服务。</w:t>
      </w:r>
    </w:p>
    <w:p w14:paraId="0A58378E">
      <w:pPr>
        <w:bidi w:val="0"/>
        <w:rPr>
          <w:rFonts w:hint="eastAsia"/>
        </w:rPr>
      </w:pPr>
      <w:r>
        <w:rPr>
          <w:rStyle w:val="7"/>
          <w:rFonts w:hint="eastAsia" w:asciiTheme="minorHAnsi" w:hAnsiTheme="minorHAnsi"/>
        </w:rPr>
        <w:t>二是提升调解的专业性和权威性。</w:t>
      </w:r>
      <w:r>
        <w:rPr>
          <w:rFonts w:hint="eastAsia"/>
        </w:rPr>
        <w:t>加强对调解员的培训和管理，通过聘请专家授课、开展专业讲座、观摩优秀调解案例等多种形式，进一步提高调解员的专业素质和调解技巧。同时，积极吸纳法学专家、对口律师、法务从业人员、劳动人事争议仲裁员等具有专业力量的人才充实兼职调解员队伍，从而提升调解的专业性和权威性。</w:t>
      </w:r>
    </w:p>
    <w:p w14:paraId="6A573CB5">
      <w:pPr>
        <w:bidi w:val="0"/>
        <w:rPr>
          <w:rFonts w:hint="eastAsia"/>
        </w:rPr>
      </w:pPr>
      <w:r>
        <w:rPr>
          <w:rStyle w:val="7"/>
          <w:rFonts w:hint="eastAsia" w:asciiTheme="minorHAnsi" w:hAnsiTheme="minorHAnsi"/>
        </w:rPr>
        <w:t>三是强化调解员队伍建设。</w:t>
      </w:r>
      <w:r>
        <w:rPr>
          <w:rFonts w:hint="eastAsia"/>
        </w:rPr>
        <w:t>落实“以案定补”等劳动争议预防调解工作激励和约束机制，稳定调解员队伍，优化调解员队伍结构，建立调解员定期培训制度，制定培训计划，加大培训力度，不断提高调解员政治素质、业务能力和调解技巧，努力在各调解组织锻造出一支公道正派、联系群众、热心调解工作的高素质、高能力的调解队伍，推动预防调解工作向纵深开展。</w:t>
      </w:r>
    </w:p>
    <w:p w14:paraId="6AAA8BE1">
      <w:pPr>
        <w:bidi w:val="0"/>
        <w:rPr>
          <w:rFonts w:hint="eastAsia"/>
        </w:rPr>
      </w:pPr>
      <w:r>
        <w:rPr>
          <w:rStyle w:val="7"/>
          <w:rFonts w:hint="eastAsia"/>
        </w:rPr>
        <w:t>四是推进调解工作的信息化建设。</w:t>
      </w:r>
      <w:r>
        <w:rPr>
          <w:rFonts w:hint="eastAsia"/>
        </w:rPr>
        <w:t>充分利用现代信息技术手段，推进调解工作的信息化、智能化水平。通过建立电子工作台账、开发调解信息系统等方式，实现调解工作的规范化、标准化和高效化。同时，加强与仲裁机构、人民法院的信息互联互通互享，推动调解与仲裁、诉讼的有效衔接、进而提质增效，为高质量调解注入强大动力。</w:t>
      </w:r>
    </w:p>
    <w:p w14:paraId="60795D97">
      <w:pPr>
        <w:bidi w:val="0"/>
        <w:rPr>
          <w:rFonts w:hint="eastAsia"/>
        </w:rPr>
      </w:pPr>
    </w:p>
    <w:p w14:paraId="3802E38B">
      <w:pPr>
        <w:bidi w:val="0"/>
        <w:rPr>
          <w:rFonts w:hint="eastAsia"/>
        </w:rPr>
      </w:pPr>
      <w:r>
        <w:rPr>
          <w:rFonts w:hint="eastAsia"/>
        </w:rPr>
        <w:t>审查意见：同意立案</w:t>
      </w:r>
    </w:p>
    <w:p w14:paraId="4FD685FB">
      <w:pPr>
        <w:bidi w:val="0"/>
        <w:rPr>
          <w:rFonts w:hint="eastAsia"/>
        </w:rPr>
      </w:pPr>
      <w:r>
        <w:rPr>
          <w:rFonts w:hint="eastAsia"/>
        </w:rPr>
        <w:t>处理意见：由区人社局、区司法局、区法院办理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6865"/>
    <w:rsid w:val="5E8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420" w:firstLineChars="200"/>
      <w:jc w:val="both"/>
      <w:textAlignment w:val="auto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tabs>
        <w:tab w:val="center" w:pos="4422"/>
        <w:tab w:val="left" w:pos="6759"/>
      </w:tabs>
      <w:spacing w:before="0" w:beforeAutospacing="0" w:after="0" w:afterAutospacing="0"/>
      <w:jc w:val="both"/>
      <w:outlineLvl w:val="1"/>
    </w:pPr>
    <w:rPr>
      <w:rFonts w:hint="eastAsia" w:ascii="Times New Roman" w:hAnsi="Times New Roman" w:eastAsia="黑体" w:cs="Times New Roman"/>
      <w:sz w:val="32"/>
      <w:szCs w:val="32"/>
      <w:lang w:eastAsia="zh-CN" w:bidi="ar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widowControl w:val="0"/>
      <w:spacing w:line="560" w:lineRule="exact"/>
      <w:jc w:val="both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1"/>
    <w:link w:val="4"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1248</Characters>
  <Lines>0</Lines>
  <Paragraphs>0</Paragraphs>
  <TotalTime>2</TotalTime>
  <ScaleCrop>false</ScaleCrop>
  <LinksUpToDate>false</LinksUpToDate>
  <CharactersWithSpaces>1259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2025-03-24T07:06:00Z</dcterms:created>
  <dc:creator>Administrator</dc:creator>
  <cp:lastModifiedBy>晓月亦风华</cp:lastModifiedBy>
  <dcterms:modified xsi:type="dcterms:W3CDTF">2025-08-04T01:50:40Z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eyJoZGlkIjoiZjVlYzI3YjgyZWUwYjlhZDY3NzNkNDhkMzc3NTY2YTUiLCJ1c2VySWQiOiIyNTQ2NjkyNTcifQ==</vt:lpwstr>
  </property>
  <property fmtid="{D5CDD505-2E9C-101B-9397-08002B2CF9AE}" pid="4" name="ICV">
    <vt:lpwstr>3D5F5C952133499CBF4A93023B984D6B_12</vt:lpwstr>
  </property>
</Properties>
</file>