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6" w:lineRule="exact"/>
        <w:jc w:val="center"/>
        <w:rPr>
          <w:rFonts w:ascii="Times New Roman" w:hAnsi="Times New Roman" w:eastAsia="仿宋_GB2312"/>
        </w:rPr>
      </w:pPr>
    </w:p>
    <w:p>
      <w:pPr>
        <w:snapToGrid w:val="0"/>
        <w:spacing w:line="576" w:lineRule="exact"/>
        <w:jc w:val="center"/>
        <w:rPr>
          <w:rFonts w:ascii="Times New Roman" w:hAnsi="Times New Roman" w:eastAsia="仿宋_GB2312"/>
        </w:rPr>
      </w:pPr>
    </w:p>
    <w:p>
      <w:pPr>
        <w:snapToGrid w:val="0"/>
        <w:spacing w:line="576" w:lineRule="exact"/>
        <w:jc w:val="center"/>
        <w:rPr>
          <w:rFonts w:ascii="Times New Roman" w:hAnsi="Times New Roman" w:eastAsia="仿宋_GB2312"/>
        </w:rPr>
      </w:pPr>
    </w:p>
    <w:p>
      <w:pPr>
        <w:snapToGrid w:val="0"/>
        <w:spacing w:line="576" w:lineRule="exact"/>
        <w:jc w:val="center"/>
        <w:rPr>
          <w:rFonts w:ascii="Times New Roman" w:hAnsi="Times New Roman" w:eastAsia="仿宋_GB2312"/>
        </w:rPr>
      </w:pPr>
    </w:p>
    <w:p>
      <w:pPr>
        <w:snapToGrid w:val="0"/>
        <w:spacing w:line="576" w:lineRule="exact"/>
        <w:jc w:val="center"/>
        <w:rPr>
          <w:rFonts w:ascii="Times New Roman" w:hAnsi="Times New Roman" w:eastAsia="仿宋_GB2312"/>
        </w:rPr>
      </w:pP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320" w:firstLineChars="100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川政办字〔20</w:t>
      </w: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22</w:t>
      </w:r>
      <w:r>
        <w:rPr>
          <w:rFonts w:ascii="Times New Roman" w:hAnsi="Times New Roman" w:eastAsia="仿宋_GB2312"/>
          <w:sz w:val="32"/>
          <w:szCs w:val="32"/>
        </w:rPr>
        <w:t>号</w:t>
      </w:r>
    </w:p>
    <w:p>
      <w:pPr>
        <w:spacing w:line="600" w:lineRule="exact"/>
        <w:ind w:firstLine="320" w:firstLineChars="1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  <w:t>淄川区人民政府办公室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-11"/>
          <w:sz w:val="44"/>
          <w:szCs w:val="44"/>
          <w:lang w:val="en-US" w:eastAsia="zh-CN"/>
        </w:rPr>
        <w:t>关于印发淄川区深化新旧动能转换推动绿色低碳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0"/>
          <w:sz w:val="44"/>
          <w:szCs w:val="44"/>
          <w:lang w:val="en-US" w:eastAsia="zh-CN"/>
        </w:rPr>
        <w:t>高质量发展2023年重点工作任务的通知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各镇人民政府，各街道办事处，开发区管委会，区政府有关部门，有关单位：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《淄川区深化新旧动能转换推动绿色低碳高质量发展2023年重点工作任务》已经区政府同意，现印发给你们，请结合实际，认真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抓好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淄川区人民政府办公室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（此件公开发布）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淄川区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eastAsia="zh-CN"/>
        </w:rPr>
        <w:t>深化新旧动能转换推动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绿色低碳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微软雅黑" w:cs="Times New Roman"/>
          <w:color w:val="auto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高质量发展2023年重点工作任务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为全面落实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《淄博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市深化新旧动能转换推动绿色低碳高质量发展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2023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年重点工作任务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》、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淄川区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深化新旧动能转换推动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绿色低碳高质量发展三年行动计划（2023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2025年）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确保我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绿色低碳高质量发展工作开好局、起好步、走在前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，制定2023年重点工作任务如下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一、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eastAsia="zh-CN"/>
        </w:rPr>
        <w:t>加快推进科技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创新驱动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eastAsia="zh-CN"/>
        </w:rPr>
        <w:t>发展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1.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加快高能级创新平台建设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。实施创新平台梯次梯度培育计划，建立储备培育库，形成“成立”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“成长”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“成熟”的可持续平台生态，推动创新平台提质升级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力争新增市级以上创新平台10家以上。做好第二批省级工程研究中心（工程实验室）优化整合工作，力争新增3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5家市级创新平台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2家省级创新平台。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区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科技局牵头，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区发改局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等部门配合）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2.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加强关键核心技术攻关。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聚焦我区“431”现代产业体系，支持企业与高校院所开展产学研协同创新，共同申报科技型中小企业创新能力提升工程，争取相关领域省级及以上科技项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3项以上。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区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科技局负责）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3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培优做强科技创新主力军。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实施科技型企业“双培育双提升”计划，将具备高企培育潜力的企业，纳入区级培育库进行重点培育，力争高新技术企业和科技型中小企业数量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分别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达到170家和175家。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区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科技局负责）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4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加大高端人才引育力度。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落实《关于加强新时代淄博人才工作若干措施》等系列政策，持续打造“三百三行”产学研合作升级版，深化“揭榜挂帅”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“科技副总”等引才机制，采取“项目点人”等方式引进培育国家级重点人才，实施“双百工程”，实现人才科技发展集团实体化运作，年内至少引育10名市级以上高层次人才，3000名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以上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高校毕业生，力争国家级重点人才工程再次实现突破。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区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委组织部牵头，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区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教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体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局、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区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人社局、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区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科技局等部门配合）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5.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深化产教融合。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加强淄博理工学校与高职院校交流学习，不断提升服务企业发展水平和教育教学质量。推行中高职一体化人才培养模式，扩大对口贯通培养规模。推进省高水平中职学校建设，围绕全区支柱产业、新兴产业，深化产教融合、校企合作，重点建设2个省市级中职特色化专业。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区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教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体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局牵头，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区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科技局等部门配合）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C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6.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</w:rPr>
        <w:t>提升科技成果转化精度。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制定《淄川区关于推动科技成果转移转化的实施意见》，完善促进科技成果转移转化制度体系，打通成果转移转化通道。立足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四强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产业，依托金城医药中试基地等加快科技成果转化为现实生产力，推动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区绿色低碳高质量发展。加强高水平成果转化服务机构、中试基地、创新创业股权投资基金等建设，提升科技成果资源的共享与转移转化质效，力争万人高价值发明专利拥有量超过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8.2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件。积极培育技术转移服务业态，推动技术转移与创业孵化融通发展，做好技术合同认定登记工作。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</w:rPr>
        <w:t>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区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</w:rPr>
        <w:t>科技局牵头，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区发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</w:rPr>
        <w:t>改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局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</w:rPr>
        <w:t>、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区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</w:rPr>
        <w:t>市场监管局等部门配合）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二、持续深化新旧动能转换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7.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 xml:space="preserve"> </w:t>
      </w:r>
      <w:r>
        <w:rPr>
          <w:rFonts w:hint="default" w:ascii="Times New Roman" w:hAnsi="Times New Roman" w:eastAsia="楷体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改造提升优势传统产业。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突出“五个优化”主攻方向，积极围绕数字化智能化技改，深入实施“百项技改、百企转型”工程，加速技改高质量发展，助推全区工业经济平稳运行，力争全年全区制造业技改投资完成25亿元，同比增长12%。持续推进绿色制造体系建设，新增市级以上绿色工厂3家，开发绿色设计产品2种。深入推进资源型城市产业转型升级示范区建设，落实示范区建设、制造业优势重构和工业遗产保护利用等方案，做好政策和资金对上争取，确保资源枯竭城市转型发展持续走在全国前列。</w:t>
      </w:r>
      <w:r>
        <w:rPr>
          <w:rFonts w:hint="default" w:ascii="Times New Roman" w:hAnsi="Times New Roman" w:eastAsia="楷体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（</w:t>
      </w:r>
      <w:r>
        <w:rPr>
          <w:rFonts w:hint="default" w:ascii="Times New Roman" w:hAnsi="Times New Roman" w:eastAsia="楷体_GB2312" w:cs="Times New Roman"/>
          <w:color w:val="auto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  <w:t>区工信局牵头，</w:t>
      </w:r>
      <w:r>
        <w:rPr>
          <w:rFonts w:hint="default" w:ascii="Times New Roman" w:hAnsi="Times New Roman" w:eastAsia="楷体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区发改局、区生态环境分局等部门配合）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8.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 xml:space="preserve"> </w:t>
      </w:r>
      <w:r>
        <w:rPr>
          <w:rFonts w:hint="default" w:ascii="Times New Roman" w:hAnsi="Times New Roman" w:eastAsia="楷体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加快培育新经济新动能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。积极推动汽车及高端装备制造产业、激光产业两条新赛道建设，培育认定2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—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3个新经济创新应用场景，培育认定新经济种子企业2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—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3家。培育壮大数字产业，加快推进中国移动（淄博）鲁中数据中心开展机电扩容、二期土建等建设任务。加快推动数字经济核心产业发展，强化靠前服务，依托中国移动（淄博）鲁中数据中心打造我区区域性产业算力中心。</w:t>
      </w:r>
      <w:r>
        <w:rPr>
          <w:rFonts w:hint="default" w:ascii="Times New Roman" w:hAnsi="Times New Roman" w:eastAsia="楷体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（区发改局、区工信局、区大数据中心负责）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C00000"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9.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 xml:space="preserve"> </w:t>
      </w:r>
      <w:r>
        <w:rPr>
          <w:rFonts w:hint="default" w:ascii="Times New Roman" w:hAnsi="Times New Roman" w:eastAsia="楷体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持续壮大产业链群。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深入实施产业链“链长制”，力争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年内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新能源汽车及配套装备产值达到100亿元，培育100家汽车零配件及服务企业。围绕新材料、纺织服装、建材建陶产业链，实施产业链提升行动。深入推进“四强”产业攀登计划，力争“四强”产业增加值占比达到40%。抓好国家、省战略性新兴产业集群、特色产业集群、省“雁阵形”产业集群及集群领军企业培育发展，抓好重大产业攻关项目实施，持续壮大产业集群规模。</w:t>
      </w:r>
      <w:r>
        <w:rPr>
          <w:rFonts w:hint="default" w:ascii="Times New Roman" w:hAnsi="Times New Roman" w:eastAsia="楷体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（区发改局、区工信局牵头，区有关产业专责部门</w:t>
      </w:r>
      <w:r>
        <w:rPr>
          <w:rFonts w:hint="eastAsia" w:ascii="Times New Roman" w:hAnsi="Times New Roman" w:eastAsia="楷体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楷体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各相关部门等配合）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10.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 xml:space="preserve"> </w:t>
      </w:r>
      <w:r>
        <w:rPr>
          <w:rFonts w:hint="default" w:ascii="Times New Roman" w:hAnsi="Times New Roman" w:eastAsia="楷体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梯度培育优质企业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。打造“创新型中小企业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—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专精特新中小企业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—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专精特新‘小巨人’企业”梯度培育体系，建立优质中小企业动态培育库，加强分类指导、分级培育，推动技术、资金、人才、数据等要素资源向“专精特新”中小企业集聚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，力争年内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培育认定专精特新类和瞪羚类企业15家。</w:t>
      </w:r>
      <w:r>
        <w:rPr>
          <w:rFonts w:hint="default" w:ascii="Times New Roman" w:hAnsi="Times New Roman" w:eastAsia="楷体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（区工信局负责）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11.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推进制造业数字化转型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。推动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一代信息技术与制造业融合发展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利用“5G+工业互联网”、“人工智能+工业互联网”等新一代信息技术改造提升传统产业，打造一批传统企业典型应用场景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培育新一代应用场景8个。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区工信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局负责）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12.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 xml:space="preserve"> </w:t>
      </w:r>
      <w:r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发展壮大绿色低碳环保产业。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大力发展新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能源汽车、储能、光伏等新能源制造业和环保产业。加强专业园区建设，招引培育核心企业。大力实施“新能源101”工程，加快华电“光储氢热”一体化智慧能源基地项目建设。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落实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市生态环保产业集群建设方案要求，加快区域内环保产业园区等项目建设。</w:t>
      </w:r>
      <w:r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highlight w:val="none"/>
          <w:u w:val="none"/>
          <w:shd w:val="clear" w:color="auto" w:fill="FFFFFF"/>
          <w:lang w:val="en-US" w:eastAsia="zh-CN" w:bidi="ar-SA"/>
        </w:rPr>
        <w:t>（区发改局牵头，区工信局、区生态环境分局等部门配合）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13.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规范“两高”行业管理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严格执行“两高”行业和项目管理要求，严格落实“五个减量替代”适用范围，对新建“两高”项目增加能耗、煤耗、碳排放、污染物排放的，需进行等量或减量替代，制定替代方案。加快淘汰低效落后产能，按要求依法依规、稳妥有序退出。</w:t>
      </w:r>
      <w:r>
        <w:rPr>
          <w:rFonts w:hint="default" w:ascii="Times New Roman" w:hAnsi="Times New Roman" w:eastAsia="楷体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（区发改局牵头，区工信局等部门配合）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</w:rPr>
        <w:t>14.</w:t>
      </w:r>
      <w:r>
        <w:rPr>
          <w:rFonts w:hint="eastAsia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打造服务业发展高地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突出抓好服务业载体建设，大力培育现代服务业集聚示范区，推进10个以上现代服务业重点项目建设，全区现代服务业增加值占比达到52%左右。大力发展夜间经济，推进夜间经济载体项目建设和夜间经济试点街区培育，争创夜间经济示范载体1个。</w:t>
      </w:r>
      <w:r>
        <w:rPr>
          <w:rFonts w:hint="default" w:ascii="Times New Roman" w:hAnsi="Times New Roman" w:eastAsia="楷体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（区发改局负责）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楷体_GBK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15.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</w:rPr>
        <w:t>建设质量强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eastAsia="zh-CN"/>
        </w:rPr>
        <w:t>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。加强品牌培育，力争年内新增省高端品牌企业2家以上，“好品山东”区域公共品牌2项以上。实施标准化战略，支持企业参与或主导制定修订国家标准、行业标准7项以上。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区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市场监管局负责）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C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</w:rPr>
        <w:t>构建优良产业金融发展生态。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常态化推进绿色项目银企对接，依托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智慧金融综合服务平台，实现对接率100%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持续推动绿色企业项目库建设，加大再贷款、再贴现等货币政策工具对在库企业及项目的贷款支持力度。深化资本市场突破行动，重点抓好33家上市后备企业的动态培育工作。做大政府性融资担保规模，优化提升“技改专项贷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“春风齐鑫贷”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“应急转贷”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“人才贷”等政策措施，年内力争政府引导企业出资基金数量突破11支，出资规模突破200亿元。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</w:rPr>
        <w:t>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区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地方金融监管局牵头，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区工信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eastAsia="zh-CN"/>
        </w:rPr>
        <w:t>局、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区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财政局、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highlight w:val="none"/>
          <w:lang w:eastAsia="zh-CN"/>
        </w:rPr>
        <w:t>区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eastAsia="zh-CN"/>
        </w:rPr>
        <w:t>人民银行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等部门配合）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color w:val="C0000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三、坚定不移扩大内需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持续扩大有效投资。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落实市“十大扩需求”行动，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推动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160个区重点项目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46个市重大项目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12个省重点项目建设，拉动全区固定资产投资增幅高于全市平均水平。对列入省、市绿色低碳高质量发展三年行动计划的项目，加强调度推进，做好增补争取工作。加大政府专项债，中央、省预算内投资，政策性开发性金融工具，制造业中长期贷款等资金争取力度，为项目建设和企业发展提供更多资金支持。</w:t>
      </w:r>
      <w:r>
        <w:rPr>
          <w:rFonts w:hint="default" w:ascii="Times New Roman" w:hAnsi="Times New Roman" w:eastAsia="楷体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（区发改局牵头，区财政局等部门配合）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楷体_GBK" w:cs="Times New Roman"/>
          <w:color w:val="auto"/>
          <w:sz w:val="32"/>
          <w:szCs w:val="32"/>
          <w:highlight w:val="none"/>
          <w:lang w:val="zh-CN"/>
        </w:rPr>
      </w:pP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18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促进消费提质扩容。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鼓励支持汽车、家电等大件商品以旧换新，加快发展绿色食品、健身器材、体育运动等健康消费，支持发展在线教育、互联网医疗等新业态新模式，开展好“淄在购物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乐游山川”、淄川城市生活艺术节等系列促消费活动，实现全年社会消费品零售总额稳定增长。新建改造乡镇商贸中心3个。加快发展网络零售，力争全年网络零售增速高于全市平均水平。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zh-CN"/>
        </w:rPr>
        <w:t>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区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zh-CN"/>
        </w:rPr>
        <w:t>商务局牵头，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区发改局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zh-CN"/>
        </w:rPr>
        <w:t>、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区教体局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zh-CN"/>
        </w:rPr>
        <w:t>、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区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zh-CN"/>
        </w:rPr>
        <w:t>农业农村局、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区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zh-CN"/>
        </w:rPr>
        <w:t>卫健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局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zh-CN"/>
        </w:rPr>
        <w:t>、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区文旅局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zh-CN"/>
        </w:rPr>
        <w:t>、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区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市场监管局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zh-CN"/>
        </w:rPr>
        <w:t>等部门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配合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color w:val="C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加快现代流通体系建设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实施多式联运“一单制”一体化升级工程。实施冷链物流提升扩容工程，推进冷链物流项目规划建设，提增高标准智能冷链仓储能力。实施新能源汽车推广升级工程，推动物流产业绿色化、低碳化发展。推进海尔新星物流公路港等重点物流项目建设，加快构建现代物流业规划布局。</w:t>
      </w:r>
      <w:r>
        <w:rPr>
          <w:rFonts w:hint="default" w:ascii="Times New Roman" w:hAnsi="Times New Roman" w:eastAsia="楷体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（区发改局牵头，区工信局、区商务局、区交通运输局等部门配合）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加快交通基础设施建设。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积极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推进淄博至博山铁路改造工程，开工建设经十路东延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，配合做好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淄博南环线、淄博至济南等市域铁路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前期工作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。加快高快路网建设，实现济潍高速（淄川段）、临临高速（淄川段）建成通车。深入实施“四好农村路”提质增效专项行动，新改建农村公路41公里，实施路面状况改善工程84.7公里。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val="en-US" w:eastAsia="zh-CN"/>
        </w:rPr>
        <w:t>（区交通运输局牵头，区发改局、区自然资源局、区规划办、区住建局等部门配合）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大力发展绿色智慧交通。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施交通运输降碳行动，优化新能源汽车使用环境，新建改造综合能源港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，完成充电设施1220个。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加快推进数智交通发展，实施交通基础设施数字化运维、多式交通运输数据共享及联网联控，推进城市交通信号灯、公交、公共停车场、路边泊车位等交通设施智能化管理。实施城区智慧泊车工程。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val="en-US" w:eastAsia="zh-CN"/>
        </w:rPr>
        <w:t>（区发改局牵头，区工信局、区交警大队、区住建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val="en" w:eastAsia="zh-CN"/>
        </w:rPr>
        <w:t>局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val="en-US" w:eastAsia="zh-CN"/>
        </w:rPr>
        <w:t>、区交通运输局、区机关事务服务中心、区综合行政执法局等部门配合）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四、推进降碳减污扩绿增长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楷体_GBK" w:cs="Times New Roman"/>
          <w:color w:val="C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</w:rPr>
        <w:t>加快构建国土空间开发保护新格局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配合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完成《淄博市国土空间总体规划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2021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2035年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》编制。稳妥推进重点区域规划编制，做好重大项目选址及重点项目规划管理。全面启动城镇开发边界内详细规划编制工作，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完善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详细规划“一张图”实施监督信息系统。压实耕地保护责任，带图斑、带位置、带规模下达耕地保护任务，加强耕地和永久基本农田季度动态监测。严格落实“三线一单”生态环境分区管控要求。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val="en-US" w:eastAsia="zh-CN"/>
        </w:rPr>
        <w:t>（区自然资源局、区规划办、区生态环境分局牵头，区农业农村局等部门配合）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扎实开展绿色低碳转型行动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建立覆盖重点领域的能耗统计监测体系，落实好国家、省鼓励可再生能源消费政策。持续推进减碳降碳十大行动，稳步推进能耗“双控”向碳排放总量和强度双控转变。制定淄川区碳达峰实施方案。开展低碳园区、低碳企业、低碳社区、低碳单位评价试点。完善生态产品价值实现机制。推进生态环保产业集群建设，开展整体清洁生产审核创新试点、生态环境导向的开发（EOD）模式试点。加强绿色低碳新技术新模式推广。加快碳捕集、利用与封存（CCUS）技术研发应用。</w:t>
      </w:r>
      <w:r>
        <w:rPr>
          <w:rFonts w:hint="default" w:ascii="Times New Roman" w:hAnsi="Times New Roman" w:eastAsia="楷体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（区发改局牵头，区工信局、区商务局、区生态环境分局、区市场监管局等部门配合）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</w:rPr>
        <w:t>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</w:rPr>
        <w:t>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大力发展非化石能源。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加快能源结构调整优化，大力发展太阳能、生物质能等非化石能源，加快推动华电集团“光储氢热”一体化智慧能源基地、淄川区智慧能源管理中心、多能互补抽水蓄能等重点项目建设，形成新能源高地、智慧能源产业范式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吸引20家新能源装备制造企业来我区投资建设生产基地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完成光伏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装机容量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29.3万千瓦。</w:t>
      </w:r>
      <w:r>
        <w:rPr>
          <w:rFonts w:hint="default" w:ascii="Times New Roman" w:hAnsi="Times New Roman" w:eastAsia="楷体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（区发改局牵头，区供电中心等部门配合）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"/>
        </w:rPr>
        <w:t>加快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发展新型储能。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推进能量型锂电池、铅酸电池等储能项目建设，加快淄博明泰100MWh光伏铅碳储能项目建设。推进山东华电淄博淄川昆仑多能互补创新示范园项目建设。推动电网数字化改造、智能化提升，推动多能互补试点项目建设，构建源网荷储协同互动的智慧能源系统。</w:t>
      </w:r>
      <w:r>
        <w:rPr>
          <w:rFonts w:hint="default" w:ascii="Times New Roman" w:hAnsi="Times New Roman" w:eastAsia="楷体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（区发改局牵头，区自然资源局、区规划办、区供电公司等部门配合）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color w:val="C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</w:rPr>
        <w:t>清洁高效利用化石能源。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持续压减煤炭消费量，从严控制新改扩建耗煤项目。有序压减小煤电机组规模，力争完成坤升热电两台机组关停任务。完成万元GDP能耗下降市下达目标任务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推进工业余热再利用，扩大工业余热供热面积。应用矿井水资源供暖，淘汰落后热源，弥补供热空缺。持续推进天然气替代推广行动，优化完善油气管网，加快济淄联络线等输油输气管道建设，力争全年天然气利用量5.6亿立方米以上。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</w:rPr>
        <w:t>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区发改局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</w:rPr>
        <w:t>牵头，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区工信局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</w:rPr>
        <w:t>、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区住建局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val="en"/>
        </w:rPr>
        <w:t>等部门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</w:rPr>
        <w:t>配合）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楷体_GBK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</w:rPr>
        <w:t>深入推进环境污染防治。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持续深入打好蓝天、碧水、净土保卫战，完成市下达生态环境各项约束性指标任务。实施全区工业企业大气污染治理品质提升行动，年内完成全区6家水泥熟料企业超低排放改造，持续改善环境空气质量。加快推进水资源保护利用行动，国控断面优良水体比例达到57.1%以上，力争主要河流水环境质量全面消除Ⅴ类水体，水环境质量走在全市前列。做好土壤污染防治工作。推进农村生活污水治理，完成省定12个行政村生活污水治理任务。建立常态化评估机制，危险废物规范化管理抽查合格率达到95%以上。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</w:rPr>
        <w:t>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区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</w:rPr>
        <w:t>生态环境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分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</w:rPr>
        <w:t>局牵头，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区工信局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</w:rPr>
        <w:t>、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区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</w:rPr>
        <w:t>农业农村局等部门配合）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加强生态系统保护与修复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。统筹山水林田湖草沙系统治理，完成荒山绿化6000亩。推进河湖“清四乱”常态化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，实施冲山小流域、龙湾峪小流域综合治理工程，治理和改善水土流失面积24平方公里。推进美丽幸福河湖建设，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实施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淄河、幸福支流、黑山支流、般河、七星河、五里河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6条河道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建美丽幸福河湖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工程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（区自然资源局、区水利局负责）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完善现代水网体系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。实施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三河相通两库相连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引蓄水治理工程，推进太河水库增容工程前期工作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城乡供水一体化建设项目，完成新建水厂1座，铺设管道20公里。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（区水利局负责）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3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打好深度节水控水攻坚战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。持续推进节水载体建设，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实施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再生水等非常规水利用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优化配置水资源用水总量和非常规水源利用量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年度用水总量控制在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8000万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立方米之内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非常规水源利用量达到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700万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立方米以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上。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（区水利局牵头，区住建局等部门配合）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3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大力发展绿色建筑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。深入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实施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绿色建筑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建设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行动，完善统一管理、分级实施的星级绿色建筑标识管理模式，引导发展高星级绿色建筑。新增绿色建筑10万平方米以上，城镇新建民用建筑中绿色建筑占比力争达到100%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落实新版居住建筑节能设计标准，切实提升能效水平。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区住建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局负责）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3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加快形成绿色低碳生活方式。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实施绿色低碳全民行动，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推广使用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节能环保汽车、节能家电、高效照明等绿色产品，严格执行节能、节水、环保、再生绿色产品采购制度。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落实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“固废整治五年专项行动”，加快建设“无废城市”。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区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直机关工委、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区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机关事务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服务中心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牵头，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区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委宣传部、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区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生态环境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分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局、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区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交通运输局、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区综合行政执法局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等部门配合）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五、深入实施黄河重大国家战略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C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3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深度融入重大发展战略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。深入落实黄河重大国家战略，抓好黄河流域生态保护和高质量发展专项巡视巡察问题整改。推动落实沿黄城市战略合作有关工作，推动齐鲁云商大宗商品B2B服务平台列入黄河流域省际合作事项。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区发改局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、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区自然资源局、区规划办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、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区水利局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负责）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C00000"/>
          <w:sz w:val="32"/>
          <w:szCs w:val="32"/>
          <w:highlight w:val="none"/>
          <w:lang w:val="en"/>
        </w:rPr>
      </w:pP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u w:val="none"/>
        </w:rPr>
        <w:t>3</w:t>
      </w:r>
      <w:r>
        <w:rPr>
          <w:rFonts w:hint="eastAsia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u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u w:val="none"/>
        </w:rPr>
        <w:t>.</w:t>
      </w:r>
      <w:r>
        <w:rPr>
          <w:rFonts w:hint="eastAsia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strike w:val="0"/>
          <w:dstrike w:val="0"/>
          <w:color w:val="auto"/>
          <w:sz w:val="32"/>
          <w:szCs w:val="32"/>
          <w:highlight w:val="none"/>
          <w:u w:val="none"/>
        </w:rPr>
        <w:t>筑牢</w:t>
      </w:r>
      <w:r>
        <w:rPr>
          <w:rFonts w:hint="eastAsia" w:ascii="Times New Roman" w:hAnsi="Times New Roman" w:eastAsia="楷体_GB2312" w:cs="Times New Roman"/>
          <w:strike w:val="0"/>
          <w:dstrike w:val="0"/>
          <w:color w:val="auto"/>
          <w:sz w:val="32"/>
          <w:szCs w:val="32"/>
          <w:highlight w:val="none"/>
          <w:u w:val="none"/>
          <w:lang w:eastAsia="zh-CN"/>
        </w:rPr>
        <w:t>城市</w:t>
      </w:r>
      <w:r>
        <w:rPr>
          <w:rFonts w:hint="default" w:ascii="Times New Roman" w:hAnsi="Times New Roman" w:eastAsia="楷体_GB2312" w:cs="Times New Roman"/>
          <w:strike w:val="0"/>
          <w:dstrike w:val="0"/>
          <w:color w:val="auto"/>
          <w:sz w:val="32"/>
          <w:szCs w:val="32"/>
          <w:highlight w:val="none"/>
          <w:u w:val="none"/>
        </w:rPr>
        <w:t>防汛排涝屏障</w:t>
      </w:r>
      <w:r>
        <w:rPr>
          <w:rFonts w:hint="eastAsia" w:ascii="Times New Roman" w:hAnsi="Times New Roman" w:eastAsia="楷体_GB2312" w:cs="Times New Roman"/>
          <w:strike w:val="0"/>
          <w:dstrike w:val="0"/>
          <w:color w:val="auto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推进病险水库、水闸除险加固，完成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相关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河道治理。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完善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"/>
        </w:rPr>
        <w:t>城市防洪排涝体系，系统化推进海绵城市建设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提升城市防汛能力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"/>
        </w:rPr>
        <w:t>；推进“智慧黄河”数字化平台应用，完善防汛预案体系，组建高素质专业应急救援队伍，提升自然灾害防范处置能力。</w:t>
      </w:r>
      <w:r>
        <w:rPr>
          <w:rFonts w:hint="default" w:ascii="Times New Roman" w:hAnsi="Times New Roman" w:eastAsia="楷体_GB2312" w:cs="Times New Roman"/>
          <w:strike w:val="0"/>
          <w:dstrike w:val="0"/>
          <w:color w:val="auto"/>
          <w:sz w:val="32"/>
          <w:szCs w:val="32"/>
          <w:highlight w:val="none"/>
          <w:lang w:val="en"/>
        </w:rPr>
        <w:t>（</w:t>
      </w:r>
      <w:r>
        <w:rPr>
          <w:rFonts w:hint="default" w:ascii="Times New Roman" w:hAnsi="Times New Roman" w:eastAsia="楷体_GB2312" w:cs="Times New Roman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区</w:t>
      </w:r>
      <w:r>
        <w:rPr>
          <w:rFonts w:hint="default" w:ascii="Times New Roman" w:hAnsi="Times New Roman" w:eastAsia="楷体_GB2312" w:cs="Times New Roman"/>
          <w:strike w:val="0"/>
          <w:dstrike w:val="0"/>
          <w:color w:val="auto"/>
          <w:sz w:val="32"/>
          <w:szCs w:val="32"/>
          <w:highlight w:val="none"/>
          <w:lang w:val="en"/>
        </w:rPr>
        <w:t>水利局</w:t>
      </w:r>
      <w:r>
        <w:rPr>
          <w:rFonts w:hint="default" w:ascii="Times New Roman" w:hAnsi="Times New Roman" w:eastAsia="楷体_GB2312" w:cs="Times New Roman"/>
          <w:strike w:val="0"/>
          <w:color w:val="auto"/>
          <w:sz w:val="32"/>
          <w:szCs w:val="32"/>
          <w:highlight w:val="none"/>
          <w:lang w:val="en"/>
        </w:rPr>
        <w:t>、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区住建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"/>
        </w:rPr>
        <w:t>局、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区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"/>
        </w:rPr>
        <w:t>应急局、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区综合行政执法局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"/>
        </w:rPr>
        <w:t>负责）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3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"/>
        </w:rPr>
        <w:t>保护传承弘扬黄河文化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"/>
        </w:rPr>
        <w:t>。持续做好黄河非物质文化遗产保护开发，深入挖掘黄河文化与聊斋文化、陶琉文化的联系和发展脉络，持续完善淄川区非物质文化遗产保护名录体系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" w:eastAsia="zh-CN"/>
        </w:rPr>
        <w:t>，各级非遗项目数量达到200项、各级非遗项目代表性传承人数量达到150人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"/>
        </w:rPr>
        <w:t>。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"/>
        </w:rPr>
        <w:t>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区文旅局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"/>
        </w:rPr>
        <w:t>负责）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六、提升城市建设治理水平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3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加快提升城市品质。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推进全域公园城市建设，加快构建“一心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两环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三带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四片区”公园城市生态空间。统筹推进全域公园城市建设“十大行动”，完成19个市级重点项目。围绕青年友好型城市建设，在特殊节日开展青年群体喜闻乐见的时尚活动，搭建更多消费场景，满足青年人日益增长的精神文化需求和消费需求。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区住建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"/>
        </w:rPr>
        <w:t>局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牵头，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团区委、区发改局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、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区自然资源局、区规划办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、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区综合行政执法局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"/>
        </w:rPr>
        <w:t>等部门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配合）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推进智慧城市建设。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围绕“优政、惠民、兴业”，以全省四星级新型智慧城市试点创建为契机，深入推进新型智慧城市建设，打造一批智慧城市典型案例和数字应用场景，数字强区建设迈入全市先进行列。深化智慧监管“一张图”建设，立足监管模式和监管手段创新，拓展业务应用场景，实现对更多领域的精准、实时监管。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区大数据中心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牵头，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区综合行政执法局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等部门配合）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38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稳步推进城市更新。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加快老旧小区改造，推动城市有机更新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，实施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洪山、钟楼2个片区15个小区改造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。完成城市建成区雨污合流制管网清零，建成区黑臭水体动态清零。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新增和改造提升园林绿地100公顷，建设社区游园（公园）、街头游园（口袋公园）10个以上，建设廊道7公里。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区住建局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牵头，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区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生态环境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分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局、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区综合行政执法局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等部门配合）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C00000"/>
          <w:sz w:val="32"/>
          <w:szCs w:val="32"/>
          <w:highlight w:val="none"/>
        </w:rPr>
      </w:pP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39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推进城乡融合发展。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推进国家城乡融合发展试验区建设，落实农村产权交易管理办法，畅通城乡要素流动。持续推进高品质民生建设三年攻坚行动，常住人口城镇化率进一步提升。加快小城镇和省级特色小镇建设。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（区发改局、区住建局牵头，区教体局、区民政局、区人社局、区农业农村局、区卫健局等部门配合）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  <w:t>七、打造乡村振兴齐鲁样板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eastAsia="zh-CN"/>
        </w:rPr>
        <w:t>淄川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  <w:t>特色板块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strike w:val="0"/>
          <w:dstrike w:val="0"/>
          <w:color w:val="auto"/>
          <w:sz w:val="32"/>
          <w:szCs w:val="32"/>
          <w:highlight w:val="none"/>
          <w:u w:val="none"/>
        </w:rPr>
        <w:t>4</w:t>
      </w:r>
      <w:r>
        <w:rPr>
          <w:rFonts w:hint="eastAsia" w:ascii="Times New Roman" w:hAnsi="Times New Roman" w:eastAsia="楷体_GB2312" w:cs="Times New Roman"/>
          <w:strike w:val="0"/>
          <w:dstrike w:val="0"/>
          <w:color w:val="auto"/>
          <w:sz w:val="32"/>
          <w:szCs w:val="32"/>
          <w:highlight w:val="none"/>
          <w:u w:val="none"/>
          <w:lang w:val="en-US" w:eastAsia="zh-CN"/>
        </w:rPr>
        <w:t xml:space="preserve">0. </w:t>
      </w:r>
      <w:r>
        <w:rPr>
          <w:rFonts w:hint="default" w:ascii="Times New Roman" w:hAnsi="Times New Roman" w:eastAsia="楷体_GB2312" w:cs="Times New Roman"/>
          <w:strike w:val="0"/>
          <w:dstrike w:val="0"/>
          <w:color w:val="auto"/>
          <w:sz w:val="32"/>
          <w:szCs w:val="32"/>
          <w:highlight w:val="none"/>
          <w:u w:val="none"/>
        </w:rPr>
        <w:t>推进乡村全面振兴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u w:val="none"/>
        </w:rPr>
        <w:t>。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u w:val="none"/>
          <w:lang w:eastAsia="zh-CN"/>
        </w:rPr>
        <w:t>落实市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u w:val="none"/>
        </w:rPr>
        <w:t>乡村振兴差异化推进机制，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u w:val="none"/>
          <w:lang w:eastAsia="zh-CN"/>
        </w:rPr>
        <w:t>立足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u w:val="none"/>
        </w:rPr>
        <w:t>淄川区率先发展类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u w:val="none"/>
          <w:lang w:eastAsia="zh-CN"/>
        </w:rPr>
        <w:t>定位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u w:val="none"/>
        </w:rPr>
        <w:t>，重点实施整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u w:val="none"/>
          <w:lang w:eastAsia="zh-CN"/>
        </w:rPr>
        <w:t>区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u w:val="none"/>
        </w:rPr>
        <w:t>推进。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1"/>
          <w:sz w:val="32"/>
          <w:szCs w:val="34"/>
          <w:highlight w:val="none"/>
          <w:u w:val="none"/>
          <w:lang w:val="en-US" w:eastAsia="zh-CN" w:bidi="ar-SA"/>
        </w:rPr>
        <w:t>启动文峰孝水乡村振兴（城乡融合型）示范片区、峨庄乡村振兴（山区风貌型）示范片区规划建设，加快推进“硒谷琉园”乡村振兴齐鲁样板省级示范区建设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kern w:val="21"/>
          <w:sz w:val="32"/>
          <w:szCs w:val="34"/>
          <w:highlight w:val="none"/>
          <w:u w:val="none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1"/>
          <w:sz w:val="32"/>
          <w:szCs w:val="34"/>
          <w:highlight w:val="none"/>
          <w:u w:val="none"/>
          <w:lang w:val="en-US" w:eastAsia="zh-CN" w:bidi="ar-SA"/>
        </w:rPr>
        <w:t>打造特色突出、带动强劲的乡村振兴样板。</w:t>
      </w:r>
      <w:r>
        <w:rPr>
          <w:rFonts w:hint="default" w:ascii="Times New Roman" w:hAnsi="Times New Roman" w:eastAsia="仿宋_GB2312" w:cs="Times New Roman"/>
          <w:kern w:val="21"/>
          <w:sz w:val="32"/>
          <w:szCs w:val="34"/>
          <w:lang w:val="en-US" w:eastAsia="zh-CN"/>
        </w:rPr>
        <w:t>持续开展村庄清洁行动，创建省级美丽乡村示范村4个，新增区级人居环境示范片9个、示范村40个。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加快农村基础设施网建设，深化农村人居环境整治提升五年行动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1"/>
          <w:sz w:val="32"/>
          <w:szCs w:val="34"/>
          <w:highlight w:val="none"/>
          <w:u w:val="none"/>
          <w:lang w:val="en-US" w:eastAsia="zh-CN" w:bidi="ar-SA"/>
        </w:rPr>
        <w:t>持续提升村貌整治。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区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</w:rPr>
        <w:t>农业农村局牵头，</w:t>
      </w:r>
      <w:r>
        <w:rPr>
          <w:rFonts w:hint="default" w:ascii="Times New Roman" w:hAnsi="Times New Roman" w:eastAsia="楷体_GB2312" w:cs="Times New Roman"/>
          <w:strike w:val="0"/>
          <w:dstrike w:val="0"/>
          <w:color w:val="auto"/>
          <w:sz w:val="32"/>
          <w:szCs w:val="32"/>
          <w:highlight w:val="none"/>
          <w:u w:val="none"/>
          <w:lang w:val="en-US" w:eastAsia="zh-CN"/>
        </w:rPr>
        <w:t>区</w:t>
      </w:r>
      <w:r>
        <w:rPr>
          <w:rFonts w:hint="default" w:ascii="Times New Roman" w:hAnsi="Times New Roman" w:eastAsia="楷体_GB2312" w:cs="Times New Roman"/>
          <w:strike w:val="0"/>
          <w:dstrike w:val="0"/>
          <w:color w:val="auto"/>
          <w:sz w:val="32"/>
          <w:szCs w:val="32"/>
          <w:highlight w:val="none"/>
          <w:u w:val="none"/>
        </w:rPr>
        <w:t>委组织部</w:t>
      </w:r>
      <w:r>
        <w:rPr>
          <w:rFonts w:hint="default" w:ascii="Times New Roman" w:hAnsi="Times New Roman" w:eastAsia="楷体_GB2312" w:cs="Times New Roman"/>
          <w:strike w:val="0"/>
          <w:dstrike w:val="0"/>
          <w:color w:val="auto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楷体_GB2312" w:cs="Times New Roman"/>
          <w:strike w:val="0"/>
          <w:dstrike w:val="0"/>
          <w:color w:val="auto"/>
          <w:sz w:val="32"/>
          <w:szCs w:val="32"/>
          <w:highlight w:val="none"/>
          <w:u w:val="none"/>
          <w:lang w:val="en-US" w:eastAsia="zh-CN"/>
        </w:rPr>
        <w:t>区</w:t>
      </w:r>
      <w:r>
        <w:rPr>
          <w:rFonts w:hint="default" w:ascii="Times New Roman" w:hAnsi="Times New Roman" w:eastAsia="楷体_GB2312" w:cs="Times New Roman"/>
          <w:strike w:val="0"/>
          <w:dstrike w:val="0"/>
          <w:color w:val="auto"/>
          <w:sz w:val="32"/>
          <w:szCs w:val="32"/>
          <w:highlight w:val="none"/>
          <w:u w:val="none"/>
        </w:rPr>
        <w:t>委宣传部、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区发改局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</w:rPr>
        <w:t>、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区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</w:rPr>
        <w:t>生态环境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分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</w:rPr>
        <w:t>局、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区住建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</w:rPr>
        <w:t>局、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区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</w:rPr>
        <w:t>卫健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局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</w:rPr>
        <w:t>等部门配合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</w:rPr>
        <w:t>4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val="en-US" w:eastAsia="zh-CN"/>
        </w:rPr>
        <w:t>1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</w:rPr>
        <w:t>.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</w:rPr>
        <w:t>构建农业稳产保供体系。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全面落实粮食安全党政同责要求，全力确保全年粮食播种面积稳定在20万亩以上，大豆播种面积完成6000亩以上，粮食产量保持在5.5万吨以上。构建多元化食物供给体系，蔬菜、水果产量分别稳定在2.8万吨、2.4万吨以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畜禽规模化养殖达到85%以上，肉蛋奶总产稳定在2万吨以上。（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区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</w:rPr>
        <w:t>农业农村局负责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1"/>
          <w:sz w:val="32"/>
          <w:szCs w:val="34"/>
          <w:highlight w:val="none"/>
          <w:u w:val="none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kern w:val="21"/>
          <w:sz w:val="32"/>
          <w:szCs w:val="34"/>
          <w:highlight w:val="none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1"/>
          <w:sz w:val="32"/>
          <w:szCs w:val="34"/>
          <w:highlight w:val="none"/>
          <w:u w:val="none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kern w:val="21"/>
          <w:sz w:val="32"/>
          <w:szCs w:val="34"/>
          <w:highlight w:val="none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推进数字农业农村先行区建设。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1"/>
          <w:sz w:val="32"/>
          <w:szCs w:val="34"/>
          <w:highlight w:val="none"/>
          <w:u w:val="none"/>
          <w:lang w:val="en-US" w:eastAsia="zh-CN"/>
        </w:rPr>
        <w:t>统筹五大振兴涉农资源，完成智慧农业公共发展服务平台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kern w:val="21"/>
          <w:sz w:val="32"/>
          <w:szCs w:val="34"/>
          <w:highlight w:val="none"/>
          <w:u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1"/>
          <w:sz w:val="32"/>
          <w:szCs w:val="34"/>
          <w:highlight w:val="none"/>
          <w:u w:val="none"/>
          <w:lang w:val="en-US" w:eastAsia="zh-CN"/>
        </w:rPr>
        <w:t>“1+5+N”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kern w:val="21"/>
          <w:sz w:val="32"/>
          <w:szCs w:val="34"/>
          <w:highlight w:val="none"/>
          <w:u w:val="non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1"/>
          <w:sz w:val="32"/>
          <w:szCs w:val="34"/>
          <w:highlight w:val="none"/>
          <w:u w:val="none"/>
          <w:lang w:val="en-US" w:eastAsia="zh-CN"/>
        </w:rPr>
        <w:t>建设。实施数字赋能农业全产业链发展。推动富硒、农文旅、食用菌等重点优势产业数字化发展，着力提升食用菌产业链数字化水平。抓好新希望六和数字牧场、黛青山数字果园等9个数字农业农村重点项目建设，打造数字农业集群发展新格局。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</w:rPr>
        <w:t>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区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</w:rPr>
        <w:t>农业农村局负责）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C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1"/>
          <w:sz w:val="32"/>
          <w:szCs w:val="34"/>
          <w:highlight w:val="none"/>
          <w:u w:val="none"/>
          <w:lang w:val="en-US" w:eastAsia="zh-CN" w:bidi="ar-SA"/>
        </w:rPr>
        <w:t>4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kern w:val="21"/>
          <w:sz w:val="32"/>
          <w:szCs w:val="34"/>
          <w:highlight w:val="none"/>
          <w:u w:val="none"/>
          <w:lang w:val="en-US" w:eastAsia="zh-CN" w:bidi="ar-SA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1"/>
          <w:sz w:val="32"/>
          <w:szCs w:val="34"/>
          <w:highlight w:val="none"/>
          <w:u w:val="none"/>
          <w:lang w:val="en-US" w:eastAsia="zh-CN" w:bidi="ar-SA"/>
        </w:rPr>
        <w:t>.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kern w:val="21"/>
          <w:sz w:val="32"/>
          <w:szCs w:val="34"/>
          <w:highlight w:val="none"/>
          <w:u w:val="none"/>
          <w:lang w:val="en-US" w:eastAsia="zh-CN" w:bidi="ar-SA"/>
        </w:rPr>
        <w:t xml:space="preserve"> </w:t>
      </w:r>
      <w:r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促进农民全面发展。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1"/>
          <w:sz w:val="32"/>
          <w:szCs w:val="34"/>
          <w:highlight w:val="none"/>
          <w:u w:val="none"/>
          <w:lang w:val="en-US" w:eastAsia="zh-CN" w:bidi="ar-SA"/>
        </w:rPr>
        <w:t>完善落实防返贫动态监测帮扶机制，持续提升“两不愁三保障”水平。健全联农带农富农机制，支持脱贫村、经济薄弱村培育壮大集体经济。稳步推进脱贫人口小额信贷、富民生产贷、齐鲁富民贷。持续开展“百企兴百村”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kern w:val="21"/>
          <w:sz w:val="32"/>
          <w:szCs w:val="34"/>
          <w:highlight w:val="none"/>
          <w:u w:val="none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1"/>
          <w:sz w:val="32"/>
          <w:szCs w:val="34"/>
          <w:highlight w:val="none"/>
          <w:u w:val="none"/>
          <w:lang w:val="en-US" w:eastAsia="zh-CN" w:bidi="ar-SA"/>
        </w:rPr>
        <w:t>“雨露计划+”就业促进行动，提升社会力量助力巩固拓展脱贫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kern w:val="21"/>
          <w:sz w:val="32"/>
          <w:szCs w:val="34"/>
          <w:highlight w:val="none"/>
          <w:u w:val="none"/>
          <w:lang w:val="en-US" w:eastAsia="zh-CN" w:bidi="ar-SA"/>
        </w:rPr>
        <w:t>攻坚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1"/>
          <w:sz w:val="32"/>
          <w:szCs w:val="34"/>
          <w:highlight w:val="none"/>
          <w:u w:val="none"/>
          <w:lang w:val="en-US" w:eastAsia="zh-CN" w:bidi="ar-SA"/>
        </w:rPr>
        <w:t>成果。</w:t>
      </w:r>
      <w:r>
        <w:rPr>
          <w:rFonts w:hint="default" w:ascii="Times New Roman" w:hAnsi="Times New Roman" w:eastAsia="楷体_GB2312" w:cs="Times New Roman"/>
          <w:kern w:val="21"/>
          <w:sz w:val="32"/>
          <w:szCs w:val="34"/>
          <w:lang w:val="en-US" w:eastAsia="zh-CN" w:bidi="ar-SA"/>
        </w:rPr>
        <w:t>（区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</w:rPr>
        <w:t>农业农村局</w:t>
      </w:r>
      <w:r>
        <w:rPr>
          <w:rFonts w:hint="default" w:ascii="Times New Roman" w:hAnsi="Times New Roman" w:eastAsia="楷体_GB2312" w:cs="Times New Roman"/>
          <w:kern w:val="21"/>
          <w:sz w:val="32"/>
          <w:szCs w:val="34"/>
          <w:lang w:val="en-US" w:eastAsia="zh-CN" w:bidi="ar-SA"/>
        </w:rPr>
        <w:t>牵头，区工商联、区财政局、区人社局等配合）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八、深化改革扩大开放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4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持续实施优化营商环境“一号改革工程”。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积极推进落实全市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深化“以评促转”试点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工作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深化简政放权、放管结合、优化服务改革，加快推进“无证明城市”建设，完善“一网统揽”区级平台功能，提升“一网通办”政务服务能力，优化“一网协同”政府运行水平，坚持数字政府、数字城市、数字社会一体推进，升级“无证明”服务方式，强化“无证明”数据供给，积极拓展电子证照证明应用和服务领域，推动高频电子证照证明在政务服务和社会化生活场景中全面应用，打造“手续最简、环节最少、成本最低、效率最高”的办事流程。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区发改局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牵头，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区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行政审批局、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区大数据中心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等部门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eastAsia="zh-CN"/>
        </w:rPr>
        <w:t>单位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配合）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4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</w:rPr>
        <w:t>激发市场主体活力。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深入开展“全面对标一流质效提升工程”，做大做强做优国有资本和国有企业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zh-CN"/>
        </w:rPr>
        <w:t>。健全支持民营企业高质量发展政策体系，持续落实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zh-CN"/>
        </w:rPr>
        <w:t>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zh-CN"/>
        </w:rPr>
        <w:t>关心关爱企业家十条措施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zh-CN"/>
        </w:rPr>
        <w:t>、区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zh-CN"/>
        </w:rPr>
        <w:t>厚植本企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zh-CN"/>
        </w:rPr>
        <w:t>优势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zh-CN"/>
        </w:rPr>
        <w:t>十条政策，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推进服务企业专员制度，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zh-CN"/>
        </w:rPr>
        <w:t>构建亲清政商关系。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全面落实组合式减税降费、财政贴息、风险补偿、担保费补助等政策，推进各项助企纾困政策落地见效，加快涉企审批事项系统性重塑、集成化再造。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"/>
        </w:rPr>
        <w:t>进一步健全要素市场化配置体制机制，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" w:eastAsia="zh-CN"/>
        </w:rPr>
        <w:t>确保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国家关于加快建设全国统一大市场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决策部署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和省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有关要求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在我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落地落实。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zh-CN"/>
        </w:rPr>
        <w:t>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区发改局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val="zh-CN"/>
        </w:rPr>
        <w:t>、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区工信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val="zh-CN"/>
        </w:rPr>
        <w:t>局、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区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val="zh-CN"/>
        </w:rPr>
        <w:t>财政局、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区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</w:rPr>
        <w:t>市场监管局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val="zh-CN"/>
        </w:rPr>
        <w:t>、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区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val="zh-CN"/>
        </w:rPr>
        <w:t>行政审批局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</w:rPr>
        <w:t>、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eastAsia="zh-CN"/>
        </w:rPr>
        <w:t>市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</w:rPr>
        <w:t>公共资源交易中心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eastAsia="zh-CN"/>
        </w:rPr>
        <w:t>淄川分中心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</w:rPr>
        <w:t>负责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val="zh-CN"/>
        </w:rPr>
        <w:t>）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C00000"/>
          <w:sz w:val="32"/>
          <w:szCs w:val="32"/>
          <w:highlight w:val="none"/>
          <w:lang w:val="zh-CN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val="en-US" w:eastAsia="zh-CN"/>
        </w:rPr>
        <w:t>4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val="en-US" w:eastAsia="zh-CN"/>
        </w:rPr>
        <w:t>6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</w:rPr>
        <w:t>.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</w:rPr>
        <w:t>加快高能级开放平台建设。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highlight w:val="none"/>
          <w:u w:val="none"/>
        </w:rPr>
        <w:t>引导企业通过淄博综合保税区开展进出口业务，推进淄川经济开发区开放发展，打造外贸外资主阵地。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zh-CN"/>
        </w:rPr>
        <w:t>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区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val="zh-CN"/>
        </w:rPr>
        <w:t>商务局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val="en-US" w:eastAsia="zh-CN"/>
        </w:rPr>
        <w:t>负责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val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outlineLvl w:val="2"/>
        <w:rPr>
          <w:rFonts w:hint="default" w:ascii="Times New Roman" w:hAnsi="Times New Roman" w:eastAsia="仿宋_GB2312" w:cs="Times New Roman"/>
          <w:bCs/>
          <w:color w:val="C00000"/>
          <w:sz w:val="32"/>
          <w:szCs w:val="32"/>
          <w:highlight w:val="none"/>
        </w:rPr>
      </w:pP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val="en-US" w:eastAsia="zh-CN"/>
        </w:rPr>
        <w:t>47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</w:rPr>
        <w:t>.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</w:rPr>
        <w:t>提升贸易投资合作质量和水平。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highlight w:val="none"/>
          <w:u w:val="none"/>
        </w:rPr>
        <w:t>加快建设贸易强区，提高区域全面经济伙伴关系协定（RCEP）市场进出口占比。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highlight w:val="none"/>
          <w:u w:val="none"/>
          <w:lang w:eastAsia="zh-CN"/>
        </w:rPr>
        <w:t>配合市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highlight w:val="none"/>
          <w:u w:val="none"/>
        </w:rPr>
        <w:t>推进国家跨境电商综合试验区建设，培育跨境电商主体10家以上。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积极融入“一带一路”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倡议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、山东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自由贸易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试验区、上合示范区发展，推动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家以上重点企业在“一带一路”沿线国家开展国际产能合作。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highlight w:val="none"/>
          <w:u w:val="none"/>
        </w:rPr>
        <w:t>大力推行“六个一”平台专业化精准招商，力争全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highlight w:val="none"/>
          <w:u w:val="none"/>
          <w:lang w:val="en-US" w:eastAsia="zh-CN"/>
        </w:rPr>
        <w:t>区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highlight w:val="none"/>
          <w:u w:val="none"/>
        </w:rPr>
        <w:t>省外到位资金总量达到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highlight w:val="none"/>
          <w:u w:val="none"/>
          <w:lang w:val="en-US" w:eastAsia="zh-CN"/>
        </w:rPr>
        <w:t>66.5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highlight w:val="none"/>
          <w:u w:val="none"/>
        </w:rPr>
        <w:t>亿元，新引进过亿元项目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highlight w:val="none"/>
          <w:u w:val="none"/>
          <w:lang w:val="en-US" w:eastAsia="zh-CN"/>
        </w:rPr>
        <w:t>47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highlight w:val="none"/>
          <w:u w:val="none"/>
        </w:rPr>
        <w:t>个。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zh-CN"/>
        </w:rPr>
        <w:t>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区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zh-CN"/>
        </w:rPr>
        <w:t>商务局牵头，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区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zh-CN"/>
        </w:rPr>
        <w:t>投促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中心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zh-CN"/>
        </w:rPr>
        <w:t>等部门配合）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zh-CN"/>
        </w:rPr>
      </w:pP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48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融入国家重大战略和区域发展布局。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推进开发区高质量发展，全力支持开发区创建国家级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经济技术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开发区。完善专业园区图谱，全力推动园区建设提质增效。落实济淄同城化发展战略，全力抓好省会经济圈一体化及济淄同城化工作。全面对接“齐鲁科创大走廊”，聚焦汽车制造、现代激光、生物医药、5G等同质产业，以开发区、岭子镇为依托，打造济淄同城化产业转移承接区，将开发区建设成为济淄同城化“桥头堡”。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zh-CN"/>
        </w:rPr>
        <w:t>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区发改局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zh-CN"/>
        </w:rPr>
        <w:t>牵头，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区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zh-CN"/>
        </w:rPr>
        <w:t>有关部门配合）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九、繁荣发展文化事业产业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49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实施文明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eastAsia="zh-CN"/>
        </w:rPr>
        <w:t>城市建设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工程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顺利通过全国和省级文明城市测评，争创省级文明区。开展新时代公民道德建设行动，高品质拓展新时代文明实践中心建设，打造“美德信用·有爱淄川”品牌。健全完善爱国主义教育基地管理机制，开展好爱国主义教育基地建立健全电子档案工作。常态化组织中小学生开展“进红色文化场所、听红色革命故事、担民族复兴大任、做时代新人”主题实践活动，传承红色精神。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区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委宣传部牵头，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区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委组织部、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区文旅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局等部门配合）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color w:val="C00000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</w:rPr>
        <w:t>5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val="en-US" w:eastAsia="zh-CN"/>
        </w:rPr>
        <w:t>0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</w:rPr>
        <w:t>.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</w:rPr>
        <w:t>传承弘扬优秀文化。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编写《淄川手造》，深入开展推进中华优秀传统文化“两创”突破行动，建立完善工作推进机制，年内取得标志性成果。持续挖掘利用好优秀地域文化，传承弘扬聊斋文化、陶琉文化发展，深化各级非遗资源管理，组织开展淄川非遗大集、非遗助力乡村振兴论坛、聊斋文化传承挖掘座谈会等活动。深入推动中华优秀传统文化创造性转化、创新性发展，激发非物质文化遗产传承新活力。积极推动渭一窑址考古遗址公园建设。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</w:rPr>
        <w:t>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区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</w:rPr>
        <w:t>委宣传部牵头，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区文旅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</w:rPr>
        <w:t>局等部门配合）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5</w:t>
      </w:r>
      <w:r>
        <w:rPr>
          <w:rFonts w:hint="eastAsia" w:ascii="Times New Roman" w:hAnsi="Times New Roman" w:eastAsia="楷体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1</w:t>
      </w:r>
      <w:r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.</w:t>
      </w:r>
      <w:r>
        <w:rPr>
          <w:rFonts w:hint="eastAsia" w:ascii="Times New Roman" w:hAnsi="Times New Roman" w:eastAsia="楷体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</w:t>
      </w:r>
      <w:r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推进文化品质建设。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全新创排10部文艺精品，组织高品质文化展演活动不少于11项。新建公共阅读空间，配套建设城市书房2处，文化驿站2处，阅读书吧5处。</w:t>
      </w:r>
      <w:r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（区文旅局负责）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5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大力发展文化产业。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bidi="ar"/>
        </w:rPr>
        <w:t>扎实推进“山东手造·齐品淄博”工程，以“聊斋故里·水韵瓷都”城市形象推介为目的，以“手造淄川·礼遇般阳”区域品牌为载体，不断夯实手造企业提升发展平台，积极推进企业数字化转型和设计提升，争取在数量、产业规模、展会参与、社会影响等各个方面成为山东手造“排头兵”。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区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委宣传部牵头，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区文旅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局等部门配合）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5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推动文旅融合发展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。实施文旅融合发展攀升计划，以实现“文旅产业有效突破”为目标，高效统筹推进项目建设和产业发展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加强A级景区创建和管理，争取年内创建3A级景区1家。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区文旅局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负责）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5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推进工业遗产保护利用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。适时开展工业遗产普查认定，加强工业遗址保护利用，加快推进国家工业遗产申报工作。（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区发改局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牵头，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区工信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局、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区文旅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局等部门配合）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  <w:t>十、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扎实推进共同富裕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outlineLvl w:val="2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促进居民就业和增收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。深化收入分配制度改革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区居民人均可支配收入达4.4万元左右，增长率达6%以上，低收入群体收入增长高于居民收入平均增长水平。建立困难群众救助保障标准动态调整机制，逐步提高困难群众救助保障水平。落实农民工、大学生和退役军人等返乡创业定向减税、普遍性降费措施及创业担保贷款贴息政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区发改局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、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区人社局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牵头，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区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委组织部、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区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退役军人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事务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局、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区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税务局等部门配合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5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6</w:t>
      </w:r>
      <w:r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.</w:t>
      </w:r>
      <w:r>
        <w:rPr>
          <w:rFonts w:hint="eastAsia" w:ascii="Times New Roman" w:hAnsi="Times New Roman" w:eastAsia="楷体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 xml:space="preserve"> </w:t>
      </w:r>
      <w:r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建设高质量教育体系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>。落实乡村振兴先行区重点任务，积极争创试验区。根据学生生源变化，适时调整农村学校布局。新建改扩建幼儿园3处。打造智慧教育新生态，中小学智慧校园比例达到60%以上。</w:t>
      </w:r>
      <w:r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>（区教体局负责）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57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.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</w:t>
      </w:r>
      <w:r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加快推进体育强</w:t>
      </w:r>
      <w:r>
        <w:rPr>
          <w:rFonts w:hint="eastAsia" w:ascii="Times New Roman" w:hAnsi="Times New Roman" w:eastAsia="楷体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区</w:t>
      </w:r>
      <w:r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建设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。加强城市社区“15分钟健身圈”建设，常态化开展社会体育组织“六进”活动，组织开展社区运动会、趣味运动会、职工运动会等全民健身赛事活动150余项，提升齐鲁体育舞蹈公开赛、围棋升段赛、乒乓球联赛、篮球联赛、五人制足球、露营节等赛事活动水平，打造品牌赛事。</w:t>
      </w:r>
      <w:r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（区教体局负责）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58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.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</w:t>
      </w:r>
      <w:r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提升卫生健康服务水平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。大力提升应对突发公共卫生事件能力，争创1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—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2个市级公共卫生重点专科。实施基层医疗卫生服务体系提标工程，新增6处中心村卫生室建设，村卫生室配备重点人群智慧随访设备率达到85%。落实推进改善群众就医体验行动20条措施，持续改进医疗服务。</w:t>
      </w:r>
      <w:r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（区卫健局负责）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59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积极应对人口老龄化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。实施养老服务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品质提升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三年攻坚行动，推动医养结合融合发展，镇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（街道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开发区）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综合养老服务中心覆盖率均达到100%。鼓励支持有条件的医疗机构开展养老服务，深入推进医养结合村项目建设。全面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落实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三孩生育政策及配套支持措施，健全妇幼健康管理机制和母婴安全保障机制。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团区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委、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区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妇联、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区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民政局、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区卫健局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等部门负责）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6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增强社会民生保障能力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。“如康家园”残疾人之家实现全覆盖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残疾人托养人数不少于61人次，残疾儿童康复救助“应救尽救”。推进10大类20项重大民生实事项目实施，加快推动基本民生向品质民生转变。加大低保、特困供养、临时救助、低保边缘等政策落实力度，提升救助工作的精准度和群众满意度。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区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残联、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区发改局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、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区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民政局、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区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财政局、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区人社局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、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区住建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局、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区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医保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分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局等部门负责）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  <w:t>十一、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守好安全发展底线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6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守住疫情防控底线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落实国家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防疫工作要求，精准做好疫情防控工作，加强全人群特别是老年人免疫接种，加强人员培训、应急演练，做好应急物资、医疗救治资源储备，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推进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疾控中心标准化建设。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区卫健局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负责）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outlineLvl w:val="2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6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守住安全生产底线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持续开展安全生产“防风险、除隐患、惩违法、保安全”专项行动，部署开展安全生产重大隐患排查整治，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推动安全生产事故起数和死亡人数“双下降”。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编制印发《应急手册》，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统筹做好防震减灾、防汛抗旱、极端天气应对等工作。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区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eastAsia="zh-CN"/>
        </w:rPr>
        <w:t>应急局牵头，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区安委会有关成员单位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eastAsia="zh-CN"/>
        </w:rPr>
        <w:t>配合）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outlineLvl w:val="2"/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6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守住社会稳定底线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。深入开展“治重化积”专项行动，年底前基本完成化解任务，初次信访事项一次性化解率达到95%以上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始终保持对黑恶犯罪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打击的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高压态势，健全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完善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扫黑除恶长效制度体系，深入推进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常态化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扫黑除恶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斗争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。加快完善新一轮立体化、信息化社会治安防控体系建设，持续加强智慧社区等感知微单元建设，深化社会面巡防机制，大力实施派出所标准化建设，做实“平安前哨”工程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扎实推进平安淄川建设。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区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委政法委牵头，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区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公安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分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局、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区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信访局、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区综合行政执法局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等部门配合）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6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保障经济运行安全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。加强经济运行监测分析研判，全力稳住经济大盘。保障粮食生产和供应安全，加强煤电油气运协调保障。加强金融安全监测预警和协调联动，力争不良贷款率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保持下降态势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。有效治理恶意拖欠账款和逃废债行为，确保不发生系统性、区域性风险。健全政府债务风险预警机制。加强社会信用体系建设，完善守信联合激励和失信联合惩戒机制。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区发改局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牵头，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区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财政局、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区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地方金融监管局等部门配合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十二、切实抓好组织实施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6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完善工作机制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。全面加强对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绿色低碳高质量发展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工作的组织领导，各有关部门各司其职，完善政策，加强指导。发挥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镇（街道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开发区）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主体作用，创新机制，细化举措，确保各项工作顺利开展。建立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绿色低碳高质量发展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工作台账，定期调度推进，强化督导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考评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，确保重大政策落细、重点任务落实、重大项目落地。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highlight w:val="none"/>
        </w:rPr>
      </w:pP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66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强化政策支持。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健全有利于绿色低碳高质量发展的财政金融政策，引导更多资源要素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聚集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争取更多项目纳入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市级绿色低碳高质量发展重点项目库，积极争取相关专项资金和财税支持政策，支持重点项目建设。</w:t>
      </w:r>
    </w:p>
    <w:p>
      <w:pPr>
        <w:bidi w:val="0"/>
        <w:rPr>
          <w:rFonts w:hint="default"/>
        </w:rPr>
      </w:pPr>
    </w:p>
    <w:p>
      <w:pPr>
        <w:pStyle w:val="2"/>
        <w:jc w:val="both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spacing w:line="540" w:lineRule="exact"/>
        <w:ind w:left="420" w:leftChars="200" w:firstLine="420" w:firstLineChars="200"/>
        <w:rPr>
          <w:rFonts w:hint="default" w:ascii="Times New Roman" w:hAnsi="Times New Roman" w:cs="Times New Roman"/>
          <w:color w:val="auto"/>
        </w:rPr>
      </w:pPr>
    </w:p>
    <w:p>
      <w:pPr>
        <w:tabs>
          <w:tab w:val="left" w:pos="720"/>
          <w:tab w:val="left" w:pos="8640"/>
        </w:tabs>
        <w:spacing w:line="540" w:lineRule="exact"/>
        <w:ind w:firstLine="210" w:firstLineChars="100"/>
        <w:rPr>
          <w:rFonts w:hint="default" w:ascii="Times New Roman" w:hAnsi="Times New Roman" w:eastAsia="仿宋_GB2312" w:cs="Times New Roman"/>
          <w:color w:val="auto"/>
          <w:spacing w:val="-8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26670</wp:posOffset>
                </wp:positionV>
                <wp:extent cx="5600700" cy="0"/>
                <wp:effectExtent l="0" t="9525" r="0" b="9525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15pt;margin-top:2.1pt;height:0pt;width:441pt;z-index:251660288;mso-width-relative:page;mso-height-relative:page;" filled="f" stroked="t" coordsize="21600,21600" o:gfxdata="UEsDBAoAAAAAAIdO4kAAAAAAAAAAAAAAAAAEAAAAZHJzL1BLAwQUAAAACACHTuJAX2Bc9tEAAAAF&#10;AQAADwAAAGRycy9kb3ducmV2LnhtbE2OwU7DMBBE70j8g7VI3KjTEJAJcSpRiUtvhAo4bmOTRNjr&#10;KHbT5u9ZuMBxNKM3r9qcvROzneIQSMN6lYGw1AYzUKdh//p8o0DEhGTQBbIaFhthU19eVFiacKIX&#10;OzepEwyhWKKGPqWxlDK2vfUYV2G0xN1nmDwmjlMnzYQnhnsn8yy7lx4H4oceR7vtbfvVHD1T7t7V&#10;0w7Vfllc8/FQbN92M3mtr6/W2SOIZM/pbww/+qwONTsdwpFMFE5DfstDDUUOglulCs6H3yzrSv63&#10;r78BUEsDBBQAAAAIAIdO4kCmkPxY2wEAAJkDAAAOAAAAZHJzL2Uyb0RvYy54bWytU0tuE0EQ3SNx&#10;h1bv8YwjJYGRx1nEhA0CS8AByv2Zaal/6up47EtwASR2sGLJntuQHIPqtpPw2SCEF+XqrupX9V7V&#10;LC52zrKtSmiC7/l81nKmvAjS+KHn795ePXnKGWbwEmzwqud7hfxi+fjRYoqdOgljsFIlRiAeuyn2&#10;fMw5dk2DYlQOcBai8hTUITnIdExDIxNMhO5sc9K2Z80UkowpCIVIt6tDkC8rvtZK5Ndao8rM9px6&#10;y9WmajfFNssFdEOCOBpxbAP+oQsHxlPRe6gVZGDXyfwB5YxIAYPOMxFcE7Q2QlUOxGbe/sbmzQhR&#10;VS4kDsZ7mfD/wYpX23ViRtLszjnz4GhGNx++fn//6fbbR7I3Xz4zipBMU8SOsi/9Oh1PGNepcN7p&#10;5Mo/sWG7Ku3+Xlq1y0zQ5elZ2563NAFxF2seHsaE+YUKjhWn59b4who62L7ETMUo9S6lXFvPJur3&#10;WXta8IC2RlvI5LpIPNAP9TEGa+SVsbY8wTRsLm1iWyh7UH+FEwH/klaqrADHQ14NHTZkVCCfe8ny&#10;PpJAnlaZlx6ckpxZRZtfPAKELoOxf5NJpa2nDoqsByGLtwlyT/O4jskMI0kxr12WCM2/9nvc1bJg&#10;P58r0sMXtfw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X2Bc9tEAAAAFAQAADwAAAAAAAAABACAA&#10;AAAiAAAAZHJzL2Rvd25yZXYueG1sUEsBAhQAFAAAAAgAh07iQKaQ/FjbAQAAmQMAAA4AAAAAAAAA&#10;AQAgAAAAIAEAAGRycy9lMm9Eb2MueG1sUEsFBgAAAAAGAAYAWQEAAG0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抄送：</w:t>
      </w:r>
      <w:r>
        <w:rPr>
          <w:rFonts w:hint="default" w:ascii="Times New Roman" w:hAnsi="Times New Roman" w:eastAsia="仿宋_GB2312" w:cs="Times New Roman"/>
          <w:color w:val="auto"/>
          <w:spacing w:val="-8"/>
          <w:sz w:val="28"/>
          <w:szCs w:val="28"/>
        </w:rPr>
        <w:t>区委办公室，区人大办公室，区政协办公室，区人武部，区法院，</w:t>
      </w:r>
    </w:p>
    <w:p>
      <w:pPr>
        <w:tabs>
          <w:tab w:val="left" w:pos="720"/>
          <w:tab w:val="left" w:pos="8640"/>
        </w:tabs>
        <w:spacing w:line="540" w:lineRule="exact"/>
        <w:ind w:firstLine="264" w:firstLineChars="100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pacing w:val="-8"/>
          <w:sz w:val="28"/>
          <w:szCs w:val="28"/>
        </w:rPr>
        <w:t xml:space="preserve">      区检察院</w:t>
      </w:r>
      <w:r>
        <w:rPr>
          <w:rFonts w:hint="default" w:ascii="Times New Roman" w:hAnsi="Times New Roman" w:eastAsia="仿宋_GB2312" w:cs="Times New Roman"/>
          <w:color w:val="auto"/>
          <w:spacing w:val="-10"/>
          <w:sz w:val="28"/>
          <w:szCs w:val="28"/>
        </w:rPr>
        <w:t>。</w:t>
      </w:r>
    </w:p>
    <w:p>
      <w:pPr>
        <w:wordWrap w:val="0"/>
        <w:spacing w:line="540" w:lineRule="exact"/>
        <w:ind w:firstLine="210" w:firstLineChars="100"/>
        <w:jc w:val="both"/>
        <w:rPr>
          <w:rFonts w:hint="eastAsia" w:ascii="Times New Roman" w:hAnsi="Times New Roman" w:eastAsia="仿宋_GB2312" w:cs="Times New Roman"/>
          <w:color w:val="auto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379730</wp:posOffset>
                </wp:positionV>
                <wp:extent cx="5600700" cy="0"/>
                <wp:effectExtent l="0" t="9525" r="0" b="952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9.9pt;height:0pt;width:441pt;z-index:251662336;mso-width-relative:page;mso-height-relative:page;" filled="f" stroked="t" coordsize="21600,21600" o:gfxdata="UEsDBAoAAAAAAIdO4kAAAAAAAAAAAAAAAAAEAAAAZHJzL1BLAwQUAAAACACHTuJAWYfJldIAAAAG&#10;AQAADwAAAGRycy9kb3ducmV2LnhtbE2PwU7DMAyG70i8Q2QkbizdxFBWmk5iEpfdKBNw9BrTVjRO&#10;1WTd+vYYcYCj/9/6/LnYXnyvJhpjF9jCcpGBIq6D67ixcHh9vjOgYkJ22AcmCzNF2JbXVwXmLpz5&#10;haYqNUogHHO00KY05FrHuiWPcREGYuk+w+gxyTg22o14Frjv9SrLHrTHjuVCiwPtWqq/qpMXyvrd&#10;PO3RHOa5rz4297u3/cTe2tubZfYIKtEl/S3Dj76oQylOx3BiF1VvQR5JFtYb8ZfWmJUEx99Al4X+&#10;r19+A1BLAwQUAAAACACHTuJAnc0DTNwBAACZAwAADgAAAGRycy9lMm9Eb2MueG1srVPNbhMxEL4j&#10;9R0s38luglpglU0PTcsFQSTgASa2d9eS/+Rxs8lL8AJI3ODEkTtv0/IYjJ005eeCquYwGXvG38z3&#10;zez8fGsN26iI2ruWTyc1Z8oJL7XrW/7h/dXTF5xhAifBeKdavlPIzxcnT+ZjaNTMD95IFRmBOGzG&#10;0PIhpdBUFYpBWcCJD8pRsPPRQqJj7CsZYSR0a6pZXZ9Vo48yRC8UIt0u90G+KPhdp0R623WoEjMt&#10;p95SsbHYdbbVYg5NHyEMWhzagAd0YUE7KnqEWkICdh31P1BWi+jRd2kivK1812mhCgdiM63/YvNu&#10;gKAKFxIHw1EmfDxY8WazikzLls+ecebA0oxuP32/+fjl54/PZG+/fWUUIZnGgA1lX7hVPJwwrGLm&#10;vO2izf/Ehm2LtLujtGqbmKDL07O6fl7TBMRdrLp/GCKmV8pblp2WG+0ya2hg8xoTFaPUu5R8bRwb&#10;adde1qcZD2hrOgOJXBuIB7q+PEZvtLzSxuQnGPv1hYlsA3kPyi9zIuA/0nKVJeCwzyuh/YYMCuSl&#10;kyztAgnkaJV57sEqyZlRtPnZI0BoEmjzP5lU2jjqIMu6FzJ7ay93NI/rEHU/kBTT0mWO0PxLv4dd&#10;zQv2+7kg3X9Ri1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Zh8mV0gAAAAYBAAAPAAAAAAAAAAEA&#10;IAAAACIAAABkcnMvZG93bnJldi54bWxQSwECFAAUAAAACACHTuJAnc0DTNwBAACZAwAADgAAAAAA&#10;AAABACAAAAAhAQAAZHJzL2Uyb0RvYy54bWxQSwUGAAAAAAYABgBZAQAAbw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76200</wp:posOffset>
                </wp:positionV>
                <wp:extent cx="5600700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2pt;margin-top:6pt;height:0pt;width:441pt;z-index:251661312;mso-width-relative:page;mso-height-relative:page;" filled="f" stroked="t" coordsize="21600,21600" o:gfxdata="UEsDBAoAAAAAAIdO4kAAAAAAAAAAAAAAAAAEAAAAZHJzL1BLAwQUAAAACACHTuJAou/v49MAAAAG&#10;AQAADwAAAGRycy9kb3ducmV2LnhtbE2PzU7DMBCE70i8g7VI3KjTCIEV4vQAqioQl7ZIXLfJEqeN&#10;12ns/vD2LOJAjzszmv2mnJ19r440xi6whekkA0Vch6bj1sLHen5nQMWE3GAfmCx8U4RZdX1VYtGE&#10;Ey/puEqtkhKOBVpwKQ2F1rF25DFOwkAs3lcYPSY5x1Y3I56k3Pc6z7IH7bFj+eBwoGdH9W518Bbw&#10;ZbFMnyZ/e+xe3ft2Pd8vnNlbe3szzZ5AJTqn/zD84gs6VMK0CQduouot3EtO1FwGiWtMLsLmT9BV&#10;qS/xqx9QSwMEFAAAAAgAh07iQEKky+DYAQAAmQMAAA4AAABkcnMvZTJvRG9jLnhtbK1TS44TMRDd&#10;I3EHy3vSnUgMqJXOLCYMGwSRgANU/Om25J9cnnRyCS6AxA5WLNlzG4ZjUHYyGT4bhOhFte0qv6r3&#10;qry83DvLdiqhCb7n81nLmfIiSOOHnr99c/3oKWeYwUuwwaueHxTyy9XDB8spdmoRxmClSoxAPHZT&#10;7PmYc+yaBsWoHOAsROXJqUNykGmbhkYmmAjd2WbRthfNFJKMKQiFSKfro5OvKr7WSuRXWqPKzPac&#10;asvVpmq3xTarJXRDgjgacSoD/qEKB8ZT0jPUGjKwm2T+gHJGpIBB55kIrglaG6EqB2Izb39j83qE&#10;qCoXEgfjWSb8f7Di5W6TmJHUuzlnHhz16Pb9l2/vPn7/+oHs7edPjDwk0xSxo+grv0mnHcZNKpz3&#10;OrnyJzZsX6U9nKVV+8wEHT6+aNsnLXVA3Pma+4sxYX6ugmNl0XNrfGENHexeYKZkFHoXUo6tZxPV&#10;uzjiAU2NtpAJ2kXigX6olzFYI6+NteUKpmF7ZRPbQZmD+hVOBPxLWMmyBhyPcdV1nJBRgXzmJcuH&#10;SAJ5GmVeanBKcmYVTX5ZESB0GYz9m0hKbT1VUGQ9CllW2yAP1I+bmMwwkhRV+RpD/a/1nma1DNjP&#10;+4p0/6JWP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i7+/j0wAAAAYBAAAPAAAAAAAAAAEAIAAA&#10;ACIAAABkcnMvZG93bnJldi54bWxQSwECFAAUAAAACACHTuJAQqTL4NgBAACZAwAADgAAAAAAAAAB&#10;ACAAAAAiAQAAZHJzL2Uyb0RvYy54bWxQSwUGAAAAAAYABgBZAQAAbA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 xml:space="preserve">淄川区人民政府办公室　　　　　　 　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 xml:space="preserve">   20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日印发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</w:t>
      </w:r>
    </w:p>
    <w:sectPr>
      <w:footerReference r:id="rId3" w:type="default"/>
      <w:pgSz w:w="11906" w:h="16838"/>
      <w:pgMar w:top="2098" w:right="1474" w:bottom="1984" w:left="1587" w:header="851" w:footer="158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7" name="文本框 1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q3yPEVAgAAFwQAAA4AAABkcnMvZTJvRG9jLnhtbK1Ty47TMBTdI/EP&#10;lvc0aYGhqpqOyoyKkCpmpIJYu47TRPJLttukfAD8ASs27PmufgfHTtMZDawQG/v6vu+5x/PrTkly&#10;EM43Rhd0PMopEZqbstG7gn76uHoxpcQHpksmjRYFPQpPrxfPn81bOxMTUxtZCkeQRPtZawtah2Bn&#10;WeZ5LRTzI2OFhrEyTrGAp9tlpWMtsiuZTfL8KmuNK60zXHgP7W1vpIuUv6oED3dV5UUgsqDoLaTT&#10;pXMbz2wxZ7OdY7Zu+LkN9g9dKNZoFL2kumWBkb1r/kilGu6MN1UYcaMyU1UNF2kGTDPOn0yzqZkV&#10;aRaA4+0FJv//0vIPh3tHmhK7e/WGEs0UlnT6/u3049fp51cSlYCotX4Gz42Fb+jemg7ug95DGSfv&#10;KqfijZkI7AD7eAFYdIHwGDSdTKc5TBy24YH82UO4dT68E0aRKBTUYYMJWHZY+9C7Di6xmjarRsq0&#10;RalJW9Crl6/zFHCxILnUqBGH6JuNUui23XmyrSmPGMyZnh3e8lWD4mvmwz1zoAMaBsXDHY5KGhQx&#10;Z4mS2rgvf9NHf2wJVkpa0KugGvynRL7X2F5k4iC4QdgOgt6rGwO+jvF1LE8iAlyQg1g5oz6D98tY&#10;AyamOSoVNAziTegpjn/DxXKZnPbWNbu6DwD3LAtrvbE8lolAervcB4CZMI4A9aiccQP70pbOPyXS&#10;+/E7eT3858V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Iq3yPEVAgAAF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zMDM5MDlmZThiOWI0MDYxYjYzZTBhZGY0MWMzMmQifQ=="/>
  </w:docVars>
  <w:rsids>
    <w:rsidRoot w:val="13C903CD"/>
    <w:rsid w:val="00D46520"/>
    <w:rsid w:val="013F60F2"/>
    <w:rsid w:val="01D03FA9"/>
    <w:rsid w:val="020E2058"/>
    <w:rsid w:val="026062D7"/>
    <w:rsid w:val="0385612E"/>
    <w:rsid w:val="03AD2EC6"/>
    <w:rsid w:val="04C06D7E"/>
    <w:rsid w:val="0648792F"/>
    <w:rsid w:val="06EF0B7E"/>
    <w:rsid w:val="07A25619"/>
    <w:rsid w:val="08597E6D"/>
    <w:rsid w:val="08DA7C44"/>
    <w:rsid w:val="08E81812"/>
    <w:rsid w:val="093E54D0"/>
    <w:rsid w:val="09C86F91"/>
    <w:rsid w:val="0A652DCC"/>
    <w:rsid w:val="0BD31C1D"/>
    <w:rsid w:val="0BDD2D08"/>
    <w:rsid w:val="0E0B0A63"/>
    <w:rsid w:val="0E55084B"/>
    <w:rsid w:val="108E34AE"/>
    <w:rsid w:val="114E3F98"/>
    <w:rsid w:val="11671785"/>
    <w:rsid w:val="125C3257"/>
    <w:rsid w:val="13A77B93"/>
    <w:rsid w:val="13C903CD"/>
    <w:rsid w:val="13FC6502"/>
    <w:rsid w:val="14D1667B"/>
    <w:rsid w:val="17A44566"/>
    <w:rsid w:val="18B3705E"/>
    <w:rsid w:val="191252AC"/>
    <w:rsid w:val="197762DD"/>
    <w:rsid w:val="19B44A67"/>
    <w:rsid w:val="19D81898"/>
    <w:rsid w:val="1A097152"/>
    <w:rsid w:val="1B263890"/>
    <w:rsid w:val="1BBE01F3"/>
    <w:rsid w:val="1DB31435"/>
    <w:rsid w:val="1E602784"/>
    <w:rsid w:val="1F5563A3"/>
    <w:rsid w:val="20912E2F"/>
    <w:rsid w:val="21F20677"/>
    <w:rsid w:val="220D62EA"/>
    <w:rsid w:val="229972C4"/>
    <w:rsid w:val="22E04EF3"/>
    <w:rsid w:val="2302130E"/>
    <w:rsid w:val="244235BD"/>
    <w:rsid w:val="269478CD"/>
    <w:rsid w:val="26BD240C"/>
    <w:rsid w:val="282A5916"/>
    <w:rsid w:val="28404570"/>
    <w:rsid w:val="28813FFA"/>
    <w:rsid w:val="288D1679"/>
    <w:rsid w:val="28BA0A6F"/>
    <w:rsid w:val="29422464"/>
    <w:rsid w:val="296502FB"/>
    <w:rsid w:val="29E11B6F"/>
    <w:rsid w:val="2A455ED8"/>
    <w:rsid w:val="2ACF52EE"/>
    <w:rsid w:val="2ADA66CC"/>
    <w:rsid w:val="2BEF72D2"/>
    <w:rsid w:val="2CBE3BA0"/>
    <w:rsid w:val="2D466B8A"/>
    <w:rsid w:val="2DA21C82"/>
    <w:rsid w:val="2DBE4083"/>
    <w:rsid w:val="2E726C52"/>
    <w:rsid w:val="2F3C5DE5"/>
    <w:rsid w:val="304C3F79"/>
    <w:rsid w:val="328C5B9D"/>
    <w:rsid w:val="32C6023B"/>
    <w:rsid w:val="32D456DC"/>
    <w:rsid w:val="33723C30"/>
    <w:rsid w:val="33DC1612"/>
    <w:rsid w:val="33E9231C"/>
    <w:rsid w:val="34C77CC1"/>
    <w:rsid w:val="34E81C7C"/>
    <w:rsid w:val="35867971"/>
    <w:rsid w:val="371D3482"/>
    <w:rsid w:val="37A9630A"/>
    <w:rsid w:val="37D36E28"/>
    <w:rsid w:val="38C509BB"/>
    <w:rsid w:val="38FA5569"/>
    <w:rsid w:val="39BE0A90"/>
    <w:rsid w:val="39C57535"/>
    <w:rsid w:val="39C66799"/>
    <w:rsid w:val="3B053510"/>
    <w:rsid w:val="3CFD1808"/>
    <w:rsid w:val="3DF14FF1"/>
    <w:rsid w:val="3DFA2EB5"/>
    <w:rsid w:val="3E3E2BAA"/>
    <w:rsid w:val="3E4668D1"/>
    <w:rsid w:val="3EE038C7"/>
    <w:rsid w:val="3F190510"/>
    <w:rsid w:val="3F7171A7"/>
    <w:rsid w:val="3FA0170D"/>
    <w:rsid w:val="3FAF2F7F"/>
    <w:rsid w:val="406F4E9E"/>
    <w:rsid w:val="408B185E"/>
    <w:rsid w:val="414C3A28"/>
    <w:rsid w:val="416E6F5B"/>
    <w:rsid w:val="41954DC0"/>
    <w:rsid w:val="42AA0EB4"/>
    <w:rsid w:val="4355293C"/>
    <w:rsid w:val="44022AC4"/>
    <w:rsid w:val="443003B9"/>
    <w:rsid w:val="447909B3"/>
    <w:rsid w:val="450A3941"/>
    <w:rsid w:val="45613A14"/>
    <w:rsid w:val="45D6072E"/>
    <w:rsid w:val="46CD4303"/>
    <w:rsid w:val="475F21EA"/>
    <w:rsid w:val="48140818"/>
    <w:rsid w:val="48CC544E"/>
    <w:rsid w:val="494D6622"/>
    <w:rsid w:val="4B5E69F9"/>
    <w:rsid w:val="4BDD0948"/>
    <w:rsid w:val="4C561BFF"/>
    <w:rsid w:val="4CA85435"/>
    <w:rsid w:val="4D3554E5"/>
    <w:rsid w:val="4D502AE4"/>
    <w:rsid w:val="4D951771"/>
    <w:rsid w:val="4DA85876"/>
    <w:rsid w:val="4F483C48"/>
    <w:rsid w:val="4FB91044"/>
    <w:rsid w:val="52287B99"/>
    <w:rsid w:val="5260419B"/>
    <w:rsid w:val="53FC02D7"/>
    <w:rsid w:val="554E653D"/>
    <w:rsid w:val="557D266E"/>
    <w:rsid w:val="55E27CB3"/>
    <w:rsid w:val="561D2022"/>
    <w:rsid w:val="595E71CB"/>
    <w:rsid w:val="5ABA77FD"/>
    <w:rsid w:val="5B1C2265"/>
    <w:rsid w:val="5B77250D"/>
    <w:rsid w:val="5BD257FC"/>
    <w:rsid w:val="5C1C544A"/>
    <w:rsid w:val="5DCF35BF"/>
    <w:rsid w:val="5F096FA4"/>
    <w:rsid w:val="5F0A1402"/>
    <w:rsid w:val="5F490F15"/>
    <w:rsid w:val="60F630B0"/>
    <w:rsid w:val="627D3787"/>
    <w:rsid w:val="632A3167"/>
    <w:rsid w:val="637846F9"/>
    <w:rsid w:val="638F13C5"/>
    <w:rsid w:val="63C02100"/>
    <w:rsid w:val="64701BC0"/>
    <w:rsid w:val="64746C6E"/>
    <w:rsid w:val="64FB0219"/>
    <w:rsid w:val="6511270F"/>
    <w:rsid w:val="6814039B"/>
    <w:rsid w:val="692A2E22"/>
    <w:rsid w:val="69A43376"/>
    <w:rsid w:val="6AD321A7"/>
    <w:rsid w:val="6D3F4750"/>
    <w:rsid w:val="6ED564CD"/>
    <w:rsid w:val="6F3D5903"/>
    <w:rsid w:val="6F7312F3"/>
    <w:rsid w:val="6FF73972"/>
    <w:rsid w:val="7003534A"/>
    <w:rsid w:val="70C3762A"/>
    <w:rsid w:val="714973E7"/>
    <w:rsid w:val="74E71186"/>
    <w:rsid w:val="76055A4E"/>
    <w:rsid w:val="7844327E"/>
    <w:rsid w:val="79066C2C"/>
    <w:rsid w:val="7A5F258A"/>
    <w:rsid w:val="7AE9619A"/>
    <w:rsid w:val="7B1E3948"/>
    <w:rsid w:val="7C310FCD"/>
    <w:rsid w:val="7C6F7FEF"/>
    <w:rsid w:val="7CD971BB"/>
    <w:rsid w:val="7CDE0A72"/>
    <w:rsid w:val="7D772B72"/>
    <w:rsid w:val="7D9A32CD"/>
    <w:rsid w:val="7E3B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1000" w:after="400"/>
      <w:jc w:val="center"/>
      <w:outlineLvl w:val="2"/>
    </w:pPr>
    <w:rPr>
      <w:rFonts w:ascii="公文小标宋简" w:eastAsia="公文小标宋简"/>
      <w:sz w:val="44"/>
      <w:szCs w:val="20"/>
    </w:rPr>
  </w:style>
  <w:style w:type="character" w:default="1" w:styleId="15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Body Text"/>
    <w:basedOn w:val="1"/>
    <w:next w:val="1"/>
    <w:qFormat/>
    <w:uiPriority w:val="0"/>
    <w:pPr>
      <w:spacing w:after="120" w:line="240" w:lineRule="atLeast"/>
    </w:pPr>
    <w:rPr>
      <w:spacing w:val="-6"/>
      <w:szCs w:val="20"/>
    </w:rPr>
  </w:style>
  <w:style w:type="paragraph" w:styleId="5">
    <w:name w:val="Body Text Indent"/>
    <w:basedOn w:val="1"/>
    <w:next w:val="1"/>
    <w:qFormat/>
    <w:uiPriority w:val="99"/>
    <w:pPr>
      <w:spacing w:after="120"/>
      <w:ind w:left="420" w:leftChars="200"/>
    </w:pPr>
  </w:style>
  <w:style w:type="paragraph" w:styleId="6">
    <w:name w:val="Plain Text"/>
    <w:basedOn w:val="1"/>
    <w:unhideWhenUsed/>
    <w:qFormat/>
    <w:uiPriority w:val="99"/>
    <w:rPr>
      <w:rFonts w:ascii="宋体" w:hAnsi="Courier New"/>
      <w:sz w:val="21"/>
      <w:szCs w:val="21"/>
    </w:rPr>
  </w:style>
  <w:style w:type="paragraph" w:styleId="7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index 9"/>
    <w:basedOn w:val="1"/>
    <w:next w:val="1"/>
    <w:qFormat/>
    <w:uiPriority w:val="0"/>
    <w:pPr>
      <w:ind w:left="3360"/>
    </w:pPr>
  </w:style>
  <w:style w:type="paragraph" w:styleId="10">
    <w:name w:val="Normal (Web)"/>
    <w:basedOn w:val="1"/>
    <w:next w:val="9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Title"/>
    <w:basedOn w:val="1"/>
    <w:next w:val="1"/>
    <w:qFormat/>
    <w:uiPriority w:val="0"/>
    <w:pPr>
      <w:jc w:val="center"/>
      <w:outlineLvl w:val="0"/>
    </w:pPr>
    <w:rPr>
      <w:rFonts w:ascii="Arial" w:hAnsi="Arial" w:cs="Arial"/>
      <w:bCs/>
      <w:sz w:val="32"/>
      <w:szCs w:val="32"/>
    </w:rPr>
  </w:style>
  <w:style w:type="paragraph" w:styleId="12">
    <w:name w:val="Body Text First Indent 2"/>
    <w:basedOn w:val="5"/>
    <w:next w:val="1"/>
    <w:qFormat/>
    <w:uiPriority w:val="99"/>
    <w:pPr>
      <w:ind w:firstLine="420"/>
    </w:p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basedOn w:val="15"/>
    <w:qFormat/>
    <w:uiPriority w:val="0"/>
    <w:rPr>
      <w:b/>
    </w:rPr>
  </w:style>
  <w:style w:type="paragraph" w:customStyle="1" w:styleId="17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18">
    <w:name w:val="WPSOffice手动目录 2"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19">
    <w:name w:val="z正文"/>
    <w:basedOn w:val="6"/>
    <w:qFormat/>
    <w:uiPriority w:val="0"/>
    <w:pPr>
      <w:tabs>
        <w:tab w:val="left" w:pos="525"/>
      </w:tabs>
      <w:snapToGrid w:val="0"/>
      <w:spacing w:line="360" w:lineRule="auto"/>
    </w:pPr>
    <w:rPr>
      <w:rFonts w:ascii="Times New Roman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11362</Words>
  <Characters>11676</Characters>
  <Lines>0</Lines>
  <Paragraphs>0</Paragraphs>
  <TotalTime>17</TotalTime>
  <ScaleCrop>false</ScaleCrop>
  <LinksUpToDate>false</LinksUpToDate>
  <CharactersWithSpaces>11765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2022-04-07T07:15:00Z</dcterms:created>
  <dc:creator>HP</dc:creator>
  <cp:lastModifiedBy>银杏果</cp:lastModifiedBy>
  <cp:lastPrinted>2023-07-03T07:11:00Z</cp:lastPrinted>
  <dcterms:modified xsi:type="dcterms:W3CDTF">2023-08-16T01:47:54Z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FD072368189C48D8A027899AE524E363_13</vt:lpwstr>
  </property>
</Properties>
</file>