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576" w:lineRule="exact"/>
        <w:jc w:val="center"/>
        <w:rPr>
          <w:rFonts w:ascii="Times New Roman" w:hAnsi="Times New Roman" w:eastAsia="仿宋_GB2312"/>
        </w:rPr>
      </w:pPr>
    </w:p>
    <w:p>
      <w:pPr>
        <w:snapToGrid w:val="0"/>
        <w:spacing w:line="576" w:lineRule="exact"/>
        <w:jc w:val="center"/>
        <w:rPr>
          <w:rFonts w:ascii="Times New Roman" w:hAnsi="Times New Roman" w:eastAsia="仿宋_GB2312"/>
        </w:rPr>
      </w:pPr>
    </w:p>
    <w:p>
      <w:pPr>
        <w:snapToGrid w:val="0"/>
        <w:spacing w:line="576" w:lineRule="exact"/>
        <w:jc w:val="center"/>
        <w:rPr>
          <w:rFonts w:ascii="Times New Roman" w:hAnsi="Times New Roman" w:eastAsia="仿宋_GB2312"/>
        </w:rPr>
      </w:pPr>
    </w:p>
    <w:p>
      <w:pPr>
        <w:snapToGrid w:val="0"/>
        <w:spacing w:line="576" w:lineRule="exact"/>
        <w:jc w:val="center"/>
        <w:rPr>
          <w:rFonts w:ascii="Times New Roman" w:hAnsi="Times New Roman" w:eastAsia="仿宋_GB2312"/>
        </w:rPr>
      </w:pPr>
    </w:p>
    <w:p>
      <w:pPr>
        <w:snapToGrid w:val="0"/>
        <w:spacing w:line="576" w:lineRule="exact"/>
        <w:jc w:val="center"/>
        <w:rPr>
          <w:rFonts w:ascii="Times New Roman" w:hAnsi="Times New Roman" w:eastAsia="仿宋_GB2312"/>
        </w:rPr>
      </w:pPr>
    </w:p>
    <w:p>
      <w:pPr>
        <w:spacing w:line="600" w:lineRule="exact"/>
        <w:rPr>
          <w:rFonts w:ascii="Times New Roman" w:hAnsi="Times New Roman" w:eastAsia="仿宋_GB2312"/>
          <w:sz w:val="32"/>
          <w:szCs w:val="32"/>
        </w:rPr>
      </w:pPr>
    </w:p>
    <w:p>
      <w:pPr>
        <w:spacing w:line="600" w:lineRule="exact"/>
        <w:ind w:firstLine="320" w:firstLineChars="100"/>
        <w:jc w:val="center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川政办字〔20</w:t>
      </w:r>
      <w:r>
        <w:rPr>
          <w:rFonts w:hint="eastAsia" w:ascii="Times New Roman" w:hAnsi="Times New Roman" w:eastAsia="仿宋_GB2312"/>
          <w:sz w:val="32"/>
          <w:szCs w:val="32"/>
        </w:rPr>
        <w:t>2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3</w:t>
      </w:r>
      <w:r>
        <w:rPr>
          <w:rFonts w:ascii="Times New Roman" w:hAnsi="Times New Roman" w:eastAsia="仿宋_GB2312"/>
          <w:sz w:val="32"/>
          <w:szCs w:val="32"/>
        </w:rPr>
        <w:t>〕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22</w:t>
      </w:r>
      <w:r>
        <w:rPr>
          <w:rFonts w:ascii="Times New Roman" w:hAnsi="Times New Roman" w:eastAsia="仿宋_GB2312"/>
          <w:sz w:val="32"/>
          <w:szCs w:val="32"/>
        </w:rPr>
        <w:t>号</w:t>
      </w:r>
    </w:p>
    <w:p>
      <w:pPr>
        <w:spacing w:line="600" w:lineRule="exact"/>
        <w:ind w:firstLine="320" w:firstLineChars="10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小标宋简体" w:cs="Times New Roman"/>
          <w:b w:val="0"/>
          <w:bCs w:val="0"/>
          <w:color w:val="auto"/>
          <w:sz w:val="44"/>
          <w:szCs w:val="44"/>
          <w:lang w:val="en-US" w:eastAsia="zh-CN"/>
        </w:rPr>
      </w:pPr>
      <w:r>
        <w:rPr>
          <w:rFonts w:hint="default" w:ascii="Times New Roman" w:hAnsi="Times New Roman" w:eastAsia="方正小标宋简体" w:cs="Times New Roman"/>
          <w:b w:val="0"/>
          <w:bCs w:val="0"/>
          <w:color w:val="auto"/>
          <w:sz w:val="44"/>
          <w:szCs w:val="44"/>
          <w:lang w:val="en-US" w:eastAsia="zh-CN"/>
        </w:rPr>
        <w:t>淄川区人民政府办公室</w:t>
      </w:r>
    </w:p>
    <w:p>
      <w:pPr>
        <w:pStyle w:val="11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cs="Times New Roman"/>
          <w:b w:val="0"/>
          <w:bCs w:val="0"/>
          <w:lang w:val="en-US" w:eastAsia="zh-CN"/>
        </w:rPr>
      </w:pPr>
      <w:r>
        <w:rPr>
          <w:rFonts w:hint="default" w:ascii="Times New Roman" w:hAnsi="Times New Roman" w:eastAsia="方正小标宋简体" w:cs="Times New Roman"/>
          <w:b w:val="0"/>
          <w:bCs w:val="0"/>
          <w:color w:val="auto"/>
          <w:spacing w:val="-11"/>
          <w:sz w:val="44"/>
          <w:szCs w:val="44"/>
          <w:lang w:val="en-US" w:eastAsia="zh-CN"/>
        </w:rPr>
        <w:t>关于印发淄川区深化新旧动能转换推动绿色低碳</w:t>
      </w:r>
      <w:r>
        <w:rPr>
          <w:rFonts w:hint="default" w:ascii="Times New Roman" w:hAnsi="Times New Roman" w:eastAsia="方正小标宋简体" w:cs="Times New Roman"/>
          <w:b w:val="0"/>
          <w:bCs w:val="0"/>
          <w:color w:val="auto"/>
          <w:spacing w:val="0"/>
          <w:sz w:val="44"/>
          <w:szCs w:val="44"/>
          <w:lang w:val="en-US" w:eastAsia="zh-CN"/>
        </w:rPr>
        <w:t>高质量发展2023年重点工作任务的通知</w:t>
      </w:r>
    </w:p>
    <w:p>
      <w:pPr>
        <w:pStyle w:val="11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cs="Times New Roman"/>
          <w:b w:val="0"/>
          <w:bCs w:val="0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各镇人民政府，各街道办事处，开发区管委会，区政府有关部门，有关单位：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《淄川区深化新旧动能转换推动绿色低碳高质量发展2023年重点工作任务》已经区政府同意，现印发给你们，请结合实际，认真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抓好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落实。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800" w:firstLineChars="1500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淄川区人民政府办公室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440" w:firstLineChars="1700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202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3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年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7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月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3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（此件公开发布）</w:t>
      </w:r>
    </w:p>
    <w:p>
      <w:pP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br w:type="page"/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left="0" w:leftChars="0" w:firstLine="0" w:firstLineChars="0"/>
        <w:jc w:val="center"/>
        <w:textAlignment w:val="auto"/>
        <w:rPr>
          <w:rFonts w:hint="default" w:ascii="Times New Roman" w:hAnsi="Times New Roman" w:eastAsia="方正小标宋简体" w:cs="Times New Roman"/>
          <w:color w:val="auto"/>
          <w:sz w:val="44"/>
          <w:szCs w:val="44"/>
          <w:highlight w:val="none"/>
        </w:rPr>
      </w:pPr>
      <w:r>
        <w:rPr>
          <w:rFonts w:hint="default" w:ascii="Times New Roman" w:hAnsi="Times New Roman" w:eastAsia="方正小标宋简体" w:cs="Times New Roman"/>
          <w:color w:val="auto"/>
          <w:sz w:val="44"/>
          <w:szCs w:val="44"/>
          <w:highlight w:val="none"/>
          <w:lang w:val="en-US" w:eastAsia="zh-CN"/>
        </w:rPr>
        <w:t>淄川区</w:t>
      </w:r>
      <w:r>
        <w:rPr>
          <w:rFonts w:hint="default" w:ascii="Times New Roman" w:hAnsi="Times New Roman" w:eastAsia="方正小标宋简体" w:cs="Times New Roman"/>
          <w:color w:val="auto"/>
          <w:sz w:val="44"/>
          <w:szCs w:val="44"/>
          <w:highlight w:val="none"/>
          <w:lang w:eastAsia="zh-CN"/>
        </w:rPr>
        <w:t>深化新旧动能转换推动</w:t>
      </w:r>
      <w:r>
        <w:rPr>
          <w:rFonts w:hint="default" w:ascii="Times New Roman" w:hAnsi="Times New Roman" w:eastAsia="方正小标宋简体" w:cs="Times New Roman"/>
          <w:color w:val="auto"/>
          <w:sz w:val="44"/>
          <w:szCs w:val="44"/>
          <w:highlight w:val="none"/>
        </w:rPr>
        <w:t>绿色低碳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left="0" w:leftChars="0" w:firstLine="0" w:firstLineChars="0"/>
        <w:jc w:val="center"/>
        <w:textAlignment w:val="auto"/>
        <w:rPr>
          <w:rFonts w:hint="default" w:ascii="Times New Roman" w:hAnsi="Times New Roman" w:eastAsia="微软雅黑" w:cs="Times New Roman"/>
          <w:color w:val="auto"/>
          <w:sz w:val="44"/>
          <w:szCs w:val="44"/>
          <w:highlight w:val="none"/>
        </w:rPr>
      </w:pPr>
      <w:r>
        <w:rPr>
          <w:rFonts w:hint="default" w:ascii="Times New Roman" w:hAnsi="Times New Roman" w:eastAsia="方正小标宋简体" w:cs="Times New Roman"/>
          <w:color w:val="auto"/>
          <w:sz w:val="44"/>
          <w:szCs w:val="44"/>
          <w:highlight w:val="none"/>
        </w:rPr>
        <w:t>高质量发展2023年重点工作任务</w:t>
      </w:r>
    </w:p>
    <w:p>
      <w:pPr>
        <w:spacing w:line="560" w:lineRule="exact"/>
        <w:ind w:firstLine="640" w:firstLineChars="200"/>
        <w:rPr>
          <w:rFonts w:hint="default" w:ascii="Times New Roman" w:hAnsi="Times New Roman" w:eastAsia="仿宋_GB2312" w:cs="Times New Roman"/>
          <w:sz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left="0" w:leftChars="0" w:firstLine="640" w:firstLineChars="200"/>
        <w:textAlignment w:val="auto"/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为全面落实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《淄博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市深化新旧动能转换推动绿色低碳高质量发展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2023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年重点工作任务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》、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《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淄川区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深化新旧动能转换推动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绿色低碳高质量发展三年行动计划（2023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—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2025年）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》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，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确保我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区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绿色低碳高质量发展工作开好局、起好步、走在前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，制定2023年重点工作任务如下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left="0" w:leftChars="0" w:firstLine="640" w:firstLineChars="200"/>
        <w:textAlignment w:val="auto"/>
        <w:rPr>
          <w:rFonts w:hint="eastAsia" w:ascii="Times New Roman" w:hAnsi="Times New Roman" w:eastAsia="黑体" w:cs="Times New Roman"/>
          <w:color w:val="auto"/>
          <w:sz w:val="32"/>
          <w:szCs w:val="32"/>
          <w:highlight w:val="none"/>
          <w:lang w:eastAsia="zh-CN"/>
        </w:rPr>
      </w:pPr>
      <w:r>
        <w:rPr>
          <w:rFonts w:hint="default" w:ascii="Times New Roman" w:hAnsi="Times New Roman" w:eastAsia="黑体" w:cs="Times New Roman"/>
          <w:color w:val="auto"/>
          <w:sz w:val="32"/>
          <w:szCs w:val="32"/>
          <w:highlight w:val="none"/>
        </w:rPr>
        <w:t>一、</w:t>
      </w:r>
      <w:r>
        <w:rPr>
          <w:rFonts w:hint="eastAsia" w:ascii="Times New Roman" w:hAnsi="Times New Roman" w:eastAsia="黑体" w:cs="Times New Roman"/>
          <w:color w:val="auto"/>
          <w:sz w:val="32"/>
          <w:szCs w:val="32"/>
          <w:highlight w:val="none"/>
          <w:lang w:eastAsia="zh-CN"/>
        </w:rPr>
        <w:t>加快推进科技</w:t>
      </w:r>
      <w:r>
        <w:rPr>
          <w:rFonts w:hint="default" w:ascii="Times New Roman" w:hAnsi="Times New Roman" w:eastAsia="黑体" w:cs="Times New Roman"/>
          <w:color w:val="auto"/>
          <w:sz w:val="32"/>
          <w:szCs w:val="32"/>
          <w:highlight w:val="none"/>
        </w:rPr>
        <w:t>创新驱动</w:t>
      </w:r>
      <w:r>
        <w:rPr>
          <w:rFonts w:hint="eastAsia" w:ascii="Times New Roman" w:hAnsi="Times New Roman" w:eastAsia="黑体" w:cs="Times New Roman"/>
          <w:color w:val="auto"/>
          <w:sz w:val="32"/>
          <w:szCs w:val="32"/>
          <w:highlight w:val="none"/>
          <w:lang w:eastAsia="zh-CN"/>
        </w:rPr>
        <w:t>发展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 w:val="0"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1.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default" w:ascii="Times New Roman" w:hAnsi="Times New Roman" w:eastAsia="楷体_GB2312" w:cs="Times New Roman"/>
          <w:color w:val="auto"/>
          <w:sz w:val="32"/>
          <w:szCs w:val="32"/>
          <w:highlight w:val="none"/>
        </w:rPr>
        <w:t>加快高能级创新平台建设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。实施创新平台梯次梯度培育计划，建立储备培育库，形成“成立”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、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“成长”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、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“成熟”的可持续平台生态，推动创新平台提质升级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，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力争新增市级以上创新平台10家以上。做好第二批省级工程研究中心（工程实验室）优化整合工作，力争新增3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—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5家市级创新平台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、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1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—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2家省级创新平台。</w:t>
      </w:r>
      <w:r>
        <w:rPr>
          <w:rFonts w:hint="default" w:ascii="Times New Roman" w:hAnsi="Times New Roman" w:eastAsia="楷体_GB2312" w:cs="Times New Roman"/>
          <w:color w:val="auto"/>
          <w:sz w:val="32"/>
          <w:szCs w:val="32"/>
          <w:highlight w:val="none"/>
        </w:rPr>
        <w:t>（</w:t>
      </w:r>
      <w:r>
        <w:rPr>
          <w:rFonts w:hint="default" w:ascii="Times New Roman" w:hAnsi="Times New Roman" w:eastAsia="楷体_GB2312" w:cs="Times New Roman"/>
          <w:color w:val="auto"/>
          <w:sz w:val="32"/>
          <w:szCs w:val="32"/>
          <w:highlight w:val="none"/>
          <w:lang w:val="en-US" w:eastAsia="zh-CN"/>
        </w:rPr>
        <w:t>区</w:t>
      </w:r>
      <w:r>
        <w:rPr>
          <w:rFonts w:hint="default" w:ascii="Times New Roman" w:hAnsi="Times New Roman" w:eastAsia="楷体_GB2312" w:cs="Times New Roman"/>
          <w:color w:val="auto"/>
          <w:sz w:val="32"/>
          <w:szCs w:val="32"/>
          <w:highlight w:val="none"/>
        </w:rPr>
        <w:t>科技局牵头，</w:t>
      </w:r>
      <w:r>
        <w:rPr>
          <w:rFonts w:hint="default" w:ascii="Times New Roman" w:hAnsi="Times New Roman" w:eastAsia="楷体_GB2312" w:cs="Times New Roman"/>
          <w:color w:val="auto"/>
          <w:sz w:val="32"/>
          <w:szCs w:val="32"/>
          <w:highlight w:val="none"/>
          <w:lang w:val="en-US" w:eastAsia="zh-CN"/>
        </w:rPr>
        <w:t>区发改局</w:t>
      </w:r>
      <w:r>
        <w:rPr>
          <w:rFonts w:hint="default" w:ascii="Times New Roman" w:hAnsi="Times New Roman" w:eastAsia="楷体_GB2312" w:cs="Times New Roman"/>
          <w:color w:val="auto"/>
          <w:sz w:val="32"/>
          <w:szCs w:val="32"/>
          <w:highlight w:val="none"/>
        </w:rPr>
        <w:t>等部门配合）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 w:val="0"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楷体_GB2312" w:cs="Times New Roman"/>
          <w:color w:val="auto"/>
          <w:sz w:val="32"/>
          <w:szCs w:val="32"/>
          <w:highlight w:val="none"/>
        </w:rPr>
        <w:t>2.</w:t>
      </w:r>
      <w:r>
        <w:rPr>
          <w:rFonts w:hint="eastAsia" w:ascii="Times New Roman" w:hAnsi="Times New Roman" w:eastAsia="楷体_GB2312" w:cs="Times New Roman"/>
          <w:color w:val="auto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default" w:ascii="Times New Roman" w:hAnsi="Times New Roman" w:eastAsia="楷体_GB2312" w:cs="Times New Roman"/>
          <w:color w:val="auto"/>
          <w:sz w:val="32"/>
          <w:szCs w:val="32"/>
          <w:highlight w:val="none"/>
        </w:rPr>
        <w:t>加强关键核心技术攻关。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聚焦我区“431”现代产业体系，支持企业与高校院所开展产学研协同创新，共同申报科技型中小企业创新能力提升工程，争取相关领域省级及以上科技项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目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3项以上。</w:t>
      </w:r>
      <w:r>
        <w:rPr>
          <w:rFonts w:hint="default" w:ascii="Times New Roman" w:hAnsi="Times New Roman" w:eastAsia="楷体_GB2312" w:cs="Times New Roman"/>
          <w:color w:val="auto"/>
          <w:sz w:val="32"/>
          <w:szCs w:val="32"/>
          <w:highlight w:val="none"/>
        </w:rPr>
        <w:t>（</w:t>
      </w:r>
      <w:r>
        <w:rPr>
          <w:rFonts w:hint="default" w:ascii="Times New Roman" w:hAnsi="Times New Roman" w:eastAsia="楷体_GB2312" w:cs="Times New Roman"/>
          <w:color w:val="auto"/>
          <w:sz w:val="32"/>
          <w:szCs w:val="32"/>
          <w:highlight w:val="none"/>
          <w:lang w:val="en-US" w:eastAsia="zh-CN"/>
        </w:rPr>
        <w:t>区</w:t>
      </w:r>
      <w:r>
        <w:rPr>
          <w:rFonts w:hint="default" w:ascii="Times New Roman" w:hAnsi="Times New Roman" w:eastAsia="楷体_GB2312" w:cs="Times New Roman"/>
          <w:color w:val="auto"/>
          <w:sz w:val="32"/>
          <w:szCs w:val="32"/>
          <w:highlight w:val="none"/>
        </w:rPr>
        <w:t>科技局负责）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 w:val="0"/>
        <w:spacing w:line="560" w:lineRule="exact"/>
        <w:ind w:left="0" w:leftChars="0"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3</w:t>
      </w:r>
      <w:r>
        <w:rPr>
          <w:rFonts w:hint="default" w:ascii="Times New Roman" w:hAnsi="Times New Roman" w:eastAsia="楷体_GB2312" w:cs="Times New Roman"/>
          <w:color w:val="auto"/>
          <w:sz w:val="32"/>
          <w:szCs w:val="32"/>
          <w:highlight w:val="none"/>
        </w:rPr>
        <w:t>.</w:t>
      </w:r>
      <w:r>
        <w:rPr>
          <w:rFonts w:hint="eastAsia" w:ascii="Times New Roman" w:hAnsi="Times New Roman" w:eastAsia="楷体_GB2312" w:cs="Times New Roman"/>
          <w:color w:val="auto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default" w:ascii="Times New Roman" w:hAnsi="Times New Roman" w:eastAsia="楷体_GB2312" w:cs="Times New Roman"/>
          <w:color w:val="auto"/>
          <w:sz w:val="32"/>
          <w:szCs w:val="32"/>
          <w:highlight w:val="none"/>
        </w:rPr>
        <w:t>培优做强科技创新主力军。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实施科技型企业“双培育双提升”计划，将具备高企培育潜力的企业，纳入区级培育库进行重点培育，力争高新技术企业和科技型中小企业数量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分别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达到170家和175家。</w:t>
      </w:r>
      <w:r>
        <w:rPr>
          <w:rFonts w:hint="default" w:ascii="Times New Roman" w:hAnsi="Times New Roman" w:eastAsia="楷体_GB2312" w:cs="Times New Roman"/>
          <w:color w:val="auto"/>
          <w:sz w:val="32"/>
          <w:szCs w:val="32"/>
          <w:highlight w:val="none"/>
        </w:rPr>
        <w:t>（</w:t>
      </w:r>
      <w:r>
        <w:rPr>
          <w:rFonts w:hint="default" w:ascii="Times New Roman" w:hAnsi="Times New Roman" w:eastAsia="楷体_GB2312" w:cs="Times New Roman"/>
          <w:color w:val="auto"/>
          <w:sz w:val="32"/>
          <w:szCs w:val="32"/>
          <w:highlight w:val="none"/>
          <w:lang w:val="en-US" w:eastAsia="zh-CN"/>
        </w:rPr>
        <w:t>区</w:t>
      </w:r>
      <w:r>
        <w:rPr>
          <w:rFonts w:hint="default" w:ascii="Times New Roman" w:hAnsi="Times New Roman" w:eastAsia="楷体_GB2312" w:cs="Times New Roman"/>
          <w:color w:val="auto"/>
          <w:sz w:val="32"/>
          <w:szCs w:val="32"/>
          <w:highlight w:val="none"/>
        </w:rPr>
        <w:t>科技局负责）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line="560" w:lineRule="exact"/>
        <w:ind w:left="0" w:leftChars="0"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4</w:t>
      </w:r>
      <w:r>
        <w:rPr>
          <w:rFonts w:hint="default" w:ascii="Times New Roman" w:hAnsi="Times New Roman" w:eastAsia="楷体_GB2312" w:cs="Times New Roman"/>
          <w:color w:val="auto"/>
          <w:sz w:val="32"/>
          <w:szCs w:val="32"/>
          <w:highlight w:val="none"/>
        </w:rPr>
        <w:t>.</w:t>
      </w:r>
      <w:r>
        <w:rPr>
          <w:rFonts w:hint="eastAsia" w:ascii="Times New Roman" w:hAnsi="Times New Roman" w:eastAsia="楷体_GB2312" w:cs="Times New Roman"/>
          <w:color w:val="auto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default" w:ascii="Times New Roman" w:hAnsi="Times New Roman" w:eastAsia="楷体_GB2312" w:cs="Times New Roman"/>
          <w:color w:val="auto"/>
          <w:sz w:val="32"/>
          <w:szCs w:val="32"/>
          <w:highlight w:val="none"/>
        </w:rPr>
        <w:t>加大高端人才引育力度。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落实《关于加强新时代淄博人才工作若干措施》等系列政策，持续打造“三百三行”产学研合作升级版，深化“揭榜挂帅”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、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“科技副总”等引才机制，采取“项目点人”等方式引进培育国家级重点人才，实施“双百工程”，实现人才科技发展集团实体化运作，年内至少引育10名市级以上高层次人才，3000名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以上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高校毕业生，力争国家级重点人才工程再次实现突破。</w:t>
      </w:r>
      <w:r>
        <w:rPr>
          <w:rFonts w:hint="default" w:ascii="Times New Roman" w:hAnsi="Times New Roman" w:eastAsia="楷体_GB2312" w:cs="Times New Roman"/>
          <w:color w:val="auto"/>
          <w:sz w:val="32"/>
          <w:szCs w:val="32"/>
          <w:highlight w:val="none"/>
        </w:rPr>
        <w:t>（</w:t>
      </w:r>
      <w:r>
        <w:rPr>
          <w:rFonts w:hint="default" w:ascii="Times New Roman" w:hAnsi="Times New Roman" w:eastAsia="楷体_GB2312" w:cs="Times New Roman"/>
          <w:color w:val="auto"/>
          <w:sz w:val="32"/>
          <w:szCs w:val="32"/>
          <w:highlight w:val="none"/>
          <w:lang w:val="en-US" w:eastAsia="zh-CN"/>
        </w:rPr>
        <w:t>区</w:t>
      </w:r>
      <w:r>
        <w:rPr>
          <w:rFonts w:hint="default" w:ascii="Times New Roman" w:hAnsi="Times New Roman" w:eastAsia="楷体_GB2312" w:cs="Times New Roman"/>
          <w:color w:val="auto"/>
          <w:sz w:val="32"/>
          <w:szCs w:val="32"/>
          <w:highlight w:val="none"/>
        </w:rPr>
        <w:t>委组织部牵头，</w:t>
      </w:r>
      <w:r>
        <w:rPr>
          <w:rFonts w:hint="default" w:ascii="Times New Roman" w:hAnsi="Times New Roman" w:eastAsia="楷体_GB2312" w:cs="Times New Roman"/>
          <w:color w:val="auto"/>
          <w:sz w:val="32"/>
          <w:szCs w:val="32"/>
          <w:highlight w:val="none"/>
          <w:lang w:val="en-US" w:eastAsia="zh-CN"/>
        </w:rPr>
        <w:t>区</w:t>
      </w:r>
      <w:r>
        <w:rPr>
          <w:rFonts w:hint="default" w:ascii="Times New Roman" w:hAnsi="Times New Roman" w:eastAsia="楷体_GB2312" w:cs="Times New Roman"/>
          <w:color w:val="auto"/>
          <w:sz w:val="32"/>
          <w:szCs w:val="32"/>
          <w:highlight w:val="none"/>
        </w:rPr>
        <w:t>教</w:t>
      </w:r>
      <w:r>
        <w:rPr>
          <w:rFonts w:hint="default" w:ascii="Times New Roman" w:hAnsi="Times New Roman" w:eastAsia="楷体_GB2312" w:cs="Times New Roman"/>
          <w:color w:val="auto"/>
          <w:sz w:val="32"/>
          <w:szCs w:val="32"/>
          <w:highlight w:val="none"/>
          <w:lang w:val="en-US" w:eastAsia="zh-CN"/>
        </w:rPr>
        <w:t>体</w:t>
      </w:r>
      <w:r>
        <w:rPr>
          <w:rFonts w:hint="default" w:ascii="Times New Roman" w:hAnsi="Times New Roman" w:eastAsia="楷体_GB2312" w:cs="Times New Roman"/>
          <w:color w:val="auto"/>
          <w:sz w:val="32"/>
          <w:szCs w:val="32"/>
          <w:highlight w:val="none"/>
        </w:rPr>
        <w:t>局、</w:t>
      </w:r>
      <w:r>
        <w:rPr>
          <w:rFonts w:hint="default" w:ascii="Times New Roman" w:hAnsi="Times New Roman" w:eastAsia="楷体_GB2312" w:cs="Times New Roman"/>
          <w:color w:val="auto"/>
          <w:sz w:val="32"/>
          <w:szCs w:val="32"/>
          <w:highlight w:val="none"/>
          <w:lang w:val="en-US" w:eastAsia="zh-CN"/>
        </w:rPr>
        <w:t>区</w:t>
      </w:r>
      <w:r>
        <w:rPr>
          <w:rFonts w:hint="default" w:ascii="Times New Roman" w:hAnsi="Times New Roman" w:eastAsia="楷体_GB2312" w:cs="Times New Roman"/>
          <w:color w:val="auto"/>
          <w:sz w:val="32"/>
          <w:szCs w:val="32"/>
          <w:highlight w:val="none"/>
        </w:rPr>
        <w:t>人社局、</w:t>
      </w:r>
      <w:r>
        <w:rPr>
          <w:rFonts w:hint="default" w:ascii="Times New Roman" w:hAnsi="Times New Roman" w:eastAsia="楷体_GB2312" w:cs="Times New Roman"/>
          <w:color w:val="auto"/>
          <w:sz w:val="32"/>
          <w:szCs w:val="32"/>
          <w:highlight w:val="none"/>
          <w:lang w:val="en-US" w:eastAsia="zh-CN"/>
        </w:rPr>
        <w:t>区</w:t>
      </w:r>
      <w:r>
        <w:rPr>
          <w:rFonts w:hint="default" w:ascii="Times New Roman" w:hAnsi="Times New Roman" w:eastAsia="楷体_GB2312" w:cs="Times New Roman"/>
          <w:color w:val="auto"/>
          <w:sz w:val="32"/>
          <w:szCs w:val="32"/>
          <w:highlight w:val="none"/>
        </w:rPr>
        <w:t>科技局等部门配合）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left="0" w:leftChars="0"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5.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default" w:ascii="Times New Roman" w:hAnsi="Times New Roman" w:eastAsia="楷体_GB2312" w:cs="Times New Roman"/>
          <w:color w:val="auto"/>
          <w:sz w:val="32"/>
          <w:szCs w:val="32"/>
          <w:highlight w:val="none"/>
        </w:rPr>
        <w:t>深化产教融合。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加强淄博理工学校与高职院校交流学习，不断提升服务企业发展水平和教育教学质量。推行中高职一体化人才培养模式，扩大对口贯通培养规模。推进省高水平中职学校建设，围绕全区支柱产业、新兴产业，深化产教融合、校企合作，重点建设2个省市级中职特色化专业。</w:t>
      </w:r>
      <w:r>
        <w:rPr>
          <w:rFonts w:hint="default" w:ascii="Times New Roman" w:hAnsi="Times New Roman" w:eastAsia="楷体_GB2312" w:cs="Times New Roman"/>
          <w:color w:val="auto"/>
          <w:sz w:val="32"/>
          <w:szCs w:val="32"/>
          <w:highlight w:val="none"/>
        </w:rPr>
        <w:t>（</w:t>
      </w:r>
      <w:r>
        <w:rPr>
          <w:rFonts w:hint="default" w:ascii="Times New Roman" w:hAnsi="Times New Roman" w:eastAsia="楷体_GB2312" w:cs="Times New Roman"/>
          <w:color w:val="auto"/>
          <w:sz w:val="32"/>
          <w:szCs w:val="32"/>
          <w:highlight w:val="none"/>
          <w:lang w:val="en-US" w:eastAsia="zh-CN"/>
        </w:rPr>
        <w:t>区</w:t>
      </w:r>
      <w:r>
        <w:rPr>
          <w:rFonts w:hint="default" w:ascii="Times New Roman" w:hAnsi="Times New Roman" w:eastAsia="楷体_GB2312" w:cs="Times New Roman"/>
          <w:color w:val="auto"/>
          <w:sz w:val="32"/>
          <w:szCs w:val="32"/>
          <w:highlight w:val="none"/>
        </w:rPr>
        <w:t>教</w:t>
      </w:r>
      <w:r>
        <w:rPr>
          <w:rFonts w:hint="default" w:ascii="Times New Roman" w:hAnsi="Times New Roman" w:eastAsia="楷体_GB2312" w:cs="Times New Roman"/>
          <w:color w:val="auto"/>
          <w:sz w:val="32"/>
          <w:szCs w:val="32"/>
          <w:highlight w:val="none"/>
          <w:lang w:val="en-US" w:eastAsia="zh-CN"/>
        </w:rPr>
        <w:t>体</w:t>
      </w:r>
      <w:r>
        <w:rPr>
          <w:rFonts w:hint="default" w:ascii="Times New Roman" w:hAnsi="Times New Roman" w:eastAsia="楷体_GB2312" w:cs="Times New Roman"/>
          <w:color w:val="auto"/>
          <w:sz w:val="32"/>
          <w:szCs w:val="32"/>
          <w:highlight w:val="none"/>
        </w:rPr>
        <w:t>局牵头，</w:t>
      </w:r>
      <w:r>
        <w:rPr>
          <w:rFonts w:hint="default" w:ascii="Times New Roman" w:hAnsi="Times New Roman" w:eastAsia="楷体_GB2312" w:cs="Times New Roman"/>
          <w:color w:val="auto"/>
          <w:sz w:val="32"/>
          <w:szCs w:val="32"/>
          <w:highlight w:val="none"/>
          <w:lang w:val="en-US" w:eastAsia="zh-CN"/>
        </w:rPr>
        <w:t>区</w:t>
      </w:r>
      <w:r>
        <w:rPr>
          <w:rFonts w:hint="default" w:ascii="Times New Roman" w:hAnsi="Times New Roman" w:eastAsia="楷体_GB2312" w:cs="Times New Roman"/>
          <w:color w:val="auto"/>
          <w:sz w:val="32"/>
          <w:szCs w:val="32"/>
          <w:highlight w:val="none"/>
        </w:rPr>
        <w:t>科技局等部门配合）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left="0" w:leftChars="0" w:firstLine="640" w:firstLineChars="200"/>
        <w:textAlignment w:val="auto"/>
        <w:rPr>
          <w:rFonts w:hint="default" w:ascii="Times New Roman" w:hAnsi="Times New Roman" w:eastAsia="仿宋_GB2312" w:cs="Times New Roman"/>
          <w:color w:val="C00000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none"/>
        </w:rPr>
        <w:t>6.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u w:val="none"/>
          <w:lang w:val="en-US" w:eastAsia="zh-CN"/>
        </w:rPr>
        <w:t xml:space="preserve"> </w:t>
      </w:r>
      <w:r>
        <w:rPr>
          <w:rFonts w:hint="default" w:ascii="Times New Roman" w:hAnsi="Times New Roman" w:eastAsia="楷体_GB2312" w:cs="Times New Roman"/>
          <w:color w:val="auto"/>
          <w:sz w:val="32"/>
          <w:szCs w:val="32"/>
          <w:highlight w:val="none"/>
          <w:u w:val="none"/>
        </w:rPr>
        <w:t>提升科技成果转化精度。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none"/>
        </w:rPr>
        <w:t>制定《淄川区关于推动科技成果转移转化的实施意见》，完善促进科技成果转移转化制度体系，打通成果转移转化通道。立足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u w:val="none"/>
          <w:lang w:eastAsia="zh-CN"/>
        </w:rPr>
        <w:t>“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none"/>
        </w:rPr>
        <w:t>四强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u w:val="none"/>
          <w:lang w:eastAsia="zh-CN"/>
        </w:rPr>
        <w:t>”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none"/>
        </w:rPr>
        <w:t>产业，依托金城医药中试基地等加快科技成果转化为现实生产力，推动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u w:val="none"/>
          <w:lang w:eastAsia="zh-CN"/>
        </w:rPr>
        <w:t>全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none"/>
        </w:rPr>
        <w:t>区绿色低碳高质量发展。加强高水平成果转化服务机构、中试基地、创新创业股权投资基金等建设，提升科技成果资源的共享与转移转化质效，力争万人高价值发明专利拥有量超过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none"/>
          <w:lang w:val="en-US" w:eastAsia="zh-CN"/>
        </w:rPr>
        <w:t>8.2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none"/>
        </w:rPr>
        <w:t>件。积极培育技术转移服务业态，推动技术转移与创业孵化融通发展，做好技术合同认定登记工作。</w:t>
      </w:r>
      <w:r>
        <w:rPr>
          <w:rFonts w:hint="default" w:ascii="Times New Roman" w:hAnsi="Times New Roman" w:eastAsia="楷体_GB2312" w:cs="Times New Roman"/>
          <w:color w:val="auto"/>
          <w:sz w:val="32"/>
          <w:szCs w:val="32"/>
          <w:highlight w:val="none"/>
          <w:u w:val="none"/>
        </w:rPr>
        <w:t>（</w:t>
      </w:r>
      <w:r>
        <w:rPr>
          <w:rFonts w:hint="default" w:ascii="Times New Roman" w:hAnsi="Times New Roman" w:eastAsia="楷体_GB2312" w:cs="Times New Roman"/>
          <w:color w:val="auto"/>
          <w:sz w:val="32"/>
          <w:szCs w:val="32"/>
          <w:highlight w:val="none"/>
          <w:u w:val="none"/>
          <w:lang w:val="en-US" w:eastAsia="zh-CN"/>
        </w:rPr>
        <w:t>区</w:t>
      </w:r>
      <w:r>
        <w:rPr>
          <w:rFonts w:hint="default" w:ascii="Times New Roman" w:hAnsi="Times New Roman" w:eastAsia="楷体_GB2312" w:cs="Times New Roman"/>
          <w:color w:val="auto"/>
          <w:sz w:val="32"/>
          <w:szCs w:val="32"/>
          <w:highlight w:val="none"/>
          <w:u w:val="none"/>
        </w:rPr>
        <w:t>科技局牵头，</w:t>
      </w:r>
      <w:r>
        <w:rPr>
          <w:rFonts w:hint="default" w:ascii="Times New Roman" w:hAnsi="Times New Roman" w:eastAsia="楷体_GB2312" w:cs="Times New Roman"/>
          <w:color w:val="auto"/>
          <w:sz w:val="32"/>
          <w:szCs w:val="32"/>
          <w:highlight w:val="none"/>
          <w:u w:val="none"/>
          <w:lang w:val="en-US" w:eastAsia="zh-CN"/>
        </w:rPr>
        <w:t>区发</w:t>
      </w:r>
      <w:r>
        <w:rPr>
          <w:rFonts w:hint="default" w:ascii="Times New Roman" w:hAnsi="Times New Roman" w:eastAsia="楷体_GB2312" w:cs="Times New Roman"/>
          <w:color w:val="auto"/>
          <w:sz w:val="32"/>
          <w:szCs w:val="32"/>
          <w:highlight w:val="none"/>
          <w:u w:val="none"/>
        </w:rPr>
        <w:t>改</w:t>
      </w:r>
      <w:r>
        <w:rPr>
          <w:rFonts w:hint="default" w:ascii="Times New Roman" w:hAnsi="Times New Roman" w:eastAsia="楷体_GB2312" w:cs="Times New Roman"/>
          <w:color w:val="auto"/>
          <w:sz w:val="32"/>
          <w:szCs w:val="32"/>
          <w:highlight w:val="none"/>
          <w:u w:val="none"/>
          <w:lang w:val="en-US" w:eastAsia="zh-CN"/>
        </w:rPr>
        <w:t>局</w:t>
      </w:r>
      <w:r>
        <w:rPr>
          <w:rFonts w:hint="default" w:ascii="Times New Roman" w:hAnsi="Times New Roman" w:eastAsia="楷体_GB2312" w:cs="Times New Roman"/>
          <w:color w:val="auto"/>
          <w:sz w:val="32"/>
          <w:szCs w:val="32"/>
          <w:highlight w:val="none"/>
          <w:u w:val="none"/>
        </w:rPr>
        <w:t>、</w:t>
      </w:r>
      <w:r>
        <w:rPr>
          <w:rFonts w:hint="default" w:ascii="Times New Roman" w:hAnsi="Times New Roman" w:eastAsia="楷体_GB2312" w:cs="Times New Roman"/>
          <w:color w:val="auto"/>
          <w:sz w:val="32"/>
          <w:szCs w:val="32"/>
          <w:highlight w:val="none"/>
          <w:u w:val="none"/>
          <w:lang w:val="en-US" w:eastAsia="zh-CN"/>
        </w:rPr>
        <w:t>区</w:t>
      </w:r>
      <w:r>
        <w:rPr>
          <w:rFonts w:hint="default" w:ascii="Times New Roman" w:hAnsi="Times New Roman" w:eastAsia="楷体_GB2312" w:cs="Times New Roman"/>
          <w:color w:val="auto"/>
          <w:sz w:val="32"/>
          <w:szCs w:val="32"/>
          <w:highlight w:val="none"/>
          <w:u w:val="none"/>
        </w:rPr>
        <w:t>市场监管局等部门配合）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left="0" w:leftChars="0" w:firstLine="640" w:firstLineChars="200"/>
        <w:textAlignment w:val="auto"/>
        <w:rPr>
          <w:rFonts w:hint="default" w:ascii="Times New Roman" w:hAnsi="Times New Roman" w:eastAsia="方正黑体_GBK" w:cs="Times New Roman"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黑体" w:cs="Times New Roman"/>
          <w:color w:val="auto"/>
          <w:sz w:val="32"/>
          <w:szCs w:val="32"/>
          <w:highlight w:val="none"/>
        </w:rPr>
        <w:t>二、持续深化新旧动能转换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after="0" w:line="560" w:lineRule="exact"/>
        <w:ind w:left="0" w:leftChars="0" w:firstLine="640" w:firstLineChars="200"/>
        <w:jc w:val="both"/>
        <w:textAlignment w:val="auto"/>
        <w:rPr>
          <w:rFonts w:hint="default" w:ascii="Times New Roman" w:hAnsi="Times New Roman" w:eastAsia="楷体_GB2312" w:cs="Times New Roman"/>
          <w:color w:val="auto"/>
          <w:spacing w:val="0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color w:val="auto"/>
          <w:spacing w:val="0"/>
          <w:kern w:val="2"/>
          <w:sz w:val="32"/>
          <w:szCs w:val="32"/>
          <w:highlight w:val="none"/>
          <w:lang w:val="en-US" w:eastAsia="zh-CN" w:bidi="ar-SA"/>
        </w:rPr>
        <w:t>7.</w:t>
      </w:r>
      <w:r>
        <w:rPr>
          <w:rFonts w:hint="eastAsia" w:ascii="Times New Roman" w:hAnsi="Times New Roman" w:eastAsia="仿宋_GB2312" w:cs="Times New Roman"/>
          <w:color w:val="auto"/>
          <w:spacing w:val="0"/>
          <w:kern w:val="2"/>
          <w:sz w:val="32"/>
          <w:szCs w:val="32"/>
          <w:highlight w:val="none"/>
          <w:lang w:val="en-US" w:eastAsia="zh-CN" w:bidi="ar-SA"/>
        </w:rPr>
        <w:t xml:space="preserve"> </w:t>
      </w:r>
      <w:r>
        <w:rPr>
          <w:rFonts w:hint="default" w:ascii="Times New Roman" w:hAnsi="Times New Roman" w:eastAsia="楷体_GB2312" w:cs="Times New Roman"/>
          <w:color w:val="auto"/>
          <w:spacing w:val="0"/>
          <w:kern w:val="2"/>
          <w:sz w:val="32"/>
          <w:szCs w:val="32"/>
          <w:highlight w:val="none"/>
          <w:lang w:val="en-US" w:eastAsia="zh-CN" w:bidi="ar-SA"/>
        </w:rPr>
        <w:t>改造提升优势传统产业。</w:t>
      </w:r>
      <w:r>
        <w:rPr>
          <w:rFonts w:hint="default" w:ascii="Times New Roman" w:hAnsi="Times New Roman" w:eastAsia="仿宋_GB2312" w:cs="Times New Roman"/>
          <w:color w:val="auto"/>
          <w:spacing w:val="0"/>
          <w:kern w:val="2"/>
          <w:sz w:val="32"/>
          <w:szCs w:val="32"/>
          <w:highlight w:val="none"/>
          <w:lang w:val="en-US" w:eastAsia="zh-CN" w:bidi="ar-SA"/>
        </w:rPr>
        <w:t>突出“五个优化”主攻方向，积极围绕数字化智能化技改，深入实施“百项技改、百企转型”工程，加速技改高质量发展，助推全区工业经济平稳运行，力争全年全区制造业技改投资完成25亿元，同比增长12%。持续推进绿色制造体系建设，新增市级以上绿色工厂3家，开发绿色设计产品2种。深入推进资源型城市产业转型升级示范区建设，落实示范区建设、制造业优势重构和工业遗产保护利用等方案，做好政策和资金对上争取，确保资源枯竭城市转型发展持续走在全国前列。</w:t>
      </w:r>
      <w:r>
        <w:rPr>
          <w:rFonts w:hint="default" w:ascii="Times New Roman" w:hAnsi="Times New Roman" w:eastAsia="楷体_GB2312" w:cs="Times New Roman"/>
          <w:color w:val="auto"/>
          <w:spacing w:val="0"/>
          <w:kern w:val="2"/>
          <w:sz w:val="32"/>
          <w:szCs w:val="32"/>
          <w:highlight w:val="none"/>
          <w:lang w:val="en-US" w:eastAsia="zh-CN" w:bidi="ar-SA"/>
        </w:rPr>
        <w:t>（</w:t>
      </w:r>
      <w:r>
        <w:rPr>
          <w:rFonts w:hint="default" w:ascii="Times New Roman" w:hAnsi="Times New Roman" w:eastAsia="楷体_GB2312" w:cs="Times New Roman"/>
          <w:color w:val="auto"/>
          <w:spacing w:val="0"/>
          <w:kern w:val="2"/>
          <w:sz w:val="32"/>
          <w:szCs w:val="32"/>
          <w:highlight w:val="none"/>
          <w:u w:val="none"/>
          <w:lang w:val="en-US" w:eastAsia="zh-CN" w:bidi="ar-SA"/>
        </w:rPr>
        <w:t>区工信局牵头，</w:t>
      </w:r>
      <w:r>
        <w:rPr>
          <w:rFonts w:hint="default" w:ascii="Times New Roman" w:hAnsi="Times New Roman" w:eastAsia="楷体_GB2312" w:cs="Times New Roman"/>
          <w:color w:val="auto"/>
          <w:spacing w:val="0"/>
          <w:kern w:val="2"/>
          <w:sz w:val="32"/>
          <w:szCs w:val="32"/>
          <w:highlight w:val="none"/>
          <w:lang w:val="en-US" w:eastAsia="zh-CN" w:bidi="ar-SA"/>
        </w:rPr>
        <w:t>区发改局、区生态环境分局等部门配合）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after="0" w:line="560" w:lineRule="exact"/>
        <w:ind w:left="0" w:leftChars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spacing w:val="0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color w:val="auto"/>
          <w:spacing w:val="0"/>
          <w:kern w:val="2"/>
          <w:sz w:val="32"/>
          <w:szCs w:val="32"/>
          <w:highlight w:val="none"/>
          <w:lang w:val="en-US" w:eastAsia="zh-CN" w:bidi="ar-SA"/>
        </w:rPr>
        <w:t>8.</w:t>
      </w:r>
      <w:r>
        <w:rPr>
          <w:rFonts w:hint="eastAsia" w:ascii="Times New Roman" w:hAnsi="Times New Roman" w:eastAsia="仿宋_GB2312" w:cs="Times New Roman"/>
          <w:color w:val="auto"/>
          <w:spacing w:val="0"/>
          <w:kern w:val="2"/>
          <w:sz w:val="32"/>
          <w:szCs w:val="32"/>
          <w:highlight w:val="none"/>
          <w:lang w:val="en-US" w:eastAsia="zh-CN" w:bidi="ar-SA"/>
        </w:rPr>
        <w:t xml:space="preserve"> </w:t>
      </w:r>
      <w:r>
        <w:rPr>
          <w:rFonts w:hint="default" w:ascii="Times New Roman" w:hAnsi="Times New Roman" w:eastAsia="楷体_GB2312" w:cs="Times New Roman"/>
          <w:color w:val="auto"/>
          <w:spacing w:val="0"/>
          <w:kern w:val="2"/>
          <w:sz w:val="32"/>
          <w:szCs w:val="32"/>
          <w:highlight w:val="none"/>
          <w:lang w:val="en-US" w:eastAsia="zh-CN" w:bidi="ar-SA"/>
        </w:rPr>
        <w:t>加快培育新经济新动能</w:t>
      </w:r>
      <w:r>
        <w:rPr>
          <w:rFonts w:hint="default" w:ascii="Times New Roman" w:hAnsi="Times New Roman" w:eastAsia="仿宋_GB2312" w:cs="Times New Roman"/>
          <w:color w:val="auto"/>
          <w:spacing w:val="0"/>
          <w:kern w:val="2"/>
          <w:sz w:val="32"/>
          <w:szCs w:val="32"/>
          <w:highlight w:val="none"/>
          <w:lang w:val="en-US" w:eastAsia="zh-CN" w:bidi="ar-SA"/>
        </w:rPr>
        <w:t>。积极推动汽车及高端装备制造产业、激光产业两条新赛道建设，培育认定2</w:t>
      </w:r>
      <w:r>
        <w:rPr>
          <w:rFonts w:hint="eastAsia" w:ascii="Times New Roman" w:hAnsi="Times New Roman" w:eastAsia="仿宋_GB2312" w:cs="Times New Roman"/>
          <w:color w:val="auto"/>
          <w:spacing w:val="0"/>
          <w:kern w:val="2"/>
          <w:sz w:val="32"/>
          <w:szCs w:val="32"/>
          <w:highlight w:val="none"/>
          <w:lang w:val="en-US" w:eastAsia="zh-CN" w:bidi="ar-SA"/>
        </w:rPr>
        <w:t>—</w:t>
      </w:r>
      <w:r>
        <w:rPr>
          <w:rFonts w:hint="default" w:ascii="Times New Roman" w:hAnsi="Times New Roman" w:eastAsia="仿宋_GB2312" w:cs="Times New Roman"/>
          <w:color w:val="auto"/>
          <w:spacing w:val="0"/>
          <w:kern w:val="2"/>
          <w:sz w:val="32"/>
          <w:szCs w:val="32"/>
          <w:highlight w:val="none"/>
          <w:lang w:val="en-US" w:eastAsia="zh-CN" w:bidi="ar-SA"/>
        </w:rPr>
        <w:t>3个新经济创新应用场景，培育认定新经济种子企业2</w:t>
      </w:r>
      <w:r>
        <w:rPr>
          <w:rFonts w:hint="eastAsia" w:ascii="Times New Roman" w:hAnsi="Times New Roman" w:eastAsia="仿宋_GB2312" w:cs="Times New Roman"/>
          <w:color w:val="auto"/>
          <w:spacing w:val="0"/>
          <w:kern w:val="2"/>
          <w:sz w:val="32"/>
          <w:szCs w:val="32"/>
          <w:highlight w:val="none"/>
          <w:lang w:val="en-US" w:eastAsia="zh-CN" w:bidi="ar-SA"/>
        </w:rPr>
        <w:t>—</w:t>
      </w:r>
      <w:r>
        <w:rPr>
          <w:rFonts w:hint="default" w:ascii="Times New Roman" w:hAnsi="Times New Roman" w:eastAsia="仿宋_GB2312" w:cs="Times New Roman"/>
          <w:color w:val="auto"/>
          <w:spacing w:val="0"/>
          <w:kern w:val="2"/>
          <w:sz w:val="32"/>
          <w:szCs w:val="32"/>
          <w:highlight w:val="none"/>
          <w:lang w:val="en-US" w:eastAsia="zh-CN" w:bidi="ar-SA"/>
        </w:rPr>
        <w:t>3家。培育壮大数字产业，加快推进中国移动（淄博）鲁中数据中心开展机电扩容、二期土建等建设任务。加快推动数字经济核心产业发展，强化靠前服务，依托中国移动（淄博）鲁中数据中心打造我区区域性产业算力中心。</w:t>
      </w:r>
      <w:r>
        <w:rPr>
          <w:rFonts w:hint="default" w:ascii="Times New Roman" w:hAnsi="Times New Roman" w:eastAsia="楷体_GB2312" w:cs="Times New Roman"/>
          <w:color w:val="auto"/>
          <w:spacing w:val="0"/>
          <w:kern w:val="2"/>
          <w:sz w:val="32"/>
          <w:szCs w:val="32"/>
          <w:highlight w:val="none"/>
          <w:lang w:val="en-US" w:eastAsia="zh-CN" w:bidi="ar-SA"/>
        </w:rPr>
        <w:t>（区发改局、区工信局、区大数据中心负责）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after="0" w:line="560" w:lineRule="exact"/>
        <w:ind w:left="0" w:leftChars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C00000"/>
          <w:spacing w:val="0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color w:val="auto"/>
          <w:spacing w:val="0"/>
          <w:kern w:val="2"/>
          <w:sz w:val="32"/>
          <w:szCs w:val="32"/>
          <w:highlight w:val="none"/>
          <w:lang w:val="en-US" w:eastAsia="zh-CN" w:bidi="ar-SA"/>
        </w:rPr>
        <w:t>9.</w:t>
      </w:r>
      <w:r>
        <w:rPr>
          <w:rFonts w:hint="eastAsia" w:ascii="Times New Roman" w:hAnsi="Times New Roman" w:eastAsia="仿宋_GB2312" w:cs="Times New Roman"/>
          <w:color w:val="auto"/>
          <w:spacing w:val="0"/>
          <w:kern w:val="2"/>
          <w:sz w:val="32"/>
          <w:szCs w:val="32"/>
          <w:highlight w:val="none"/>
          <w:lang w:val="en-US" w:eastAsia="zh-CN" w:bidi="ar-SA"/>
        </w:rPr>
        <w:t xml:space="preserve"> </w:t>
      </w:r>
      <w:r>
        <w:rPr>
          <w:rFonts w:hint="default" w:ascii="Times New Roman" w:hAnsi="Times New Roman" w:eastAsia="楷体_GB2312" w:cs="Times New Roman"/>
          <w:color w:val="auto"/>
          <w:spacing w:val="0"/>
          <w:kern w:val="2"/>
          <w:sz w:val="32"/>
          <w:szCs w:val="32"/>
          <w:highlight w:val="none"/>
          <w:lang w:val="en-US" w:eastAsia="zh-CN" w:bidi="ar-SA"/>
        </w:rPr>
        <w:t>持续壮大产业链群。</w:t>
      </w:r>
      <w:r>
        <w:rPr>
          <w:rFonts w:hint="default" w:ascii="Times New Roman" w:hAnsi="Times New Roman" w:eastAsia="仿宋_GB2312" w:cs="Times New Roman"/>
          <w:color w:val="auto"/>
          <w:spacing w:val="0"/>
          <w:kern w:val="2"/>
          <w:sz w:val="32"/>
          <w:szCs w:val="32"/>
          <w:highlight w:val="none"/>
          <w:lang w:val="en-US" w:eastAsia="zh-CN" w:bidi="ar-SA"/>
        </w:rPr>
        <w:t>深入实施产业链“链长制”，力争</w:t>
      </w:r>
      <w:r>
        <w:rPr>
          <w:rFonts w:hint="eastAsia" w:ascii="Times New Roman" w:hAnsi="Times New Roman" w:eastAsia="仿宋_GB2312" w:cs="Times New Roman"/>
          <w:color w:val="auto"/>
          <w:spacing w:val="0"/>
          <w:kern w:val="2"/>
          <w:sz w:val="32"/>
          <w:szCs w:val="32"/>
          <w:highlight w:val="none"/>
          <w:lang w:val="en-US" w:eastAsia="zh-CN" w:bidi="ar-SA"/>
        </w:rPr>
        <w:t>年内</w:t>
      </w:r>
      <w:r>
        <w:rPr>
          <w:rFonts w:hint="default" w:ascii="Times New Roman" w:hAnsi="Times New Roman" w:eastAsia="仿宋_GB2312" w:cs="Times New Roman"/>
          <w:color w:val="auto"/>
          <w:spacing w:val="0"/>
          <w:kern w:val="2"/>
          <w:sz w:val="32"/>
          <w:szCs w:val="32"/>
          <w:highlight w:val="none"/>
          <w:lang w:val="en-US" w:eastAsia="zh-CN" w:bidi="ar-SA"/>
        </w:rPr>
        <w:t>新能源汽车及配套装备产值达到100亿元，培育100家汽车零配件及服务企业。围绕新材料、纺织服装、建材建陶产业链，实施产业链提升行动。深入推进“四强”产业攀登计划，力争“四强”产业增加值占比达到40%。抓好国家、省战略性新兴产业集群、特色产业集群、省“雁阵形”产业集群及集群领军企业培育发展，抓好重大产业攻关项目实施，持续壮大产业集群规模。</w:t>
      </w:r>
      <w:r>
        <w:rPr>
          <w:rFonts w:hint="default" w:ascii="Times New Roman" w:hAnsi="Times New Roman" w:eastAsia="楷体_GB2312" w:cs="Times New Roman"/>
          <w:color w:val="auto"/>
          <w:spacing w:val="0"/>
          <w:kern w:val="2"/>
          <w:sz w:val="32"/>
          <w:szCs w:val="32"/>
          <w:highlight w:val="none"/>
          <w:lang w:val="en-US" w:eastAsia="zh-CN" w:bidi="ar-SA"/>
        </w:rPr>
        <w:t>（区发改局、区工信局牵头，区有关产业专责部门</w:t>
      </w:r>
      <w:r>
        <w:rPr>
          <w:rFonts w:hint="eastAsia" w:ascii="Times New Roman" w:hAnsi="Times New Roman" w:eastAsia="楷体_GB2312" w:cs="Times New Roman"/>
          <w:color w:val="auto"/>
          <w:spacing w:val="0"/>
          <w:kern w:val="2"/>
          <w:sz w:val="32"/>
          <w:szCs w:val="32"/>
          <w:highlight w:val="none"/>
          <w:lang w:val="en-US" w:eastAsia="zh-CN" w:bidi="ar-SA"/>
        </w:rPr>
        <w:t>、</w:t>
      </w:r>
      <w:r>
        <w:rPr>
          <w:rFonts w:hint="default" w:ascii="Times New Roman" w:hAnsi="Times New Roman" w:eastAsia="楷体_GB2312" w:cs="Times New Roman"/>
          <w:color w:val="auto"/>
          <w:spacing w:val="0"/>
          <w:kern w:val="2"/>
          <w:sz w:val="32"/>
          <w:szCs w:val="32"/>
          <w:highlight w:val="none"/>
          <w:lang w:val="en-US" w:eastAsia="zh-CN" w:bidi="ar-SA"/>
        </w:rPr>
        <w:t>各相关部门等配合）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after="0" w:line="560" w:lineRule="exact"/>
        <w:ind w:left="0" w:leftChars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spacing w:val="0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color w:val="auto"/>
          <w:spacing w:val="0"/>
          <w:kern w:val="2"/>
          <w:sz w:val="32"/>
          <w:szCs w:val="32"/>
          <w:highlight w:val="none"/>
          <w:lang w:val="en-US" w:eastAsia="zh-CN" w:bidi="ar-SA"/>
        </w:rPr>
        <w:t>10.</w:t>
      </w:r>
      <w:r>
        <w:rPr>
          <w:rFonts w:hint="eastAsia" w:ascii="Times New Roman" w:hAnsi="Times New Roman" w:eastAsia="仿宋_GB2312" w:cs="Times New Roman"/>
          <w:color w:val="auto"/>
          <w:spacing w:val="0"/>
          <w:kern w:val="2"/>
          <w:sz w:val="32"/>
          <w:szCs w:val="32"/>
          <w:highlight w:val="none"/>
          <w:lang w:val="en-US" w:eastAsia="zh-CN" w:bidi="ar-SA"/>
        </w:rPr>
        <w:t xml:space="preserve"> </w:t>
      </w:r>
      <w:r>
        <w:rPr>
          <w:rFonts w:hint="default" w:ascii="Times New Roman" w:hAnsi="Times New Roman" w:eastAsia="楷体_GB2312" w:cs="Times New Roman"/>
          <w:color w:val="auto"/>
          <w:spacing w:val="0"/>
          <w:kern w:val="2"/>
          <w:sz w:val="32"/>
          <w:szCs w:val="32"/>
          <w:highlight w:val="none"/>
          <w:lang w:val="en-US" w:eastAsia="zh-CN" w:bidi="ar-SA"/>
        </w:rPr>
        <w:t>梯度培育优质企业</w:t>
      </w:r>
      <w:r>
        <w:rPr>
          <w:rFonts w:hint="default" w:ascii="Times New Roman" w:hAnsi="Times New Roman" w:eastAsia="仿宋_GB2312" w:cs="Times New Roman"/>
          <w:color w:val="auto"/>
          <w:spacing w:val="0"/>
          <w:kern w:val="2"/>
          <w:sz w:val="32"/>
          <w:szCs w:val="32"/>
          <w:highlight w:val="none"/>
          <w:lang w:val="en-US" w:eastAsia="zh-CN" w:bidi="ar-SA"/>
        </w:rPr>
        <w:t>。打造“创新型中小企业</w:t>
      </w:r>
      <w:r>
        <w:rPr>
          <w:rFonts w:hint="eastAsia" w:ascii="Times New Roman" w:hAnsi="Times New Roman" w:eastAsia="仿宋_GB2312" w:cs="Times New Roman"/>
          <w:color w:val="auto"/>
          <w:spacing w:val="0"/>
          <w:kern w:val="2"/>
          <w:sz w:val="32"/>
          <w:szCs w:val="32"/>
          <w:highlight w:val="none"/>
          <w:lang w:val="en-US" w:eastAsia="zh-CN" w:bidi="ar-SA"/>
        </w:rPr>
        <w:t>—</w:t>
      </w:r>
      <w:r>
        <w:rPr>
          <w:rFonts w:hint="default" w:ascii="Times New Roman" w:hAnsi="Times New Roman" w:eastAsia="仿宋_GB2312" w:cs="Times New Roman"/>
          <w:color w:val="auto"/>
          <w:spacing w:val="0"/>
          <w:kern w:val="2"/>
          <w:sz w:val="32"/>
          <w:szCs w:val="32"/>
          <w:highlight w:val="none"/>
          <w:lang w:val="en-US" w:eastAsia="zh-CN" w:bidi="ar-SA"/>
        </w:rPr>
        <w:t>专精特新中小企业</w:t>
      </w:r>
      <w:r>
        <w:rPr>
          <w:rFonts w:hint="eastAsia" w:ascii="Times New Roman" w:hAnsi="Times New Roman" w:eastAsia="仿宋_GB2312" w:cs="Times New Roman"/>
          <w:color w:val="auto"/>
          <w:spacing w:val="0"/>
          <w:kern w:val="2"/>
          <w:sz w:val="32"/>
          <w:szCs w:val="32"/>
          <w:highlight w:val="none"/>
          <w:lang w:val="en-US" w:eastAsia="zh-CN" w:bidi="ar-SA"/>
        </w:rPr>
        <w:t>—</w:t>
      </w:r>
      <w:r>
        <w:rPr>
          <w:rFonts w:hint="default" w:ascii="Times New Roman" w:hAnsi="Times New Roman" w:eastAsia="仿宋_GB2312" w:cs="Times New Roman"/>
          <w:color w:val="auto"/>
          <w:spacing w:val="0"/>
          <w:kern w:val="2"/>
          <w:sz w:val="32"/>
          <w:szCs w:val="32"/>
          <w:highlight w:val="none"/>
          <w:lang w:val="en-US" w:eastAsia="zh-CN" w:bidi="ar-SA"/>
        </w:rPr>
        <w:t>专精特新‘小巨人’企业”梯度培育体系，建立优质中小企业动态培育库，加强分类指导、分级培育，推动技术、资金、人才、数据等要素资源向“专精特新”中小企业集聚</w:t>
      </w:r>
      <w:r>
        <w:rPr>
          <w:rFonts w:hint="eastAsia" w:ascii="Times New Roman" w:hAnsi="Times New Roman" w:eastAsia="仿宋_GB2312" w:cs="Times New Roman"/>
          <w:color w:val="auto"/>
          <w:spacing w:val="0"/>
          <w:kern w:val="2"/>
          <w:sz w:val="32"/>
          <w:szCs w:val="32"/>
          <w:highlight w:val="none"/>
          <w:lang w:val="en-US" w:eastAsia="zh-CN" w:bidi="ar-SA"/>
        </w:rPr>
        <w:t>，力争年内</w:t>
      </w:r>
      <w:r>
        <w:rPr>
          <w:rFonts w:hint="default" w:ascii="Times New Roman" w:hAnsi="Times New Roman" w:eastAsia="仿宋_GB2312" w:cs="Times New Roman"/>
          <w:color w:val="auto"/>
          <w:spacing w:val="0"/>
          <w:kern w:val="2"/>
          <w:sz w:val="32"/>
          <w:szCs w:val="32"/>
          <w:highlight w:val="none"/>
          <w:lang w:val="en-US" w:eastAsia="zh-CN" w:bidi="ar-SA"/>
        </w:rPr>
        <w:t>培育认定专精特新类和瞪羚类企业15家。</w:t>
      </w:r>
      <w:r>
        <w:rPr>
          <w:rFonts w:hint="default" w:ascii="Times New Roman" w:hAnsi="Times New Roman" w:eastAsia="楷体_GB2312" w:cs="Times New Roman"/>
          <w:color w:val="auto"/>
          <w:spacing w:val="0"/>
          <w:kern w:val="2"/>
          <w:sz w:val="32"/>
          <w:szCs w:val="32"/>
          <w:highlight w:val="none"/>
          <w:lang w:val="en-US" w:eastAsia="zh-CN" w:bidi="ar-SA"/>
        </w:rPr>
        <w:t>（区工信局负责）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left="0" w:leftChars="0"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11.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default" w:ascii="Times New Roman" w:hAnsi="Times New Roman" w:eastAsia="楷体_GB2312" w:cs="Times New Roman"/>
          <w:color w:val="auto"/>
          <w:sz w:val="32"/>
          <w:szCs w:val="32"/>
          <w:highlight w:val="none"/>
        </w:rPr>
        <w:t>推进制造业数字化转型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。推动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新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一代信息技术与制造业融合发展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，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利用“5G+工业互联网”、“人工智能+工业互联网”等新一代信息技术改造提升传统产业，打造一批传统企业典型应用场景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，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年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内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培育新一代应用场景8个。</w:t>
      </w:r>
      <w:r>
        <w:rPr>
          <w:rFonts w:hint="default" w:ascii="Times New Roman" w:hAnsi="Times New Roman" w:eastAsia="楷体_GB2312" w:cs="Times New Roman"/>
          <w:color w:val="auto"/>
          <w:sz w:val="32"/>
          <w:szCs w:val="32"/>
          <w:highlight w:val="none"/>
        </w:rPr>
        <w:t>（</w:t>
      </w:r>
      <w:r>
        <w:rPr>
          <w:rFonts w:hint="default" w:ascii="Times New Roman" w:hAnsi="Times New Roman" w:eastAsia="楷体_GB2312" w:cs="Times New Roman"/>
          <w:color w:val="auto"/>
          <w:sz w:val="32"/>
          <w:szCs w:val="32"/>
          <w:highlight w:val="none"/>
          <w:lang w:val="en-US" w:eastAsia="zh-CN"/>
        </w:rPr>
        <w:t>区工信</w:t>
      </w:r>
      <w:r>
        <w:rPr>
          <w:rFonts w:hint="default" w:ascii="Times New Roman" w:hAnsi="Times New Roman" w:eastAsia="楷体_GB2312" w:cs="Times New Roman"/>
          <w:color w:val="auto"/>
          <w:sz w:val="32"/>
          <w:szCs w:val="32"/>
          <w:highlight w:val="none"/>
        </w:rPr>
        <w:t>局负责）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after="0" w:line="560" w:lineRule="exact"/>
        <w:ind w:left="0" w:leftChars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highlight w:val="none"/>
          <w:u w:val="none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highlight w:val="none"/>
          <w:u w:val="none"/>
          <w:lang w:val="en-US" w:eastAsia="zh-CN" w:bidi="ar-SA"/>
        </w:rPr>
        <w:t>12.</w:t>
      </w: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highlight w:val="none"/>
          <w:u w:val="none"/>
          <w:lang w:val="en-US" w:eastAsia="zh-CN" w:bidi="ar-SA"/>
        </w:rPr>
        <w:t xml:space="preserve"> </w:t>
      </w:r>
      <w:r>
        <w:rPr>
          <w:rFonts w:hint="default" w:ascii="Times New Roman" w:hAnsi="Times New Roman" w:eastAsia="楷体_GB2312" w:cs="Times New Roman"/>
          <w:color w:val="auto"/>
          <w:kern w:val="2"/>
          <w:sz w:val="32"/>
          <w:szCs w:val="32"/>
          <w:highlight w:val="none"/>
          <w:u w:val="none"/>
          <w:lang w:val="en-US" w:eastAsia="zh-CN" w:bidi="ar-SA"/>
        </w:rPr>
        <w:t>发展壮大绿色低碳环保产业。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highlight w:val="none"/>
          <w:u w:val="none"/>
          <w:lang w:val="en-US" w:eastAsia="zh-CN" w:bidi="ar-SA"/>
        </w:rPr>
        <w:t>大力发展新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  <w:t>能源汽车、储能、光伏等新能源制造业和环保产业。加强专业园区建设，招引培育核心企业。大力实施“新能源101”工程，加快华电“光储氢热”一体化智慧能源基地项目建设。</w:t>
      </w: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  <w:t>落实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  <w:t>市生态环保产业集群建设方案要求，加快区域内环保产业园区等项目建设。</w:t>
      </w:r>
      <w:r>
        <w:rPr>
          <w:rFonts w:hint="default" w:ascii="Times New Roman" w:hAnsi="Times New Roman" w:eastAsia="楷体_GB2312" w:cs="Times New Roman"/>
          <w:color w:val="auto"/>
          <w:kern w:val="2"/>
          <w:sz w:val="32"/>
          <w:szCs w:val="32"/>
          <w:highlight w:val="none"/>
          <w:u w:val="none"/>
          <w:shd w:val="clear" w:color="auto" w:fill="FFFFFF"/>
          <w:lang w:val="en-US" w:eastAsia="zh-CN" w:bidi="ar-SA"/>
        </w:rPr>
        <w:t>（区发改局牵头，区工信局、区生态环境分局等部门配合）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left="0" w:leftChars="0"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13.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default" w:ascii="Times New Roman" w:hAnsi="Times New Roman" w:eastAsia="楷体_GB2312" w:cs="Times New Roman"/>
          <w:color w:val="auto"/>
          <w:sz w:val="32"/>
          <w:szCs w:val="32"/>
          <w:highlight w:val="none"/>
        </w:rPr>
        <w:t>规范“两高”行业管理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。严格执行“两高”行业和项目管理要求，严格落实“五个减量替代”适用范围，对新建“两高”项目增加能耗、煤耗、碳排放、污染物排放的，需进行等量或减量替代，制定替代方案。加快淘汰低效落后产能，按要求依法依规、稳妥有序退出。</w:t>
      </w:r>
      <w:r>
        <w:rPr>
          <w:rFonts w:hint="default" w:ascii="Times New Roman" w:hAnsi="Times New Roman" w:eastAsia="楷体_GB2312" w:cs="Times New Roman"/>
          <w:color w:val="auto"/>
          <w:spacing w:val="0"/>
          <w:kern w:val="2"/>
          <w:sz w:val="32"/>
          <w:szCs w:val="32"/>
          <w:highlight w:val="none"/>
          <w:lang w:val="en-US" w:eastAsia="zh-CN" w:bidi="ar-SA"/>
        </w:rPr>
        <w:t>（区发改局牵头，区工信局等部门配合）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left="0" w:leftChars="0" w:firstLine="640" w:firstLineChars="200"/>
        <w:textAlignment w:val="auto"/>
        <w:rPr>
          <w:rFonts w:hint="default" w:ascii="Times New Roman" w:hAnsi="Times New Roman" w:eastAsia="仿宋_GB2312" w:cs="Times New Roman"/>
          <w:strike w:val="0"/>
          <w:dstrike w:val="0"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strike w:val="0"/>
          <w:dstrike w:val="0"/>
          <w:color w:val="auto"/>
          <w:sz w:val="32"/>
          <w:szCs w:val="32"/>
          <w:highlight w:val="none"/>
        </w:rPr>
        <w:t>14.</w:t>
      </w:r>
      <w:r>
        <w:rPr>
          <w:rFonts w:hint="eastAsia" w:ascii="Times New Roman" w:hAnsi="Times New Roman" w:eastAsia="仿宋_GB2312" w:cs="Times New Roman"/>
          <w:strike w:val="0"/>
          <w:dstrike w:val="0"/>
          <w:color w:val="auto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default" w:ascii="Times New Roman" w:hAnsi="Times New Roman" w:eastAsia="楷体_GB2312" w:cs="Times New Roman"/>
          <w:color w:val="auto"/>
          <w:sz w:val="32"/>
          <w:szCs w:val="32"/>
          <w:highlight w:val="none"/>
        </w:rPr>
        <w:t>打造服务业发展高地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。突出抓好服务业载体建设，大力培育现代服务业集聚示范区，推进10个以上现代服务业重点项目建设，全区现代服务业增加值占比达到52%左右。大力发展夜间经济，推进夜间经济载体项目建设和夜间经济试点街区培育，争创夜间经济示范载体1个。</w:t>
      </w:r>
      <w:r>
        <w:rPr>
          <w:rFonts w:hint="default" w:ascii="Times New Roman" w:hAnsi="Times New Roman" w:eastAsia="楷体_GB2312" w:cs="Times New Roman"/>
          <w:color w:val="auto"/>
          <w:spacing w:val="0"/>
          <w:kern w:val="2"/>
          <w:sz w:val="32"/>
          <w:szCs w:val="32"/>
          <w:highlight w:val="none"/>
          <w:lang w:val="en-US" w:eastAsia="zh-CN" w:bidi="ar-SA"/>
        </w:rPr>
        <w:t>（区发改局负责）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left="0" w:leftChars="0" w:firstLine="640" w:firstLineChars="200"/>
        <w:textAlignment w:val="auto"/>
        <w:rPr>
          <w:rFonts w:hint="default" w:ascii="Times New Roman" w:hAnsi="Times New Roman" w:eastAsia="方正楷体_GBK" w:cs="Times New Roman"/>
          <w:color w:val="auto"/>
          <w:spacing w:val="0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15.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default" w:ascii="Times New Roman" w:hAnsi="Times New Roman" w:eastAsia="楷体_GB2312" w:cs="Times New Roman"/>
          <w:color w:val="auto"/>
          <w:sz w:val="32"/>
          <w:szCs w:val="32"/>
          <w:highlight w:val="none"/>
          <w:u w:val="none"/>
        </w:rPr>
        <w:t>建设质量强</w:t>
      </w:r>
      <w:r>
        <w:rPr>
          <w:rFonts w:hint="default" w:ascii="Times New Roman" w:hAnsi="Times New Roman" w:eastAsia="楷体_GB2312" w:cs="Times New Roman"/>
          <w:color w:val="auto"/>
          <w:sz w:val="32"/>
          <w:szCs w:val="32"/>
          <w:highlight w:val="none"/>
          <w:u w:val="none"/>
          <w:lang w:eastAsia="zh-CN"/>
        </w:rPr>
        <w:t>区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none"/>
        </w:rPr>
        <w:t>。加强品牌培育，力争年内新增省高端品牌企业2家以上，“好品山东”区域公共品牌2项以上。实施标准化战略，支持企业参与或主导制定修订国家标准、行业标准7项以上。</w:t>
      </w:r>
      <w:r>
        <w:rPr>
          <w:rFonts w:hint="default" w:ascii="Times New Roman" w:hAnsi="Times New Roman" w:eastAsia="楷体_GB2312" w:cs="Times New Roman"/>
          <w:color w:val="auto"/>
          <w:sz w:val="32"/>
          <w:szCs w:val="32"/>
          <w:highlight w:val="none"/>
        </w:rPr>
        <w:t>（</w:t>
      </w:r>
      <w:r>
        <w:rPr>
          <w:rFonts w:hint="default" w:ascii="Times New Roman" w:hAnsi="Times New Roman" w:eastAsia="楷体_GB2312" w:cs="Times New Roman"/>
          <w:color w:val="auto"/>
          <w:sz w:val="32"/>
          <w:szCs w:val="32"/>
          <w:highlight w:val="none"/>
          <w:lang w:val="en-US" w:eastAsia="zh-CN"/>
        </w:rPr>
        <w:t>区</w:t>
      </w:r>
      <w:r>
        <w:rPr>
          <w:rFonts w:hint="default" w:ascii="Times New Roman" w:hAnsi="Times New Roman" w:eastAsia="楷体_GB2312" w:cs="Times New Roman"/>
          <w:color w:val="auto"/>
          <w:sz w:val="32"/>
          <w:szCs w:val="32"/>
          <w:highlight w:val="none"/>
        </w:rPr>
        <w:t>市场监管局负责）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left="0" w:leftChars="0" w:firstLine="640" w:firstLineChars="200"/>
        <w:textAlignment w:val="auto"/>
        <w:rPr>
          <w:rFonts w:hint="default" w:ascii="Times New Roman" w:hAnsi="Times New Roman" w:eastAsia="仿宋_GB2312" w:cs="Times New Roman"/>
          <w:color w:val="C00000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none"/>
        </w:rPr>
        <w:t>1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u w:val="none"/>
          <w:lang w:val="en-US" w:eastAsia="zh-CN"/>
        </w:rPr>
        <w:t>6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none"/>
        </w:rPr>
        <w:t>.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u w:val="none"/>
          <w:lang w:val="en-US" w:eastAsia="zh-CN"/>
        </w:rPr>
        <w:t xml:space="preserve"> </w:t>
      </w:r>
      <w:r>
        <w:rPr>
          <w:rFonts w:hint="default" w:ascii="Times New Roman" w:hAnsi="Times New Roman" w:eastAsia="楷体_GB2312" w:cs="Times New Roman"/>
          <w:color w:val="auto"/>
          <w:sz w:val="32"/>
          <w:szCs w:val="32"/>
          <w:highlight w:val="none"/>
          <w:u w:val="none"/>
        </w:rPr>
        <w:t>构建优良产业金融发展生态。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none"/>
        </w:rPr>
        <w:t>常态化推进绿色项目银企对接，依托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none"/>
          <w:lang w:eastAsia="zh-CN"/>
        </w:rPr>
        <w:t>市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none"/>
        </w:rPr>
        <w:t>智慧金融综合服务平台，实现对接率100%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u w:val="none"/>
          <w:lang w:eastAsia="zh-CN"/>
        </w:rPr>
        <w:t>。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none"/>
        </w:rPr>
        <w:t>持续推动绿色企业项目库建设，加大再贷款、再贴现等货币政策工具对在库企业及项目的贷款支持力度。深化资本市场突破行动，重点抓好33家上市后备企业的动态培育工作。做大政府性融资担保规模，优化提升“技改专项贷”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none"/>
          <w:lang w:eastAsia="zh-CN"/>
        </w:rPr>
        <w:t>、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none"/>
        </w:rPr>
        <w:t>“春风齐鑫贷”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none"/>
          <w:lang w:eastAsia="zh-CN"/>
        </w:rPr>
        <w:t>、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none"/>
        </w:rPr>
        <w:t>“应急转贷”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none"/>
          <w:lang w:eastAsia="zh-CN"/>
        </w:rPr>
        <w:t>、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none"/>
        </w:rPr>
        <w:t>“人才贷”等政策措施，年内力争政府引导企业出资基金数量突破11支，出资规模突破200亿元。</w:t>
      </w:r>
      <w:r>
        <w:rPr>
          <w:rFonts w:hint="default" w:ascii="Times New Roman" w:hAnsi="Times New Roman" w:eastAsia="楷体_GB2312" w:cs="Times New Roman"/>
          <w:color w:val="auto"/>
          <w:sz w:val="32"/>
          <w:szCs w:val="32"/>
          <w:highlight w:val="none"/>
          <w:u w:val="none"/>
        </w:rPr>
        <w:t>（</w:t>
      </w:r>
      <w:r>
        <w:rPr>
          <w:rFonts w:hint="default" w:ascii="Times New Roman" w:hAnsi="Times New Roman" w:eastAsia="楷体_GB2312" w:cs="Times New Roman"/>
          <w:color w:val="auto"/>
          <w:sz w:val="32"/>
          <w:szCs w:val="32"/>
          <w:highlight w:val="none"/>
          <w:lang w:val="en-US" w:eastAsia="zh-CN"/>
        </w:rPr>
        <w:t>区</w:t>
      </w:r>
      <w:r>
        <w:rPr>
          <w:rFonts w:hint="default" w:ascii="Times New Roman" w:hAnsi="Times New Roman" w:eastAsia="楷体_GB2312" w:cs="Times New Roman"/>
          <w:color w:val="auto"/>
          <w:sz w:val="32"/>
          <w:szCs w:val="32"/>
          <w:highlight w:val="none"/>
        </w:rPr>
        <w:t>地方金融监管局牵头，</w:t>
      </w:r>
      <w:r>
        <w:rPr>
          <w:rFonts w:hint="default" w:ascii="Times New Roman" w:hAnsi="Times New Roman" w:eastAsia="楷体_GB2312" w:cs="Times New Roman"/>
          <w:color w:val="auto"/>
          <w:sz w:val="32"/>
          <w:szCs w:val="32"/>
          <w:highlight w:val="none"/>
          <w:lang w:val="en-US" w:eastAsia="zh-CN"/>
        </w:rPr>
        <w:t>区工信</w:t>
      </w:r>
      <w:r>
        <w:rPr>
          <w:rFonts w:hint="default" w:ascii="Times New Roman" w:hAnsi="Times New Roman" w:eastAsia="楷体_GB2312" w:cs="Times New Roman"/>
          <w:color w:val="auto"/>
          <w:sz w:val="32"/>
          <w:szCs w:val="32"/>
          <w:highlight w:val="none"/>
          <w:lang w:eastAsia="zh-CN"/>
        </w:rPr>
        <w:t>局、</w:t>
      </w:r>
      <w:r>
        <w:rPr>
          <w:rFonts w:hint="default" w:ascii="Times New Roman" w:hAnsi="Times New Roman" w:eastAsia="楷体_GB2312" w:cs="Times New Roman"/>
          <w:color w:val="auto"/>
          <w:sz w:val="32"/>
          <w:szCs w:val="32"/>
          <w:highlight w:val="none"/>
          <w:lang w:val="en-US" w:eastAsia="zh-CN"/>
        </w:rPr>
        <w:t>区</w:t>
      </w:r>
      <w:r>
        <w:rPr>
          <w:rFonts w:hint="default" w:ascii="Times New Roman" w:hAnsi="Times New Roman" w:eastAsia="楷体_GB2312" w:cs="Times New Roman"/>
          <w:color w:val="auto"/>
          <w:sz w:val="32"/>
          <w:szCs w:val="32"/>
          <w:highlight w:val="none"/>
        </w:rPr>
        <w:t>财政局、</w:t>
      </w:r>
      <w:r>
        <w:rPr>
          <w:rFonts w:hint="eastAsia" w:ascii="Times New Roman" w:hAnsi="Times New Roman" w:eastAsia="楷体_GB2312" w:cs="Times New Roman"/>
          <w:color w:val="auto"/>
          <w:sz w:val="32"/>
          <w:szCs w:val="32"/>
          <w:highlight w:val="none"/>
          <w:lang w:eastAsia="zh-CN"/>
        </w:rPr>
        <w:t>区</w:t>
      </w:r>
      <w:r>
        <w:rPr>
          <w:rFonts w:hint="default" w:ascii="Times New Roman" w:hAnsi="Times New Roman" w:eastAsia="楷体_GB2312" w:cs="Times New Roman"/>
          <w:color w:val="auto"/>
          <w:sz w:val="32"/>
          <w:szCs w:val="32"/>
          <w:highlight w:val="none"/>
          <w:lang w:eastAsia="zh-CN"/>
        </w:rPr>
        <w:t>人民银行</w:t>
      </w:r>
      <w:r>
        <w:rPr>
          <w:rFonts w:hint="default" w:ascii="Times New Roman" w:hAnsi="Times New Roman" w:eastAsia="楷体_GB2312" w:cs="Times New Roman"/>
          <w:color w:val="auto"/>
          <w:sz w:val="32"/>
          <w:szCs w:val="32"/>
          <w:highlight w:val="none"/>
        </w:rPr>
        <w:t>等部门配合）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left="0" w:leftChars="0" w:firstLine="640" w:firstLineChars="200"/>
        <w:textAlignment w:val="auto"/>
        <w:rPr>
          <w:rFonts w:hint="default" w:ascii="Times New Roman" w:hAnsi="Times New Roman" w:eastAsia="楷体_GB2312" w:cs="Times New Roman"/>
          <w:color w:val="C00000"/>
          <w:sz w:val="32"/>
          <w:szCs w:val="32"/>
          <w:highlight w:val="none"/>
        </w:rPr>
      </w:pPr>
      <w:r>
        <w:rPr>
          <w:rFonts w:hint="default" w:ascii="Times New Roman" w:hAnsi="Times New Roman" w:eastAsia="黑体" w:cs="Times New Roman"/>
          <w:color w:val="auto"/>
          <w:sz w:val="32"/>
          <w:szCs w:val="32"/>
          <w:highlight w:val="none"/>
        </w:rPr>
        <w:t>三、坚定不移扩大内需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left="0" w:leftChars="0"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none"/>
        </w:rPr>
        <w:t>1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u w:val="none"/>
          <w:lang w:val="en-US" w:eastAsia="zh-CN"/>
        </w:rPr>
        <w:t>7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none"/>
        </w:rPr>
        <w:t>.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u w:val="none"/>
          <w:lang w:val="en-US" w:eastAsia="zh-CN"/>
        </w:rPr>
        <w:t xml:space="preserve"> </w:t>
      </w:r>
      <w:r>
        <w:rPr>
          <w:rFonts w:hint="default" w:ascii="Times New Roman" w:hAnsi="Times New Roman" w:eastAsia="楷体_GB2312" w:cs="Times New Roman"/>
          <w:color w:val="auto"/>
          <w:sz w:val="32"/>
          <w:szCs w:val="32"/>
          <w:highlight w:val="none"/>
        </w:rPr>
        <w:t>持续扩大有效投资。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落实市“十大扩需求”行动，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推动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160个区重点项目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、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46个市重大项目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、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12个省重点项目建设，拉动全区固定资产投资增幅高于全市平均水平。对列入省、市绿色低碳高质量发展三年行动计划的项目，加强调度推进，做好增补争取工作。加大政府专项债，中央、省预算内投资，政策性开发性金融工具，制造业中长期贷款等资金争取力度，为项目建设和企业发展提供更多资金支持。</w:t>
      </w:r>
      <w:r>
        <w:rPr>
          <w:rFonts w:hint="default" w:ascii="Times New Roman" w:hAnsi="Times New Roman" w:eastAsia="楷体_GB2312" w:cs="Times New Roman"/>
          <w:color w:val="auto"/>
          <w:spacing w:val="0"/>
          <w:kern w:val="2"/>
          <w:sz w:val="32"/>
          <w:szCs w:val="32"/>
          <w:highlight w:val="none"/>
          <w:lang w:val="en-US" w:eastAsia="zh-CN" w:bidi="ar-SA"/>
        </w:rPr>
        <w:t>（区发改局牵头，区财政局等部门配合）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left="0" w:leftChars="0" w:firstLine="640" w:firstLineChars="200"/>
        <w:textAlignment w:val="auto"/>
        <w:rPr>
          <w:rFonts w:hint="default" w:ascii="Times New Roman" w:hAnsi="Times New Roman" w:eastAsia="方正楷体_GBK" w:cs="Times New Roman"/>
          <w:color w:val="auto"/>
          <w:sz w:val="32"/>
          <w:szCs w:val="32"/>
          <w:highlight w:val="none"/>
          <w:lang w:val="zh-CN"/>
        </w:rPr>
      </w:pPr>
      <w:r>
        <w:rPr>
          <w:rFonts w:hint="eastAsia" w:ascii="Times New Roman" w:hAnsi="Times New Roman" w:eastAsia="楷体_GB2312" w:cs="Times New Roman"/>
          <w:color w:val="auto"/>
          <w:sz w:val="32"/>
          <w:szCs w:val="32"/>
          <w:highlight w:val="none"/>
          <w:lang w:val="en-US" w:eastAsia="zh-CN"/>
        </w:rPr>
        <w:t>18</w:t>
      </w:r>
      <w:r>
        <w:rPr>
          <w:rFonts w:hint="default" w:ascii="Times New Roman" w:hAnsi="Times New Roman" w:eastAsia="楷体_GB2312" w:cs="Times New Roman"/>
          <w:color w:val="auto"/>
          <w:sz w:val="32"/>
          <w:szCs w:val="32"/>
          <w:highlight w:val="none"/>
          <w:lang w:val="en-US" w:eastAsia="zh-CN"/>
        </w:rPr>
        <w:t>.</w:t>
      </w:r>
      <w:r>
        <w:rPr>
          <w:rFonts w:hint="eastAsia" w:ascii="Times New Roman" w:hAnsi="Times New Roman" w:eastAsia="楷体_GB2312" w:cs="Times New Roman"/>
          <w:color w:val="auto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default" w:ascii="Times New Roman" w:hAnsi="Times New Roman" w:eastAsia="楷体_GB2312" w:cs="Times New Roman"/>
          <w:color w:val="auto"/>
          <w:sz w:val="32"/>
          <w:szCs w:val="32"/>
          <w:highlight w:val="none"/>
          <w:lang w:val="en-US" w:eastAsia="zh-CN"/>
        </w:rPr>
        <w:t>促进消费提质扩容。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鼓励支持汽车、家电等大件商品以旧换新，加快发展绿色食品、健身器材、体育运动等健康消费，支持发展在线教育、互联网医疗等新业态新模式，开展好“淄在购物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·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乐游山川”、淄川城市生活艺术节等系列促消费活动，实现全年社会消费品零售总额稳定增长。新建改造乡镇商贸中心3个。加快发展网络零售，力争全年网络零售增速高于全市平均水平。</w:t>
      </w:r>
      <w:r>
        <w:rPr>
          <w:rFonts w:hint="default" w:ascii="Times New Roman" w:hAnsi="Times New Roman" w:eastAsia="楷体_GB2312" w:cs="Times New Roman"/>
          <w:color w:val="auto"/>
          <w:sz w:val="32"/>
          <w:szCs w:val="32"/>
          <w:highlight w:val="none"/>
          <w:lang w:val="zh-CN"/>
        </w:rPr>
        <w:t>（</w:t>
      </w:r>
      <w:r>
        <w:rPr>
          <w:rFonts w:hint="default" w:ascii="Times New Roman" w:hAnsi="Times New Roman" w:eastAsia="楷体_GB2312" w:cs="Times New Roman"/>
          <w:color w:val="auto"/>
          <w:sz w:val="32"/>
          <w:szCs w:val="32"/>
          <w:highlight w:val="none"/>
          <w:lang w:val="en-US" w:eastAsia="zh-CN"/>
        </w:rPr>
        <w:t>区</w:t>
      </w:r>
      <w:r>
        <w:rPr>
          <w:rFonts w:hint="default" w:ascii="Times New Roman" w:hAnsi="Times New Roman" w:eastAsia="楷体_GB2312" w:cs="Times New Roman"/>
          <w:color w:val="auto"/>
          <w:sz w:val="32"/>
          <w:szCs w:val="32"/>
          <w:highlight w:val="none"/>
          <w:lang w:val="zh-CN"/>
        </w:rPr>
        <w:t>商务局牵头，</w:t>
      </w:r>
      <w:r>
        <w:rPr>
          <w:rFonts w:hint="default" w:ascii="Times New Roman" w:hAnsi="Times New Roman" w:eastAsia="楷体_GB2312" w:cs="Times New Roman"/>
          <w:color w:val="auto"/>
          <w:sz w:val="32"/>
          <w:szCs w:val="32"/>
          <w:highlight w:val="none"/>
          <w:lang w:val="en-US" w:eastAsia="zh-CN"/>
        </w:rPr>
        <w:t>区发改局</w:t>
      </w:r>
      <w:r>
        <w:rPr>
          <w:rFonts w:hint="default" w:ascii="Times New Roman" w:hAnsi="Times New Roman" w:eastAsia="楷体_GB2312" w:cs="Times New Roman"/>
          <w:color w:val="auto"/>
          <w:sz w:val="32"/>
          <w:szCs w:val="32"/>
          <w:highlight w:val="none"/>
          <w:lang w:val="zh-CN"/>
        </w:rPr>
        <w:t>、</w:t>
      </w:r>
      <w:r>
        <w:rPr>
          <w:rFonts w:hint="default" w:ascii="Times New Roman" w:hAnsi="Times New Roman" w:eastAsia="楷体_GB2312" w:cs="Times New Roman"/>
          <w:color w:val="auto"/>
          <w:sz w:val="32"/>
          <w:szCs w:val="32"/>
          <w:highlight w:val="none"/>
          <w:lang w:val="en-US" w:eastAsia="zh-CN"/>
        </w:rPr>
        <w:t>区教体局</w:t>
      </w:r>
      <w:r>
        <w:rPr>
          <w:rFonts w:hint="default" w:ascii="Times New Roman" w:hAnsi="Times New Roman" w:eastAsia="楷体_GB2312" w:cs="Times New Roman"/>
          <w:color w:val="auto"/>
          <w:sz w:val="32"/>
          <w:szCs w:val="32"/>
          <w:highlight w:val="none"/>
          <w:lang w:val="zh-CN"/>
        </w:rPr>
        <w:t>、</w:t>
      </w:r>
      <w:r>
        <w:rPr>
          <w:rFonts w:hint="default" w:ascii="Times New Roman" w:hAnsi="Times New Roman" w:eastAsia="楷体_GB2312" w:cs="Times New Roman"/>
          <w:color w:val="auto"/>
          <w:sz w:val="32"/>
          <w:szCs w:val="32"/>
          <w:highlight w:val="none"/>
          <w:lang w:val="en-US" w:eastAsia="zh-CN"/>
        </w:rPr>
        <w:t>区</w:t>
      </w:r>
      <w:r>
        <w:rPr>
          <w:rFonts w:hint="default" w:ascii="Times New Roman" w:hAnsi="Times New Roman" w:eastAsia="楷体_GB2312" w:cs="Times New Roman"/>
          <w:color w:val="auto"/>
          <w:sz w:val="32"/>
          <w:szCs w:val="32"/>
          <w:highlight w:val="none"/>
          <w:lang w:val="zh-CN"/>
        </w:rPr>
        <w:t>农业农村局、</w:t>
      </w:r>
      <w:r>
        <w:rPr>
          <w:rFonts w:hint="default" w:ascii="Times New Roman" w:hAnsi="Times New Roman" w:eastAsia="楷体_GB2312" w:cs="Times New Roman"/>
          <w:color w:val="auto"/>
          <w:sz w:val="32"/>
          <w:szCs w:val="32"/>
          <w:highlight w:val="none"/>
          <w:lang w:val="en-US" w:eastAsia="zh-CN"/>
        </w:rPr>
        <w:t>区</w:t>
      </w:r>
      <w:r>
        <w:rPr>
          <w:rFonts w:hint="default" w:ascii="Times New Roman" w:hAnsi="Times New Roman" w:eastAsia="楷体_GB2312" w:cs="Times New Roman"/>
          <w:color w:val="auto"/>
          <w:sz w:val="32"/>
          <w:szCs w:val="32"/>
          <w:highlight w:val="none"/>
          <w:lang w:val="zh-CN"/>
        </w:rPr>
        <w:t>卫健</w:t>
      </w:r>
      <w:r>
        <w:rPr>
          <w:rFonts w:hint="default" w:ascii="Times New Roman" w:hAnsi="Times New Roman" w:eastAsia="楷体_GB2312" w:cs="Times New Roman"/>
          <w:color w:val="auto"/>
          <w:sz w:val="32"/>
          <w:szCs w:val="32"/>
          <w:highlight w:val="none"/>
          <w:lang w:val="en-US" w:eastAsia="zh-CN"/>
        </w:rPr>
        <w:t>局</w:t>
      </w:r>
      <w:r>
        <w:rPr>
          <w:rFonts w:hint="default" w:ascii="Times New Roman" w:hAnsi="Times New Roman" w:eastAsia="楷体_GB2312" w:cs="Times New Roman"/>
          <w:color w:val="auto"/>
          <w:sz w:val="32"/>
          <w:szCs w:val="32"/>
          <w:highlight w:val="none"/>
          <w:lang w:val="zh-CN"/>
        </w:rPr>
        <w:t>、</w:t>
      </w:r>
      <w:r>
        <w:rPr>
          <w:rFonts w:hint="default" w:ascii="Times New Roman" w:hAnsi="Times New Roman" w:eastAsia="楷体_GB2312" w:cs="Times New Roman"/>
          <w:color w:val="auto"/>
          <w:sz w:val="32"/>
          <w:szCs w:val="32"/>
          <w:highlight w:val="none"/>
          <w:lang w:val="en-US" w:eastAsia="zh-CN"/>
        </w:rPr>
        <w:t>区文旅局</w:t>
      </w:r>
      <w:r>
        <w:rPr>
          <w:rFonts w:hint="default" w:ascii="Times New Roman" w:hAnsi="Times New Roman" w:eastAsia="楷体_GB2312" w:cs="Times New Roman"/>
          <w:color w:val="auto"/>
          <w:sz w:val="32"/>
          <w:szCs w:val="32"/>
          <w:highlight w:val="none"/>
          <w:lang w:val="zh-CN"/>
        </w:rPr>
        <w:t>、</w:t>
      </w:r>
      <w:r>
        <w:rPr>
          <w:rFonts w:hint="default" w:ascii="Times New Roman" w:hAnsi="Times New Roman" w:eastAsia="楷体_GB2312" w:cs="Times New Roman"/>
          <w:color w:val="auto"/>
          <w:sz w:val="32"/>
          <w:szCs w:val="32"/>
          <w:highlight w:val="none"/>
          <w:lang w:val="en-US" w:eastAsia="zh-CN"/>
        </w:rPr>
        <w:t>区</w:t>
      </w:r>
      <w:r>
        <w:rPr>
          <w:rFonts w:hint="default" w:ascii="Times New Roman" w:hAnsi="Times New Roman" w:eastAsia="楷体_GB2312" w:cs="Times New Roman"/>
          <w:color w:val="auto"/>
          <w:sz w:val="32"/>
          <w:szCs w:val="32"/>
          <w:highlight w:val="none"/>
        </w:rPr>
        <w:t>市场监管局</w:t>
      </w:r>
      <w:r>
        <w:rPr>
          <w:rFonts w:hint="default" w:ascii="Times New Roman" w:hAnsi="Times New Roman" w:eastAsia="楷体_GB2312" w:cs="Times New Roman"/>
          <w:color w:val="auto"/>
          <w:sz w:val="32"/>
          <w:szCs w:val="32"/>
          <w:highlight w:val="none"/>
          <w:lang w:val="zh-CN"/>
        </w:rPr>
        <w:t>等部门</w:t>
      </w:r>
      <w:r>
        <w:rPr>
          <w:rFonts w:hint="default" w:ascii="Times New Roman" w:hAnsi="Times New Roman" w:eastAsia="楷体_GB2312" w:cs="Times New Roman"/>
          <w:color w:val="auto"/>
          <w:sz w:val="32"/>
          <w:szCs w:val="32"/>
          <w:highlight w:val="none"/>
        </w:rPr>
        <w:t>配合</w:t>
      </w:r>
      <w:r>
        <w:rPr>
          <w:rFonts w:hint="default" w:ascii="Times New Roman" w:hAnsi="Times New Roman" w:eastAsia="楷体_GB2312" w:cs="Times New Roman"/>
          <w:color w:val="auto"/>
          <w:sz w:val="32"/>
          <w:szCs w:val="32"/>
          <w:highlight w:val="none"/>
          <w:lang w:val="zh-CN"/>
        </w:rPr>
        <w:t>）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left="0" w:leftChars="0" w:firstLine="640" w:firstLineChars="200"/>
        <w:textAlignment w:val="auto"/>
        <w:rPr>
          <w:rFonts w:hint="default" w:ascii="Times New Roman" w:hAnsi="Times New Roman" w:eastAsia="楷体_GB2312" w:cs="Times New Roman"/>
          <w:color w:val="C00000"/>
          <w:sz w:val="32"/>
          <w:szCs w:val="32"/>
          <w:highlight w:val="none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19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.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default" w:ascii="Times New Roman" w:hAnsi="Times New Roman" w:eastAsia="楷体_GB2312" w:cs="Times New Roman"/>
          <w:color w:val="auto"/>
          <w:sz w:val="32"/>
          <w:szCs w:val="32"/>
          <w:highlight w:val="none"/>
        </w:rPr>
        <w:t>加快现代流通体系建设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。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实施多式联运“一单制”一体化升级工程。实施冷链物流提升扩容工程，推进冷链物流项目规划建设，提增高标准智能冷链仓储能力。实施新能源汽车推广升级工程，推动物流产业绿色化、低碳化发展。推进海尔新星物流公路港等重点物流项目建设，加快构建现代物流业规划布局。</w:t>
      </w:r>
      <w:r>
        <w:rPr>
          <w:rFonts w:hint="default" w:ascii="Times New Roman" w:hAnsi="Times New Roman" w:eastAsia="楷体_GB2312" w:cs="Times New Roman"/>
          <w:color w:val="auto"/>
          <w:spacing w:val="0"/>
          <w:kern w:val="2"/>
          <w:sz w:val="32"/>
          <w:szCs w:val="32"/>
          <w:highlight w:val="none"/>
          <w:lang w:val="en-US" w:eastAsia="zh-CN" w:bidi="ar-SA"/>
        </w:rPr>
        <w:t>（区发改局牵头，区工信局、区商务局、区交通运输局等部门配合）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left="0" w:leftChars="0"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none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none"/>
        </w:rPr>
        <w:t>2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u w:val="none"/>
          <w:lang w:val="en-US" w:eastAsia="zh-CN"/>
        </w:rPr>
        <w:t>0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none"/>
        </w:rPr>
        <w:t>.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u w:val="none"/>
          <w:lang w:val="en-US" w:eastAsia="zh-CN"/>
        </w:rPr>
        <w:t xml:space="preserve"> </w:t>
      </w:r>
      <w:r>
        <w:rPr>
          <w:rFonts w:hint="default" w:ascii="Times New Roman" w:hAnsi="Times New Roman" w:eastAsia="楷体_GB2312" w:cs="Times New Roman"/>
          <w:color w:val="auto"/>
          <w:spacing w:val="0"/>
          <w:kern w:val="2"/>
          <w:sz w:val="32"/>
          <w:szCs w:val="32"/>
          <w:highlight w:val="none"/>
          <w:lang w:val="en-US" w:eastAsia="zh-CN" w:bidi="ar-SA"/>
        </w:rPr>
        <w:t>加快交通基础设施建设。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u w:val="none"/>
          <w:lang w:eastAsia="zh-CN"/>
        </w:rPr>
        <w:t>积极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none"/>
        </w:rPr>
        <w:t>推进淄博至博山铁路改造工程，开工建设经十路东延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u w:val="none"/>
          <w:lang w:eastAsia="zh-CN"/>
        </w:rPr>
        <w:t>，配合做好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none"/>
        </w:rPr>
        <w:t>淄博南环线、淄博至济南等市域铁路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u w:val="none"/>
          <w:lang w:eastAsia="zh-CN"/>
        </w:rPr>
        <w:t>前期工作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none"/>
        </w:rPr>
        <w:t>。加快高快路网建设，实现济潍高速（淄川段）、临临高速（淄川段）建成通车。深入实施“四好农村路”提质增效专项行动，新改建农村公路41公里，实施路面状况改善工程84.7公里。</w:t>
      </w:r>
      <w:r>
        <w:rPr>
          <w:rFonts w:hint="default" w:ascii="Times New Roman" w:hAnsi="Times New Roman" w:eastAsia="楷体_GB2312" w:cs="Times New Roman"/>
          <w:color w:val="auto"/>
          <w:sz w:val="32"/>
          <w:szCs w:val="32"/>
          <w:highlight w:val="none"/>
          <w:u w:val="none"/>
          <w:lang w:val="en-US" w:eastAsia="zh-CN"/>
        </w:rPr>
        <w:t>（区交通运输局牵头，区发改局、区自然资源局、区规划办、区住建局等部门配合）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left="0" w:leftChars="0" w:firstLine="640" w:firstLineChars="200"/>
        <w:textAlignment w:val="auto"/>
        <w:rPr>
          <w:rFonts w:hint="default" w:ascii="Times New Roman" w:hAnsi="Times New Roman" w:eastAsia="楷体_GB2312" w:cs="Times New Roman"/>
          <w:color w:val="auto"/>
          <w:sz w:val="32"/>
          <w:szCs w:val="32"/>
          <w:highlight w:val="none"/>
          <w:u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none"/>
        </w:rPr>
        <w:t>2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u w:val="none"/>
          <w:lang w:val="en-US" w:eastAsia="zh-CN"/>
        </w:rPr>
        <w:t>1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none"/>
        </w:rPr>
        <w:t>.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u w:val="none"/>
          <w:lang w:val="en-US" w:eastAsia="zh-CN"/>
        </w:rPr>
        <w:t xml:space="preserve"> </w:t>
      </w:r>
      <w:r>
        <w:rPr>
          <w:rFonts w:hint="default" w:ascii="Times New Roman" w:hAnsi="Times New Roman" w:eastAsia="楷体_GB2312" w:cs="Times New Roman"/>
          <w:color w:val="auto"/>
          <w:sz w:val="32"/>
          <w:szCs w:val="32"/>
          <w:highlight w:val="none"/>
          <w:u w:val="none"/>
          <w:lang w:val="en-US" w:eastAsia="zh-CN"/>
        </w:rPr>
        <w:t>大力发展绿色智慧交通。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none"/>
        </w:rPr>
        <w:t>实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施交通运输降碳行动，优化新能源汽车使用环境，新建改造综合能源港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1座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，完成充电设施1220个。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none"/>
        </w:rPr>
        <w:t>加快推进数智交通发展，实施交通基础设施数字化运维、多式交通运输数据共享及联网联控，推进城市交通信号灯、公交、公共停车场、路边泊车位等交通设施智能化管理。实施城区智慧泊车工程。</w:t>
      </w:r>
      <w:r>
        <w:rPr>
          <w:rFonts w:hint="default" w:ascii="Times New Roman" w:hAnsi="Times New Roman" w:eastAsia="楷体_GB2312" w:cs="Times New Roman"/>
          <w:color w:val="auto"/>
          <w:sz w:val="32"/>
          <w:szCs w:val="32"/>
          <w:highlight w:val="none"/>
          <w:u w:val="none"/>
          <w:lang w:val="en-US" w:eastAsia="zh-CN"/>
        </w:rPr>
        <w:t>（区发改局牵头，区工信局、区交警大队、区住建</w:t>
      </w:r>
      <w:r>
        <w:rPr>
          <w:rFonts w:hint="default" w:ascii="Times New Roman" w:hAnsi="Times New Roman" w:eastAsia="楷体_GB2312" w:cs="Times New Roman"/>
          <w:color w:val="auto"/>
          <w:sz w:val="32"/>
          <w:szCs w:val="32"/>
          <w:highlight w:val="none"/>
          <w:u w:val="none"/>
          <w:lang w:val="en" w:eastAsia="zh-CN"/>
        </w:rPr>
        <w:t>局</w:t>
      </w:r>
      <w:r>
        <w:rPr>
          <w:rFonts w:hint="default" w:ascii="Times New Roman" w:hAnsi="Times New Roman" w:eastAsia="楷体_GB2312" w:cs="Times New Roman"/>
          <w:color w:val="auto"/>
          <w:sz w:val="32"/>
          <w:szCs w:val="32"/>
          <w:highlight w:val="none"/>
          <w:u w:val="none"/>
          <w:lang w:val="en-US" w:eastAsia="zh-CN"/>
        </w:rPr>
        <w:t>、区交通运输局、区机关事务服务中心、区综合行政执法局等部门配合）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left="0" w:leftChars="0" w:firstLine="640" w:firstLineChars="200"/>
        <w:textAlignment w:val="auto"/>
        <w:rPr>
          <w:rFonts w:hint="default" w:ascii="Times New Roman" w:hAnsi="Times New Roman" w:eastAsia="方正黑体_GBK" w:cs="Times New Roman"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黑体" w:cs="Times New Roman"/>
          <w:color w:val="auto"/>
          <w:sz w:val="32"/>
          <w:szCs w:val="32"/>
          <w:highlight w:val="none"/>
        </w:rPr>
        <w:t>四、推进降碳减污扩绿增长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left="0" w:leftChars="0" w:firstLine="640" w:firstLineChars="200"/>
        <w:textAlignment w:val="auto"/>
        <w:rPr>
          <w:rFonts w:hint="default" w:ascii="Times New Roman" w:hAnsi="Times New Roman" w:eastAsia="方正楷体_GBK" w:cs="Times New Roman"/>
          <w:color w:val="C00000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none"/>
        </w:rPr>
        <w:t>2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u w:val="none"/>
          <w:lang w:val="en-US" w:eastAsia="zh-CN"/>
        </w:rPr>
        <w:t>2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none"/>
        </w:rPr>
        <w:t>.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u w:val="none"/>
          <w:lang w:val="en-US" w:eastAsia="zh-CN"/>
        </w:rPr>
        <w:t xml:space="preserve"> </w:t>
      </w:r>
      <w:r>
        <w:rPr>
          <w:rFonts w:hint="default" w:ascii="Times New Roman" w:hAnsi="Times New Roman" w:eastAsia="楷体_GB2312" w:cs="Times New Roman"/>
          <w:color w:val="auto"/>
          <w:sz w:val="32"/>
          <w:szCs w:val="32"/>
          <w:highlight w:val="none"/>
          <w:u w:val="none"/>
        </w:rPr>
        <w:t>加快构建国土空间开发保护新格局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none"/>
        </w:rPr>
        <w:t>。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u w:val="none"/>
          <w:lang w:eastAsia="zh-CN"/>
        </w:rPr>
        <w:t>配合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none"/>
        </w:rPr>
        <w:t>完成《淄博市国土空间总体规划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u w:val="none"/>
          <w:lang w:eastAsia="zh-CN"/>
        </w:rPr>
        <w:t>（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none"/>
        </w:rPr>
        <w:t>2021</w:t>
      </w:r>
      <w:r>
        <w:rPr>
          <w:rFonts w:hint="eastAsia" w:ascii="Times New Roman" w:hAnsi="Times New Roman" w:eastAsia="仿宋_GB2312" w:cs="Times New Roman"/>
          <w:color w:val="auto"/>
          <w:spacing w:val="0"/>
          <w:kern w:val="2"/>
          <w:sz w:val="32"/>
          <w:szCs w:val="32"/>
          <w:highlight w:val="none"/>
          <w:lang w:val="en-US" w:eastAsia="zh-CN" w:bidi="ar-SA"/>
        </w:rPr>
        <w:t>—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none"/>
        </w:rPr>
        <w:t>2035年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u w:val="none"/>
          <w:lang w:eastAsia="zh-CN"/>
        </w:rPr>
        <w:t>）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none"/>
        </w:rPr>
        <w:t>》编制。稳妥推进重点区域规划编制，做好重大项目选址及重点项目规划管理。全面启动城镇开发边界内详细规划编制工作，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none"/>
        </w:rPr>
        <w:t>完善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none"/>
        </w:rPr>
        <w:t>详细规划“一张图”实施监督信息系统。压实耕地保护责任，带图斑、带位置、带规模下达耕地保护任务，加强耕地和永久基本农田季度动态监测。严格落实“三线一单”生态环境分区管控要求。</w:t>
      </w:r>
      <w:r>
        <w:rPr>
          <w:rFonts w:hint="default" w:ascii="Times New Roman" w:hAnsi="Times New Roman" w:eastAsia="楷体_GB2312" w:cs="Times New Roman"/>
          <w:color w:val="auto"/>
          <w:sz w:val="32"/>
          <w:szCs w:val="32"/>
          <w:highlight w:val="none"/>
          <w:u w:val="none"/>
          <w:lang w:val="en-US" w:eastAsia="zh-CN"/>
        </w:rPr>
        <w:t>（区自然资源局、区规划办、区生态环境分局牵头，区农业农村局等部门配合）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left="0" w:leftChars="0"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2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3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.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default" w:ascii="Times New Roman" w:hAnsi="Times New Roman" w:eastAsia="楷体_GB2312" w:cs="Times New Roman"/>
          <w:color w:val="auto"/>
          <w:sz w:val="32"/>
          <w:szCs w:val="32"/>
          <w:highlight w:val="none"/>
        </w:rPr>
        <w:t>扎实开展绿色低碳转型行动</w:t>
      </w:r>
      <w:r>
        <w:rPr>
          <w:rFonts w:hint="default" w:ascii="Times New Roman" w:hAnsi="Times New Roman" w:eastAsia="楷体_GB2312" w:cs="Times New Roman"/>
          <w:color w:val="auto"/>
          <w:sz w:val="32"/>
          <w:szCs w:val="32"/>
          <w:highlight w:val="none"/>
          <w:lang w:eastAsia="zh-CN"/>
        </w:rPr>
        <w:t>。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建立覆盖重点领域的能耗统计监测体系，落实好国家、省鼓励可再生能源消费政策。持续推进减碳降碳十大行动，稳步推进能耗“双控”向碳排放总量和强度双控转变。制定淄川区碳达峰实施方案。开展低碳园区、低碳企业、低碳社区、低碳单位评价试点。完善生态产品价值实现机制。推进生态环保产业集群建设，开展整体清洁生产审核创新试点、生态环境导向的开发（EOD）模式试点。加强绿色低碳新技术新模式推广。加快碳捕集、利用与封存（CCUS）技术研发应用。</w:t>
      </w:r>
      <w:r>
        <w:rPr>
          <w:rFonts w:hint="default" w:ascii="Times New Roman" w:hAnsi="Times New Roman" w:eastAsia="楷体_GB2312" w:cs="Times New Roman"/>
          <w:color w:val="auto"/>
          <w:spacing w:val="0"/>
          <w:kern w:val="2"/>
          <w:sz w:val="32"/>
          <w:szCs w:val="32"/>
          <w:highlight w:val="none"/>
          <w:lang w:val="en-US" w:eastAsia="zh-CN" w:bidi="ar-SA"/>
        </w:rPr>
        <w:t>（区发改局牵头，区工信局、区商务局、区生态环境分局、区市场监管局等部门配合）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left="0" w:leftChars="0"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shd w:val="clear" w:color="auto" w:fill="FFFFFF"/>
        </w:rPr>
        <w:t>2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shd w:val="clear" w:color="auto" w:fill="FFFFFF"/>
          <w:lang w:val="en-US" w:eastAsia="zh-CN"/>
        </w:rPr>
        <w:t>4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shd w:val="clear" w:color="auto" w:fill="FFFFFF"/>
        </w:rPr>
        <w:t>.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shd w:val="clear" w:color="auto" w:fill="FFFFFF"/>
          <w:lang w:val="en-US" w:eastAsia="zh-CN"/>
        </w:rPr>
        <w:t xml:space="preserve"> </w:t>
      </w:r>
      <w:r>
        <w:rPr>
          <w:rFonts w:hint="default" w:ascii="Times New Roman" w:hAnsi="Times New Roman" w:eastAsia="楷体_GB2312" w:cs="Times New Roman"/>
          <w:color w:val="auto"/>
          <w:sz w:val="32"/>
          <w:szCs w:val="32"/>
          <w:highlight w:val="none"/>
        </w:rPr>
        <w:t>大力发展非化石能源。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加快能源结构调整优化，大力发展太阳能、生物质能等非化石能源，加快推动华电集团“光储氢热”一体化智慧能源基地、淄川区智慧能源管理中心、多能互补抽水蓄能等重点项目建设，形成新能源高地、智慧能源产业范式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，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吸引20家新能源装备制造企业来我区投资建设生产基地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，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完成光伏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装机容量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29.3万千瓦。</w:t>
      </w:r>
      <w:r>
        <w:rPr>
          <w:rFonts w:hint="default" w:ascii="Times New Roman" w:hAnsi="Times New Roman" w:eastAsia="楷体_GB2312" w:cs="Times New Roman"/>
          <w:color w:val="auto"/>
          <w:spacing w:val="0"/>
          <w:kern w:val="2"/>
          <w:sz w:val="32"/>
          <w:szCs w:val="32"/>
          <w:highlight w:val="none"/>
          <w:lang w:val="en-US" w:eastAsia="zh-CN" w:bidi="ar-SA"/>
        </w:rPr>
        <w:t>（区发改局牵头，区供电中心等部门配合）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left="0" w:leftChars="0"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2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.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default" w:ascii="Times New Roman" w:hAnsi="Times New Roman" w:eastAsia="楷体_GB2312" w:cs="Times New Roman"/>
          <w:color w:val="auto"/>
          <w:sz w:val="32"/>
          <w:szCs w:val="32"/>
          <w:highlight w:val="none"/>
          <w:lang w:val="en"/>
        </w:rPr>
        <w:t>加快</w:t>
      </w:r>
      <w:r>
        <w:rPr>
          <w:rFonts w:hint="default" w:ascii="Times New Roman" w:hAnsi="Times New Roman" w:eastAsia="楷体_GB2312" w:cs="Times New Roman"/>
          <w:color w:val="auto"/>
          <w:sz w:val="32"/>
          <w:szCs w:val="32"/>
          <w:highlight w:val="none"/>
        </w:rPr>
        <w:t>发展新型储能。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推进能量型锂电池、铅酸电池等储能项目建设，加快淄博明泰100MWh光伏铅碳储能项目建设。推进山东华电淄博淄川昆仑多能互补创新示范园项目建设。推动电网数字化改造、智能化提升，推动多能互补试点项目建设，构建源网荷储协同互动的智慧能源系统。</w:t>
      </w:r>
      <w:r>
        <w:rPr>
          <w:rFonts w:hint="default" w:ascii="Times New Roman" w:hAnsi="Times New Roman" w:eastAsia="楷体_GB2312" w:cs="Times New Roman"/>
          <w:color w:val="auto"/>
          <w:spacing w:val="0"/>
          <w:kern w:val="2"/>
          <w:sz w:val="32"/>
          <w:szCs w:val="32"/>
          <w:highlight w:val="none"/>
          <w:lang w:val="en-US" w:eastAsia="zh-CN" w:bidi="ar-SA"/>
        </w:rPr>
        <w:t>（区发改局牵头，区自然资源局、区规划办、区供电公司等部门配合）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left="0" w:leftChars="0" w:firstLine="640" w:firstLineChars="200"/>
        <w:textAlignment w:val="auto"/>
        <w:rPr>
          <w:rFonts w:hint="default" w:ascii="Times New Roman" w:hAnsi="Times New Roman" w:eastAsia="楷体_GB2312" w:cs="Times New Roman"/>
          <w:color w:val="C00000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none"/>
        </w:rPr>
        <w:t>2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u w:val="none"/>
          <w:lang w:val="en-US" w:eastAsia="zh-CN"/>
        </w:rPr>
        <w:t>6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none"/>
        </w:rPr>
        <w:t>.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u w:val="none"/>
          <w:lang w:val="en-US" w:eastAsia="zh-CN"/>
        </w:rPr>
        <w:t xml:space="preserve"> </w:t>
      </w:r>
      <w:r>
        <w:rPr>
          <w:rFonts w:hint="default" w:ascii="Times New Roman" w:hAnsi="Times New Roman" w:eastAsia="楷体_GB2312" w:cs="Times New Roman"/>
          <w:color w:val="auto"/>
          <w:sz w:val="32"/>
          <w:szCs w:val="32"/>
          <w:highlight w:val="none"/>
          <w:u w:val="none"/>
        </w:rPr>
        <w:t>清洁高效利用化石能源。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none"/>
        </w:rPr>
        <w:t>持续压减煤炭消费量，从严控制新改扩建耗煤项目。有序压减小煤电机组规模，力争完成坤升热电两台机组关停任务。完成万元GDP能耗下降市下达目标任务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none"/>
          <w:lang w:eastAsia="zh-CN"/>
        </w:rPr>
        <w:t>。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none"/>
        </w:rPr>
        <w:t>推进工业余热再利用，扩大工业余热供热面积。应用矿井水资源供暖，淘汰落后热源，弥补供热空缺。持续推进天然气替代推广行动，优化完善油气管网，加快济淄联络线等输油输气管道建设，力争全年天然气利用量5.6亿立方米以上。</w:t>
      </w:r>
      <w:r>
        <w:rPr>
          <w:rFonts w:hint="default" w:ascii="Times New Roman" w:hAnsi="Times New Roman" w:eastAsia="楷体_GB2312" w:cs="Times New Roman"/>
          <w:color w:val="auto"/>
          <w:sz w:val="32"/>
          <w:szCs w:val="32"/>
          <w:highlight w:val="none"/>
          <w:u w:val="none"/>
        </w:rPr>
        <w:t>（</w:t>
      </w:r>
      <w:r>
        <w:rPr>
          <w:rFonts w:hint="default" w:ascii="Times New Roman" w:hAnsi="Times New Roman" w:eastAsia="楷体_GB2312" w:cs="Times New Roman"/>
          <w:color w:val="auto"/>
          <w:sz w:val="32"/>
          <w:szCs w:val="32"/>
          <w:highlight w:val="none"/>
          <w:u w:val="none"/>
          <w:lang w:val="en-US" w:eastAsia="zh-CN"/>
        </w:rPr>
        <w:t>区发改局</w:t>
      </w:r>
      <w:r>
        <w:rPr>
          <w:rFonts w:hint="default" w:ascii="Times New Roman" w:hAnsi="Times New Roman" w:eastAsia="楷体_GB2312" w:cs="Times New Roman"/>
          <w:color w:val="auto"/>
          <w:sz w:val="32"/>
          <w:szCs w:val="32"/>
          <w:highlight w:val="none"/>
          <w:u w:val="none"/>
        </w:rPr>
        <w:t>牵头，</w:t>
      </w:r>
      <w:r>
        <w:rPr>
          <w:rFonts w:hint="default" w:ascii="Times New Roman" w:hAnsi="Times New Roman" w:eastAsia="楷体_GB2312" w:cs="Times New Roman"/>
          <w:color w:val="auto"/>
          <w:sz w:val="32"/>
          <w:szCs w:val="32"/>
          <w:highlight w:val="none"/>
          <w:u w:val="none"/>
          <w:lang w:val="en-US" w:eastAsia="zh-CN"/>
        </w:rPr>
        <w:t>区工信局</w:t>
      </w:r>
      <w:r>
        <w:rPr>
          <w:rFonts w:hint="default" w:ascii="Times New Roman" w:hAnsi="Times New Roman" w:eastAsia="楷体_GB2312" w:cs="Times New Roman"/>
          <w:color w:val="auto"/>
          <w:sz w:val="32"/>
          <w:szCs w:val="32"/>
          <w:highlight w:val="none"/>
          <w:u w:val="none"/>
        </w:rPr>
        <w:t>、</w:t>
      </w:r>
      <w:r>
        <w:rPr>
          <w:rFonts w:hint="default" w:ascii="Times New Roman" w:hAnsi="Times New Roman" w:eastAsia="楷体_GB2312" w:cs="Times New Roman"/>
          <w:color w:val="auto"/>
          <w:sz w:val="32"/>
          <w:szCs w:val="32"/>
          <w:highlight w:val="none"/>
          <w:u w:val="none"/>
          <w:lang w:val="en-US" w:eastAsia="zh-CN"/>
        </w:rPr>
        <w:t>区住建局</w:t>
      </w:r>
      <w:r>
        <w:rPr>
          <w:rFonts w:hint="default" w:ascii="Times New Roman" w:hAnsi="Times New Roman" w:eastAsia="楷体_GB2312" w:cs="Times New Roman"/>
          <w:color w:val="auto"/>
          <w:sz w:val="32"/>
          <w:szCs w:val="32"/>
          <w:highlight w:val="none"/>
          <w:u w:val="none"/>
          <w:lang w:val="en"/>
        </w:rPr>
        <w:t>等部门</w:t>
      </w:r>
      <w:r>
        <w:rPr>
          <w:rFonts w:hint="default" w:ascii="Times New Roman" w:hAnsi="Times New Roman" w:eastAsia="楷体_GB2312" w:cs="Times New Roman"/>
          <w:color w:val="auto"/>
          <w:sz w:val="32"/>
          <w:szCs w:val="32"/>
          <w:highlight w:val="none"/>
          <w:u w:val="none"/>
        </w:rPr>
        <w:t>配合）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left="0" w:leftChars="0" w:firstLine="640" w:firstLineChars="200"/>
        <w:textAlignment w:val="auto"/>
        <w:rPr>
          <w:rFonts w:hint="default" w:ascii="Times New Roman" w:hAnsi="Times New Roman" w:eastAsia="方正楷体_GBK" w:cs="Times New Roman"/>
          <w:color w:val="auto"/>
          <w:sz w:val="32"/>
          <w:szCs w:val="32"/>
          <w:highlight w:val="none"/>
          <w:u w:val="none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none"/>
        </w:rPr>
        <w:t>2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u w:val="none"/>
          <w:lang w:val="en-US" w:eastAsia="zh-CN"/>
        </w:rPr>
        <w:t>7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none"/>
        </w:rPr>
        <w:t>.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u w:val="none"/>
          <w:lang w:val="en-US" w:eastAsia="zh-CN"/>
        </w:rPr>
        <w:t xml:space="preserve"> </w:t>
      </w:r>
      <w:r>
        <w:rPr>
          <w:rFonts w:hint="default" w:ascii="Times New Roman" w:hAnsi="Times New Roman" w:eastAsia="楷体_GB2312" w:cs="Times New Roman"/>
          <w:color w:val="auto"/>
          <w:sz w:val="32"/>
          <w:szCs w:val="32"/>
          <w:highlight w:val="none"/>
          <w:u w:val="none"/>
        </w:rPr>
        <w:t>深入推进环境污染防治。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none"/>
        </w:rPr>
        <w:t>持续深入打好蓝天、碧水、净土保卫战，完成市下达生态环境各项约束性指标任务。实施全区工业企业大气污染治理品质提升行动，年内完成全区6家水泥熟料企业超低排放改造，持续改善环境空气质量。加快推进水资源保护利用行动，国控断面优良水体比例达到57.1%以上，力争主要河流水环境质量全面消除Ⅴ类水体，水环境质量走在全市前列。做好土壤污染防治工作。推进农村生活污水治理，完成省定12个行政村生活污水治理任务。建立常态化评估机制，危险废物规范化管理抽查合格率达到95%以上。</w:t>
      </w:r>
      <w:r>
        <w:rPr>
          <w:rFonts w:hint="default" w:ascii="Times New Roman" w:hAnsi="Times New Roman" w:eastAsia="楷体_GB2312" w:cs="Times New Roman"/>
          <w:color w:val="auto"/>
          <w:sz w:val="32"/>
          <w:szCs w:val="32"/>
          <w:highlight w:val="none"/>
          <w:u w:val="none"/>
        </w:rPr>
        <w:t>（</w:t>
      </w:r>
      <w:r>
        <w:rPr>
          <w:rFonts w:hint="default" w:ascii="Times New Roman" w:hAnsi="Times New Roman" w:eastAsia="楷体_GB2312" w:cs="Times New Roman"/>
          <w:color w:val="auto"/>
          <w:sz w:val="32"/>
          <w:szCs w:val="32"/>
          <w:highlight w:val="none"/>
          <w:u w:val="none"/>
          <w:lang w:val="en-US" w:eastAsia="zh-CN"/>
        </w:rPr>
        <w:t>区</w:t>
      </w:r>
      <w:r>
        <w:rPr>
          <w:rFonts w:hint="default" w:ascii="Times New Roman" w:hAnsi="Times New Roman" w:eastAsia="楷体_GB2312" w:cs="Times New Roman"/>
          <w:color w:val="auto"/>
          <w:sz w:val="32"/>
          <w:szCs w:val="32"/>
          <w:highlight w:val="none"/>
          <w:u w:val="none"/>
        </w:rPr>
        <w:t>生态环境</w:t>
      </w:r>
      <w:r>
        <w:rPr>
          <w:rFonts w:hint="default" w:ascii="Times New Roman" w:hAnsi="Times New Roman" w:eastAsia="楷体_GB2312" w:cs="Times New Roman"/>
          <w:color w:val="auto"/>
          <w:sz w:val="32"/>
          <w:szCs w:val="32"/>
          <w:highlight w:val="none"/>
          <w:u w:val="none"/>
          <w:lang w:val="en-US" w:eastAsia="zh-CN"/>
        </w:rPr>
        <w:t>分</w:t>
      </w:r>
      <w:r>
        <w:rPr>
          <w:rFonts w:hint="default" w:ascii="Times New Roman" w:hAnsi="Times New Roman" w:eastAsia="楷体_GB2312" w:cs="Times New Roman"/>
          <w:color w:val="auto"/>
          <w:sz w:val="32"/>
          <w:szCs w:val="32"/>
          <w:highlight w:val="none"/>
          <w:u w:val="none"/>
        </w:rPr>
        <w:t>局牵头，</w:t>
      </w:r>
      <w:r>
        <w:rPr>
          <w:rFonts w:hint="default" w:ascii="Times New Roman" w:hAnsi="Times New Roman" w:eastAsia="楷体_GB2312" w:cs="Times New Roman"/>
          <w:color w:val="auto"/>
          <w:sz w:val="32"/>
          <w:szCs w:val="32"/>
          <w:highlight w:val="none"/>
          <w:u w:val="none"/>
          <w:lang w:val="en-US" w:eastAsia="zh-CN"/>
        </w:rPr>
        <w:t>区工信局</w:t>
      </w:r>
      <w:r>
        <w:rPr>
          <w:rFonts w:hint="default" w:ascii="Times New Roman" w:hAnsi="Times New Roman" w:eastAsia="楷体_GB2312" w:cs="Times New Roman"/>
          <w:color w:val="auto"/>
          <w:sz w:val="32"/>
          <w:szCs w:val="32"/>
          <w:highlight w:val="none"/>
          <w:u w:val="none"/>
        </w:rPr>
        <w:t>、</w:t>
      </w:r>
      <w:r>
        <w:rPr>
          <w:rFonts w:hint="default" w:ascii="Times New Roman" w:hAnsi="Times New Roman" w:eastAsia="楷体_GB2312" w:cs="Times New Roman"/>
          <w:color w:val="auto"/>
          <w:sz w:val="32"/>
          <w:szCs w:val="32"/>
          <w:highlight w:val="none"/>
          <w:u w:val="none"/>
          <w:lang w:val="en-US" w:eastAsia="zh-CN"/>
        </w:rPr>
        <w:t>区</w:t>
      </w:r>
      <w:r>
        <w:rPr>
          <w:rFonts w:hint="default" w:ascii="Times New Roman" w:hAnsi="Times New Roman" w:eastAsia="楷体_GB2312" w:cs="Times New Roman"/>
          <w:color w:val="auto"/>
          <w:sz w:val="32"/>
          <w:szCs w:val="32"/>
          <w:highlight w:val="none"/>
          <w:u w:val="none"/>
        </w:rPr>
        <w:t>农业农村局等部门配合）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left="0" w:leftChars="0"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28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.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default" w:ascii="Times New Roman" w:hAnsi="Times New Roman" w:eastAsia="楷体_GB2312" w:cs="Times New Roman"/>
          <w:color w:val="auto"/>
          <w:sz w:val="32"/>
          <w:szCs w:val="32"/>
          <w:highlight w:val="none"/>
        </w:rPr>
        <w:t>加强生态系统保护与修复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。统筹山水林田湖草沙系统治理，完成荒山绿化6000亩。推进河湖“清四乱”常态化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，实施冲山小流域、龙湾峪小流域综合治理工程，治理和改善水土流失面积24平方公里。推进美丽幸福河湖建设，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实施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淄河、幸福支流、黑山支流、般河、七星河、五里河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等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6条河道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创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建美丽幸福河湖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工程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。</w:t>
      </w:r>
      <w:r>
        <w:rPr>
          <w:rFonts w:hint="default" w:ascii="Times New Roman" w:hAnsi="Times New Roman" w:eastAsia="楷体_GB2312" w:cs="Times New Roman"/>
          <w:color w:val="auto"/>
          <w:sz w:val="32"/>
          <w:szCs w:val="32"/>
          <w:highlight w:val="none"/>
          <w:lang w:val="en-US" w:eastAsia="zh-CN"/>
        </w:rPr>
        <w:t>（区自然资源局、区水利局负责）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left="0" w:leftChars="0" w:firstLine="640" w:firstLineChars="200"/>
        <w:textAlignment w:val="auto"/>
        <w:rPr>
          <w:rFonts w:hint="default" w:ascii="Times New Roman" w:hAnsi="Times New Roman" w:eastAsia="楷体_GB2312" w:cs="Times New Roman"/>
          <w:color w:val="auto"/>
          <w:sz w:val="32"/>
          <w:szCs w:val="32"/>
          <w:highlight w:val="none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29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.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default" w:ascii="Times New Roman" w:hAnsi="Times New Roman" w:eastAsia="楷体_GB2312" w:cs="Times New Roman"/>
          <w:color w:val="auto"/>
          <w:sz w:val="32"/>
          <w:szCs w:val="32"/>
          <w:highlight w:val="none"/>
        </w:rPr>
        <w:t>完善现代水网体系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。实施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“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三河相通两库相连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”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引蓄水治理工程，推进太河水库增容工程前期工作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和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城乡供水一体化建设项目，完成新建水厂1座，铺设管道20公里。</w:t>
      </w:r>
      <w:r>
        <w:rPr>
          <w:rFonts w:hint="default" w:ascii="Times New Roman" w:hAnsi="Times New Roman" w:eastAsia="楷体_GB2312" w:cs="Times New Roman"/>
          <w:color w:val="auto"/>
          <w:sz w:val="32"/>
          <w:szCs w:val="32"/>
          <w:highlight w:val="none"/>
          <w:lang w:val="en-US" w:eastAsia="zh-CN"/>
        </w:rPr>
        <w:t>（区水利局负责）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left="0" w:leftChars="0" w:firstLine="640" w:firstLineChars="200"/>
        <w:textAlignment w:val="auto"/>
        <w:rPr>
          <w:rFonts w:hint="default" w:ascii="Times New Roman" w:hAnsi="Times New Roman" w:eastAsia="楷体_GB2312" w:cs="Times New Roman"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3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0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.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default" w:ascii="Times New Roman" w:hAnsi="Times New Roman" w:eastAsia="楷体_GB2312" w:cs="Times New Roman"/>
          <w:color w:val="auto"/>
          <w:sz w:val="32"/>
          <w:szCs w:val="32"/>
          <w:highlight w:val="none"/>
        </w:rPr>
        <w:t>打好深度节水控水攻坚战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。持续推进节水载体建设，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实施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再生水等非常规水利用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，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优化配置水资源用水总量和非常规水源利用量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，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全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区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年度用水总量控制在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8000万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立方米之内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，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非常规水源利用量达到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700万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立方米以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上。</w:t>
      </w:r>
      <w:r>
        <w:rPr>
          <w:rFonts w:hint="default" w:ascii="Times New Roman" w:hAnsi="Times New Roman" w:eastAsia="楷体_GB2312" w:cs="Times New Roman"/>
          <w:color w:val="auto"/>
          <w:sz w:val="32"/>
          <w:szCs w:val="32"/>
          <w:highlight w:val="none"/>
          <w:lang w:val="en-US" w:eastAsia="zh-CN"/>
        </w:rPr>
        <w:t>（区水利局牵头，区住建局等部门配合）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left="0" w:leftChars="0" w:firstLine="640" w:firstLineChars="200"/>
        <w:textAlignment w:val="auto"/>
        <w:rPr>
          <w:rFonts w:hint="default" w:ascii="Times New Roman" w:hAnsi="Times New Roman" w:eastAsia="楷体_GB2312" w:cs="Times New Roman"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3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1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.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default" w:ascii="Times New Roman" w:hAnsi="Times New Roman" w:eastAsia="楷体_GB2312" w:cs="Times New Roman"/>
          <w:color w:val="auto"/>
          <w:sz w:val="32"/>
          <w:szCs w:val="32"/>
          <w:highlight w:val="none"/>
        </w:rPr>
        <w:t>大力发展绿色建筑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。深入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实施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绿色建筑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建设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行动，完善统一管理、分级实施的星级绿色建筑标识管理模式，引导发展高星级绿色建筑。新增绿色建筑10万平方米以上，城镇新建民用建筑中绿色建筑占比力争达到100%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。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落实新版居住建筑节能设计标准，切实提升能效水平。</w:t>
      </w:r>
      <w:r>
        <w:rPr>
          <w:rFonts w:hint="default" w:ascii="Times New Roman" w:hAnsi="Times New Roman" w:eastAsia="楷体_GB2312" w:cs="Times New Roman"/>
          <w:color w:val="auto"/>
          <w:sz w:val="32"/>
          <w:szCs w:val="32"/>
          <w:highlight w:val="none"/>
        </w:rPr>
        <w:t>（</w:t>
      </w:r>
      <w:r>
        <w:rPr>
          <w:rFonts w:hint="default" w:ascii="Times New Roman" w:hAnsi="Times New Roman" w:eastAsia="楷体_GB2312" w:cs="Times New Roman"/>
          <w:color w:val="auto"/>
          <w:sz w:val="32"/>
          <w:szCs w:val="32"/>
          <w:highlight w:val="none"/>
          <w:lang w:val="en-US" w:eastAsia="zh-CN"/>
        </w:rPr>
        <w:t>区住建</w:t>
      </w:r>
      <w:r>
        <w:rPr>
          <w:rFonts w:hint="default" w:ascii="Times New Roman" w:hAnsi="Times New Roman" w:eastAsia="楷体_GB2312" w:cs="Times New Roman"/>
          <w:color w:val="auto"/>
          <w:sz w:val="32"/>
          <w:szCs w:val="32"/>
          <w:highlight w:val="none"/>
        </w:rPr>
        <w:t>局负责）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楷体_GB2312" w:cs="Times New Roman"/>
          <w:color w:val="auto"/>
          <w:sz w:val="32"/>
          <w:szCs w:val="32"/>
          <w:highlight w:val="none"/>
        </w:rPr>
        <w:t>3</w:t>
      </w:r>
      <w:r>
        <w:rPr>
          <w:rFonts w:hint="eastAsia" w:ascii="Times New Roman" w:hAnsi="Times New Roman" w:eastAsia="楷体_GB2312" w:cs="Times New Roman"/>
          <w:color w:val="auto"/>
          <w:sz w:val="32"/>
          <w:szCs w:val="32"/>
          <w:highlight w:val="none"/>
          <w:lang w:val="en-US" w:eastAsia="zh-CN"/>
        </w:rPr>
        <w:t>2</w:t>
      </w:r>
      <w:r>
        <w:rPr>
          <w:rFonts w:hint="default" w:ascii="Times New Roman" w:hAnsi="Times New Roman" w:eastAsia="楷体_GB2312" w:cs="Times New Roman"/>
          <w:color w:val="auto"/>
          <w:sz w:val="32"/>
          <w:szCs w:val="32"/>
          <w:highlight w:val="none"/>
        </w:rPr>
        <w:t>.</w:t>
      </w:r>
      <w:r>
        <w:rPr>
          <w:rFonts w:hint="eastAsia" w:ascii="Times New Roman" w:hAnsi="Times New Roman" w:eastAsia="楷体_GB2312" w:cs="Times New Roman"/>
          <w:color w:val="auto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default" w:ascii="Times New Roman" w:hAnsi="Times New Roman" w:eastAsia="楷体_GB2312" w:cs="Times New Roman"/>
          <w:color w:val="auto"/>
          <w:sz w:val="32"/>
          <w:szCs w:val="32"/>
          <w:highlight w:val="none"/>
        </w:rPr>
        <w:t>加快形成绿色低碳生活方式。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实施绿色低碳全民行动，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推广使用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节能环保汽车、节能家电、高效照明等绿色产品，严格执行节能、节水、环保、再生绿色产品采购制度。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落实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“固废整治五年专项行动”，加快建设“无废城市”。</w:t>
      </w:r>
      <w:r>
        <w:rPr>
          <w:rFonts w:hint="default" w:ascii="Times New Roman" w:hAnsi="Times New Roman" w:eastAsia="楷体_GB2312" w:cs="Times New Roman"/>
          <w:color w:val="auto"/>
          <w:sz w:val="32"/>
          <w:szCs w:val="32"/>
          <w:highlight w:val="none"/>
        </w:rPr>
        <w:t>（</w:t>
      </w:r>
      <w:r>
        <w:rPr>
          <w:rFonts w:hint="default" w:ascii="Times New Roman" w:hAnsi="Times New Roman" w:eastAsia="楷体_GB2312" w:cs="Times New Roman"/>
          <w:color w:val="auto"/>
          <w:sz w:val="32"/>
          <w:szCs w:val="32"/>
          <w:highlight w:val="none"/>
          <w:lang w:val="en-US" w:eastAsia="zh-CN"/>
        </w:rPr>
        <w:t>区</w:t>
      </w:r>
      <w:r>
        <w:rPr>
          <w:rFonts w:hint="default" w:ascii="Times New Roman" w:hAnsi="Times New Roman" w:eastAsia="楷体_GB2312" w:cs="Times New Roman"/>
          <w:color w:val="auto"/>
          <w:sz w:val="32"/>
          <w:szCs w:val="32"/>
          <w:highlight w:val="none"/>
        </w:rPr>
        <w:t>直机关工委、</w:t>
      </w:r>
      <w:r>
        <w:rPr>
          <w:rFonts w:hint="default" w:ascii="Times New Roman" w:hAnsi="Times New Roman" w:eastAsia="楷体_GB2312" w:cs="Times New Roman"/>
          <w:color w:val="auto"/>
          <w:sz w:val="32"/>
          <w:szCs w:val="32"/>
          <w:highlight w:val="none"/>
          <w:lang w:val="en-US" w:eastAsia="zh-CN"/>
        </w:rPr>
        <w:t>区</w:t>
      </w:r>
      <w:r>
        <w:rPr>
          <w:rFonts w:hint="default" w:ascii="Times New Roman" w:hAnsi="Times New Roman" w:eastAsia="楷体_GB2312" w:cs="Times New Roman"/>
          <w:color w:val="auto"/>
          <w:sz w:val="32"/>
          <w:szCs w:val="32"/>
          <w:highlight w:val="none"/>
        </w:rPr>
        <w:t>机关事务</w:t>
      </w:r>
      <w:r>
        <w:rPr>
          <w:rFonts w:hint="default" w:ascii="Times New Roman" w:hAnsi="Times New Roman" w:eastAsia="楷体_GB2312" w:cs="Times New Roman"/>
          <w:color w:val="auto"/>
          <w:sz w:val="32"/>
          <w:szCs w:val="32"/>
          <w:highlight w:val="none"/>
          <w:lang w:val="en-US" w:eastAsia="zh-CN"/>
        </w:rPr>
        <w:t>服务中心</w:t>
      </w:r>
      <w:r>
        <w:rPr>
          <w:rFonts w:hint="default" w:ascii="Times New Roman" w:hAnsi="Times New Roman" w:eastAsia="楷体_GB2312" w:cs="Times New Roman"/>
          <w:color w:val="auto"/>
          <w:sz w:val="32"/>
          <w:szCs w:val="32"/>
          <w:highlight w:val="none"/>
        </w:rPr>
        <w:t>牵头，</w:t>
      </w:r>
      <w:r>
        <w:rPr>
          <w:rFonts w:hint="default" w:ascii="Times New Roman" w:hAnsi="Times New Roman" w:eastAsia="楷体_GB2312" w:cs="Times New Roman"/>
          <w:color w:val="auto"/>
          <w:sz w:val="32"/>
          <w:szCs w:val="32"/>
          <w:highlight w:val="none"/>
          <w:lang w:val="en-US" w:eastAsia="zh-CN"/>
        </w:rPr>
        <w:t>区</w:t>
      </w:r>
      <w:r>
        <w:rPr>
          <w:rFonts w:hint="default" w:ascii="Times New Roman" w:hAnsi="Times New Roman" w:eastAsia="楷体_GB2312" w:cs="Times New Roman"/>
          <w:color w:val="auto"/>
          <w:sz w:val="32"/>
          <w:szCs w:val="32"/>
          <w:highlight w:val="none"/>
        </w:rPr>
        <w:t>委宣传部、</w:t>
      </w:r>
      <w:r>
        <w:rPr>
          <w:rFonts w:hint="default" w:ascii="Times New Roman" w:hAnsi="Times New Roman" w:eastAsia="楷体_GB2312" w:cs="Times New Roman"/>
          <w:color w:val="auto"/>
          <w:sz w:val="32"/>
          <w:szCs w:val="32"/>
          <w:highlight w:val="none"/>
          <w:lang w:val="en-US" w:eastAsia="zh-CN"/>
        </w:rPr>
        <w:t>区</w:t>
      </w:r>
      <w:r>
        <w:rPr>
          <w:rFonts w:hint="default" w:ascii="Times New Roman" w:hAnsi="Times New Roman" w:eastAsia="楷体_GB2312" w:cs="Times New Roman"/>
          <w:color w:val="auto"/>
          <w:sz w:val="32"/>
          <w:szCs w:val="32"/>
          <w:highlight w:val="none"/>
        </w:rPr>
        <w:t>生态环境</w:t>
      </w:r>
      <w:r>
        <w:rPr>
          <w:rFonts w:hint="default" w:ascii="Times New Roman" w:hAnsi="Times New Roman" w:eastAsia="楷体_GB2312" w:cs="Times New Roman"/>
          <w:color w:val="auto"/>
          <w:sz w:val="32"/>
          <w:szCs w:val="32"/>
          <w:highlight w:val="none"/>
          <w:lang w:val="en-US" w:eastAsia="zh-CN"/>
        </w:rPr>
        <w:t>分</w:t>
      </w:r>
      <w:r>
        <w:rPr>
          <w:rFonts w:hint="default" w:ascii="Times New Roman" w:hAnsi="Times New Roman" w:eastAsia="楷体_GB2312" w:cs="Times New Roman"/>
          <w:color w:val="auto"/>
          <w:sz w:val="32"/>
          <w:szCs w:val="32"/>
          <w:highlight w:val="none"/>
        </w:rPr>
        <w:t>局、</w:t>
      </w:r>
      <w:r>
        <w:rPr>
          <w:rFonts w:hint="default" w:ascii="Times New Roman" w:hAnsi="Times New Roman" w:eastAsia="楷体_GB2312" w:cs="Times New Roman"/>
          <w:color w:val="auto"/>
          <w:sz w:val="32"/>
          <w:szCs w:val="32"/>
          <w:highlight w:val="none"/>
          <w:lang w:val="en-US" w:eastAsia="zh-CN"/>
        </w:rPr>
        <w:t>区</w:t>
      </w:r>
      <w:r>
        <w:rPr>
          <w:rFonts w:hint="default" w:ascii="Times New Roman" w:hAnsi="Times New Roman" w:eastAsia="楷体_GB2312" w:cs="Times New Roman"/>
          <w:color w:val="auto"/>
          <w:sz w:val="32"/>
          <w:szCs w:val="32"/>
          <w:highlight w:val="none"/>
        </w:rPr>
        <w:t>交通运输局、</w:t>
      </w:r>
      <w:r>
        <w:rPr>
          <w:rFonts w:hint="default" w:ascii="Times New Roman" w:hAnsi="Times New Roman" w:eastAsia="楷体_GB2312" w:cs="Times New Roman"/>
          <w:color w:val="auto"/>
          <w:sz w:val="32"/>
          <w:szCs w:val="32"/>
          <w:highlight w:val="none"/>
          <w:lang w:val="en-US" w:eastAsia="zh-CN"/>
        </w:rPr>
        <w:t>区综合行政执法局</w:t>
      </w:r>
      <w:r>
        <w:rPr>
          <w:rFonts w:hint="default" w:ascii="Times New Roman" w:hAnsi="Times New Roman" w:eastAsia="楷体_GB2312" w:cs="Times New Roman"/>
          <w:color w:val="auto"/>
          <w:sz w:val="32"/>
          <w:szCs w:val="32"/>
          <w:highlight w:val="none"/>
        </w:rPr>
        <w:t>等部门配合）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left="0" w:leftChars="0" w:firstLine="640" w:firstLineChars="200"/>
        <w:textAlignment w:val="auto"/>
        <w:rPr>
          <w:rFonts w:hint="default" w:ascii="Times New Roman" w:hAnsi="Times New Roman" w:eastAsia="方正黑体_GBK" w:cs="Times New Roman"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黑体" w:cs="Times New Roman"/>
          <w:color w:val="auto"/>
          <w:sz w:val="32"/>
          <w:szCs w:val="32"/>
          <w:highlight w:val="none"/>
        </w:rPr>
        <w:t>五、深入实施黄河重大国家战略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left="0" w:leftChars="0" w:firstLine="640" w:firstLineChars="200"/>
        <w:textAlignment w:val="auto"/>
        <w:rPr>
          <w:rFonts w:hint="default" w:ascii="Times New Roman" w:hAnsi="Times New Roman" w:eastAsia="仿宋_GB2312" w:cs="Times New Roman"/>
          <w:color w:val="C00000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3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3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.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default" w:ascii="Times New Roman" w:hAnsi="Times New Roman" w:eastAsia="楷体_GB2312" w:cs="Times New Roman"/>
          <w:color w:val="auto"/>
          <w:sz w:val="32"/>
          <w:szCs w:val="32"/>
          <w:highlight w:val="none"/>
        </w:rPr>
        <w:t>深度融入重大发展战略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。深入落实黄河重大国家战略，抓好黄河流域生态保护和高质量发展专项巡视巡察问题整改。推动落实沿黄城市战略合作有关工作，推动齐鲁云商大宗商品B2B服务平台列入黄河流域省际合作事项。</w:t>
      </w:r>
      <w:r>
        <w:rPr>
          <w:rFonts w:hint="default" w:ascii="Times New Roman" w:hAnsi="Times New Roman" w:eastAsia="楷体_GB2312" w:cs="Times New Roman"/>
          <w:color w:val="auto"/>
          <w:sz w:val="32"/>
          <w:szCs w:val="32"/>
          <w:highlight w:val="none"/>
        </w:rPr>
        <w:t>（</w:t>
      </w:r>
      <w:r>
        <w:rPr>
          <w:rFonts w:hint="default" w:ascii="Times New Roman" w:hAnsi="Times New Roman" w:eastAsia="楷体_GB2312" w:cs="Times New Roman"/>
          <w:color w:val="auto"/>
          <w:sz w:val="32"/>
          <w:szCs w:val="32"/>
          <w:highlight w:val="none"/>
          <w:lang w:val="en-US" w:eastAsia="zh-CN"/>
        </w:rPr>
        <w:t>区发改局</w:t>
      </w:r>
      <w:r>
        <w:rPr>
          <w:rFonts w:hint="default" w:ascii="Times New Roman" w:hAnsi="Times New Roman" w:eastAsia="楷体_GB2312" w:cs="Times New Roman"/>
          <w:color w:val="auto"/>
          <w:sz w:val="32"/>
          <w:szCs w:val="32"/>
          <w:highlight w:val="none"/>
        </w:rPr>
        <w:t>、</w:t>
      </w:r>
      <w:r>
        <w:rPr>
          <w:rFonts w:hint="default" w:ascii="Times New Roman" w:hAnsi="Times New Roman" w:eastAsia="楷体_GB2312" w:cs="Times New Roman"/>
          <w:color w:val="auto"/>
          <w:sz w:val="32"/>
          <w:szCs w:val="32"/>
          <w:highlight w:val="none"/>
          <w:lang w:val="en-US" w:eastAsia="zh-CN"/>
        </w:rPr>
        <w:t>区自然资源局、区规划办</w:t>
      </w:r>
      <w:r>
        <w:rPr>
          <w:rFonts w:hint="default" w:ascii="Times New Roman" w:hAnsi="Times New Roman" w:eastAsia="楷体_GB2312" w:cs="Times New Roman"/>
          <w:color w:val="auto"/>
          <w:sz w:val="32"/>
          <w:szCs w:val="32"/>
          <w:highlight w:val="none"/>
        </w:rPr>
        <w:t>、</w:t>
      </w:r>
      <w:r>
        <w:rPr>
          <w:rFonts w:hint="default" w:ascii="Times New Roman" w:hAnsi="Times New Roman" w:eastAsia="楷体_GB2312" w:cs="Times New Roman"/>
          <w:color w:val="auto"/>
          <w:sz w:val="32"/>
          <w:szCs w:val="32"/>
          <w:highlight w:val="none"/>
          <w:lang w:val="en-US" w:eastAsia="zh-CN"/>
        </w:rPr>
        <w:t>区水利局</w:t>
      </w:r>
      <w:r>
        <w:rPr>
          <w:rFonts w:hint="default" w:ascii="Times New Roman" w:hAnsi="Times New Roman" w:eastAsia="楷体_GB2312" w:cs="Times New Roman"/>
          <w:color w:val="auto"/>
          <w:sz w:val="32"/>
          <w:szCs w:val="32"/>
          <w:highlight w:val="none"/>
        </w:rPr>
        <w:t>负责）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left="0" w:leftChars="0" w:firstLine="640" w:firstLineChars="200"/>
        <w:textAlignment w:val="auto"/>
        <w:rPr>
          <w:rFonts w:hint="default" w:ascii="Times New Roman" w:hAnsi="Times New Roman" w:eastAsia="仿宋_GB2312" w:cs="Times New Roman"/>
          <w:color w:val="C00000"/>
          <w:sz w:val="32"/>
          <w:szCs w:val="32"/>
          <w:highlight w:val="none"/>
          <w:lang w:val="en"/>
        </w:rPr>
      </w:pPr>
      <w:r>
        <w:rPr>
          <w:rFonts w:hint="default" w:ascii="Times New Roman" w:hAnsi="Times New Roman" w:eastAsia="仿宋_GB2312" w:cs="Times New Roman"/>
          <w:strike w:val="0"/>
          <w:dstrike w:val="0"/>
          <w:color w:val="auto"/>
          <w:sz w:val="32"/>
          <w:szCs w:val="32"/>
          <w:highlight w:val="none"/>
          <w:u w:val="none"/>
        </w:rPr>
        <w:t>3</w:t>
      </w:r>
      <w:r>
        <w:rPr>
          <w:rFonts w:hint="eastAsia" w:ascii="Times New Roman" w:hAnsi="Times New Roman" w:eastAsia="仿宋_GB2312" w:cs="Times New Roman"/>
          <w:strike w:val="0"/>
          <w:dstrike w:val="0"/>
          <w:color w:val="auto"/>
          <w:sz w:val="32"/>
          <w:szCs w:val="32"/>
          <w:highlight w:val="none"/>
          <w:u w:val="none"/>
          <w:lang w:val="en-US" w:eastAsia="zh-CN"/>
        </w:rPr>
        <w:t>4</w:t>
      </w:r>
      <w:r>
        <w:rPr>
          <w:rFonts w:hint="default" w:ascii="Times New Roman" w:hAnsi="Times New Roman" w:eastAsia="仿宋_GB2312" w:cs="Times New Roman"/>
          <w:strike w:val="0"/>
          <w:dstrike w:val="0"/>
          <w:color w:val="auto"/>
          <w:sz w:val="32"/>
          <w:szCs w:val="32"/>
          <w:highlight w:val="none"/>
          <w:u w:val="none"/>
        </w:rPr>
        <w:t>.</w:t>
      </w:r>
      <w:r>
        <w:rPr>
          <w:rFonts w:hint="eastAsia" w:ascii="Times New Roman" w:hAnsi="Times New Roman" w:eastAsia="仿宋_GB2312" w:cs="Times New Roman"/>
          <w:strike w:val="0"/>
          <w:dstrike w:val="0"/>
          <w:color w:val="auto"/>
          <w:sz w:val="32"/>
          <w:szCs w:val="32"/>
          <w:highlight w:val="none"/>
          <w:u w:val="none"/>
          <w:lang w:val="en-US" w:eastAsia="zh-CN"/>
        </w:rPr>
        <w:t xml:space="preserve"> </w:t>
      </w:r>
      <w:r>
        <w:rPr>
          <w:rFonts w:hint="default" w:ascii="Times New Roman" w:hAnsi="Times New Roman" w:eastAsia="楷体_GB2312" w:cs="Times New Roman"/>
          <w:strike w:val="0"/>
          <w:dstrike w:val="0"/>
          <w:color w:val="auto"/>
          <w:sz w:val="32"/>
          <w:szCs w:val="32"/>
          <w:highlight w:val="none"/>
          <w:u w:val="none"/>
        </w:rPr>
        <w:t>筑牢</w:t>
      </w:r>
      <w:r>
        <w:rPr>
          <w:rFonts w:hint="eastAsia" w:ascii="Times New Roman" w:hAnsi="Times New Roman" w:eastAsia="楷体_GB2312" w:cs="Times New Roman"/>
          <w:strike w:val="0"/>
          <w:dstrike w:val="0"/>
          <w:color w:val="auto"/>
          <w:sz w:val="32"/>
          <w:szCs w:val="32"/>
          <w:highlight w:val="none"/>
          <w:u w:val="none"/>
          <w:lang w:eastAsia="zh-CN"/>
        </w:rPr>
        <w:t>城市</w:t>
      </w:r>
      <w:r>
        <w:rPr>
          <w:rFonts w:hint="default" w:ascii="Times New Roman" w:hAnsi="Times New Roman" w:eastAsia="楷体_GB2312" w:cs="Times New Roman"/>
          <w:strike w:val="0"/>
          <w:dstrike w:val="0"/>
          <w:color w:val="auto"/>
          <w:sz w:val="32"/>
          <w:szCs w:val="32"/>
          <w:highlight w:val="none"/>
          <w:u w:val="none"/>
        </w:rPr>
        <w:t>防汛排涝屏障</w:t>
      </w:r>
      <w:r>
        <w:rPr>
          <w:rFonts w:hint="eastAsia" w:ascii="Times New Roman" w:hAnsi="Times New Roman" w:eastAsia="楷体_GB2312" w:cs="Times New Roman"/>
          <w:strike w:val="0"/>
          <w:dstrike w:val="0"/>
          <w:color w:val="auto"/>
          <w:sz w:val="32"/>
          <w:szCs w:val="32"/>
          <w:highlight w:val="none"/>
          <w:u w:val="none"/>
          <w:lang w:eastAsia="zh-CN"/>
        </w:rPr>
        <w:t>。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none"/>
        </w:rPr>
        <w:t>推进病险水库、水闸除险加固，完成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none"/>
          <w:lang w:val="en-US" w:eastAsia="zh-CN"/>
        </w:rPr>
        <w:t>相关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none"/>
        </w:rPr>
        <w:t>河道治理。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none"/>
          <w:lang w:val="en-US" w:eastAsia="zh-CN"/>
        </w:rPr>
        <w:t>完善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none"/>
          <w:lang w:val="en"/>
        </w:rPr>
        <w:t>城市防洪排涝体系，系统化推进海绵城市建设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none"/>
          <w:lang w:val="en" w:eastAsia="zh-CN"/>
        </w:rPr>
        <w:t>，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none"/>
          <w:lang w:val="en-US" w:eastAsia="zh-CN"/>
        </w:rPr>
        <w:t>提升城市防汛能力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none"/>
          <w:lang w:val="en"/>
        </w:rPr>
        <w:t>；推进“智慧黄河”数字化平台应用，完善防汛预案体系，组建高素质专业应急救援队伍，提升自然灾害防范处置能力。</w:t>
      </w:r>
      <w:r>
        <w:rPr>
          <w:rFonts w:hint="default" w:ascii="Times New Roman" w:hAnsi="Times New Roman" w:eastAsia="楷体_GB2312" w:cs="Times New Roman"/>
          <w:strike w:val="0"/>
          <w:dstrike w:val="0"/>
          <w:color w:val="auto"/>
          <w:sz w:val="32"/>
          <w:szCs w:val="32"/>
          <w:highlight w:val="none"/>
          <w:lang w:val="en"/>
        </w:rPr>
        <w:t>（</w:t>
      </w:r>
      <w:r>
        <w:rPr>
          <w:rFonts w:hint="default" w:ascii="Times New Roman" w:hAnsi="Times New Roman" w:eastAsia="楷体_GB2312" w:cs="Times New Roman"/>
          <w:strike w:val="0"/>
          <w:dstrike w:val="0"/>
          <w:color w:val="auto"/>
          <w:sz w:val="32"/>
          <w:szCs w:val="32"/>
          <w:highlight w:val="none"/>
          <w:lang w:val="en-US" w:eastAsia="zh-CN"/>
        </w:rPr>
        <w:t>区</w:t>
      </w:r>
      <w:r>
        <w:rPr>
          <w:rFonts w:hint="default" w:ascii="Times New Roman" w:hAnsi="Times New Roman" w:eastAsia="楷体_GB2312" w:cs="Times New Roman"/>
          <w:strike w:val="0"/>
          <w:dstrike w:val="0"/>
          <w:color w:val="auto"/>
          <w:sz w:val="32"/>
          <w:szCs w:val="32"/>
          <w:highlight w:val="none"/>
          <w:lang w:val="en"/>
        </w:rPr>
        <w:t>水利局</w:t>
      </w:r>
      <w:r>
        <w:rPr>
          <w:rFonts w:hint="default" w:ascii="Times New Roman" w:hAnsi="Times New Roman" w:eastAsia="楷体_GB2312" w:cs="Times New Roman"/>
          <w:strike w:val="0"/>
          <w:color w:val="auto"/>
          <w:sz w:val="32"/>
          <w:szCs w:val="32"/>
          <w:highlight w:val="none"/>
          <w:lang w:val="en"/>
        </w:rPr>
        <w:t>、</w:t>
      </w:r>
      <w:r>
        <w:rPr>
          <w:rFonts w:hint="default" w:ascii="Times New Roman" w:hAnsi="Times New Roman" w:eastAsia="楷体_GB2312" w:cs="Times New Roman"/>
          <w:color w:val="auto"/>
          <w:sz w:val="32"/>
          <w:szCs w:val="32"/>
          <w:highlight w:val="none"/>
          <w:lang w:val="en-US" w:eastAsia="zh-CN"/>
        </w:rPr>
        <w:t>区住建</w:t>
      </w:r>
      <w:r>
        <w:rPr>
          <w:rFonts w:hint="default" w:ascii="Times New Roman" w:hAnsi="Times New Roman" w:eastAsia="楷体_GB2312" w:cs="Times New Roman"/>
          <w:color w:val="auto"/>
          <w:sz w:val="32"/>
          <w:szCs w:val="32"/>
          <w:highlight w:val="none"/>
          <w:lang w:val="en"/>
        </w:rPr>
        <w:t>局、</w:t>
      </w:r>
      <w:r>
        <w:rPr>
          <w:rFonts w:hint="default" w:ascii="Times New Roman" w:hAnsi="Times New Roman" w:eastAsia="楷体_GB2312" w:cs="Times New Roman"/>
          <w:color w:val="auto"/>
          <w:sz w:val="32"/>
          <w:szCs w:val="32"/>
          <w:highlight w:val="none"/>
          <w:lang w:val="en-US" w:eastAsia="zh-CN"/>
        </w:rPr>
        <w:t>区</w:t>
      </w:r>
      <w:r>
        <w:rPr>
          <w:rFonts w:hint="default" w:ascii="Times New Roman" w:hAnsi="Times New Roman" w:eastAsia="楷体_GB2312" w:cs="Times New Roman"/>
          <w:color w:val="auto"/>
          <w:sz w:val="32"/>
          <w:szCs w:val="32"/>
          <w:highlight w:val="none"/>
          <w:lang w:val="en"/>
        </w:rPr>
        <w:t>应急局、</w:t>
      </w:r>
      <w:r>
        <w:rPr>
          <w:rFonts w:hint="default" w:ascii="Times New Roman" w:hAnsi="Times New Roman" w:eastAsia="楷体_GB2312" w:cs="Times New Roman"/>
          <w:color w:val="auto"/>
          <w:sz w:val="32"/>
          <w:szCs w:val="32"/>
          <w:highlight w:val="none"/>
          <w:lang w:val="en-US" w:eastAsia="zh-CN"/>
        </w:rPr>
        <w:t>区综合行政执法局</w:t>
      </w:r>
      <w:r>
        <w:rPr>
          <w:rFonts w:hint="default" w:ascii="Times New Roman" w:hAnsi="Times New Roman" w:eastAsia="楷体_GB2312" w:cs="Times New Roman"/>
          <w:color w:val="auto"/>
          <w:sz w:val="32"/>
          <w:szCs w:val="32"/>
          <w:highlight w:val="none"/>
          <w:lang w:val="en"/>
        </w:rPr>
        <w:t>负责）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left="0" w:leftChars="0"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3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.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default" w:ascii="Times New Roman" w:hAnsi="Times New Roman" w:eastAsia="楷体_GB2312" w:cs="Times New Roman"/>
          <w:color w:val="auto"/>
          <w:sz w:val="32"/>
          <w:szCs w:val="32"/>
          <w:highlight w:val="none"/>
          <w:lang w:val="en"/>
        </w:rPr>
        <w:t>保护传承弘扬黄河文化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"/>
        </w:rPr>
        <w:t>。持续做好黄河非物质文化遗产保护开发，深入挖掘黄河文化与聊斋文化、陶琉文化的联系和发展脉络，持续完善淄川区非物质文化遗产保护名录体系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" w:eastAsia="zh-CN"/>
        </w:rPr>
        <w:t>，各级非遗项目数量达到200项、各级非遗项目代表性传承人数量达到150人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"/>
        </w:rPr>
        <w:t>。</w:t>
      </w:r>
      <w:r>
        <w:rPr>
          <w:rFonts w:hint="default" w:ascii="Times New Roman" w:hAnsi="Times New Roman" w:eastAsia="楷体_GB2312" w:cs="Times New Roman"/>
          <w:color w:val="auto"/>
          <w:sz w:val="32"/>
          <w:szCs w:val="32"/>
          <w:highlight w:val="none"/>
          <w:lang w:val="en"/>
        </w:rPr>
        <w:t>（</w:t>
      </w:r>
      <w:r>
        <w:rPr>
          <w:rFonts w:hint="default" w:ascii="Times New Roman" w:hAnsi="Times New Roman" w:eastAsia="楷体_GB2312" w:cs="Times New Roman"/>
          <w:color w:val="auto"/>
          <w:sz w:val="32"/>
          <w:szCs w:val="32"/>
          <w:highlight w:val="none"/>
          <w:lang w:val="en-US" w:eastAsia="zh-CN"/>
        </w:rPr>
        <w:t>区文旅局</w:t>
      </w:r>
      <w:r>
        <w:rPr>
          <w:rFonts w:hint="default" w:ascii="Times New Roman" w:hAnsi="Times New Roman" w:eastAsia="楷体_GB2312" w:cs="Times New Roman"/>
          <w:color w:val="auto"/>
          <w:sz w:val="32"/>
          <w:szCs w:val="32"/>
          <w:highlight w:val="none"/>
          <w:lang w:val="en"/>
        </w:rPr>
        <w:t>负责）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firstLine="640" w:firstLineChars="200"/>
        <w:textAlignment w:val="auto"/>
        <w:rPr>
          <w:rFonts w:hint="default" w:ascii="Times New Roman" w:hAnsi="Times New Roman" w:eastAsia="黑体" w:cs="Times New Roman"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黑体" w:cs="Times New Roman"/>
          <w:color w:val="auto"/>
          <w:sz w:val="32"/>
          <w:szCs w:val="32"/>
          <w:highlight w:val="none"/>
        </w:rPr>
        <w:t>六、提升城市建设治理水平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firstLine="640" w:firstLineChars="200"/>
        <w:textAlignment w:val="auto"/>
        <w:rPr>
          <w:rFonts w:hint="default" w:ascii="Times New Roman" w:hAnsi="Times New Roman" w:eastAsia="楷体_GB2312" w:cs="Times New Roman"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楷体_GB2312" w:cs="Times New Roman"/>
          <w:color w:val="auto"/>
          <w:sz w:val="32"/>
          <w:szCs w:val="32"/>
          <w:highlight w:val="none"/>
        </w:rPr>
        <w:t>3</w:t>
      </w:r>
      <w:r>
        <w:rPr>
          <w:rFonts w:hint="eastAsia" w:ascii="Times New Roman" w:hAnsi="Times New Roman" w:eastAsia="楷体_GB2312" w:cs="Times New Roman"/>
          <w:color w:val="auto"/>
          <w:sz w:val="32"/>
          <w:szCs w:val="32"/>
          <w:highlight w:val="none"/>
          <w:lang w:val="en-US" w:eastAsia="zh-CN"/>
        </w:rPr>
        <w:t>6</w:t>
      </w:r>
      <w:r>
        <w:rPr>
          <w:rFonts w:hint="default" w:ascii="Times New Roman" w:hAnsi="Times New Roman" w:eastAsia="楷体_GB2312" w:cs="Times New Roman"/>
          <w:color w:val="auto"/>
          <w:sz w:val="32"/>
          <w:szCs w:val="32"/>
          <w:highlight w:val="none"/>
        </w:rPr>
        <w:t>.</w:t>
      </w:r>
      <w:r>
        <w:rPr>
          <w:rFonts w:hint="eastAsia" w:ascii="Times New Roman" w:hAnsi="Times New Roman" w:eastAsia="楷体_GB2312" w:cs="Times New Roman"/>
          <w:color w:val="auto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default" w:ascii="Times New Roman" w:hAnsi="Times New Roman" w:eastAsia="楷体_GB2312" w:cs="Times New Roman"/>
          <w:color w:val="auto"/>
          <w:sz w:val="32"/>
          <w:szCs w:val="32"/>
          <w:highlight w:val="none"/>
        </w:rPr>
        <w:t>加快提升城市品质。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推进全域公园城市建设，加快构建“一心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、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两环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、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三带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、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四片区”公园城市生态空间。统筹推进全域公园城市建设“十大行动”，完成19个市级重点项目。围绕青年友好型城市建设，在特殊节日开展青年群体喜闻乐见的时尚活动，搭建更多消费场景，满足青年人日益增长的精神文化需求和消费需求。</w:t>
      </w:r>
      <w:r>
        <w:rPr>
          <w:rFonts w:hint="default" w:ascii="Times New Roman" w:hAnsi="Times New Roman" w:eastAsia="楷体_GB2312" w:cs="Times New Roman"/>
          <w:color w:val="auto"/>
          <w:sz w:val="32"/>
          <w:szCs w:val="32"/>
          <w:highlight w:val="none"/>
        </w:rPr>
        <w:t>（</w:t>
      </w:r>
      <w:r>
        <w:rPr>
          <w:rFonts w:hint="default" w:ascii="Times New Roman" w:hAnsi="Times New Roman" w:eastAsia="楷体_GB2312" w:cs="Times New Roman"/>
          <w:color w:val="auto"/>
          <w:sz w:val="32"/>
          <w:szCs w:val="32"/>
          <w:highlight w:val="none"/>
          <w:lang w:val="en-US" w:eastAsia="zh-CN"/>
        </w:rPr>
        <w:t>区住建</w:t>
      </w:r>
      <w:r>
        <w:rPr>
          <w:rFonts w:hint="default" w:ascii="Times New Roman" w:hAnsi="Times New Roman" w:eastAsia="楷体_GB2312" w:cs="Times New Roman"/>
          <w:color w:val="auto"/>
          <w:sz w:val="32"/>
          <w:szCs w:val="32"/>
          <w:highlight w:val="none"/>
          <w:lang w:val="en"/>
        </w:rPr>
        <w:t>局</w:t>
      </w:r>
      <w:r>
        <w:rPr>
          <w:rFonts w:hint="default" w:ascii="Times New Roman" w:hAnsi="Times New Roman" w:eastAsia="楷体_GB2312" w:cs="Times New Roman"/>
          <w:color w:val="auto"/>
          <w:sz w:val="32"/>
          <w:szCs w:val="32"/>
          <w:highlight w:val="none"/>
        </w:rPr>
        <w:t>牵头，</w:t>
      </w:r>
      <w:r>
        <w:rPr>
          <w:rFonts w:hint="default" w:ascii="Times New Roman" w:hAnsi="Times New Roman" w:eastAsia="楷体_GB2312" w:cs="Times New Roman"/>
          <w:color w:val="auto"/>
          <w:sz w:val="32"/>
          <w:szCs w:val="32"/>
          <w:highlight w:val="none"/>
          <w:lang w:val="en-US" w:eastAsia="zh-CN"/>
        </w:rPr>
        <w:t>团区委、区发改局</w:t>
      </w:r>
      <w:r>
        <w:rPr>
          <w:rFonts w:hint="default" w:ascii="Times New Roman" w:hAnsi="Times New Roman" w:eastAsia="楷体_GB2312" w:cs="Times New Roman"/>
          <w:color w:val="auto"/>
          <w:sz w:val="32"/>
          <w:szCs w:val="32"/>
          <w:highlight w:val="none"/>
        </w:rPr>
        <w:t>、</w:t>
      </w:r>
      <w:r>
        <w:rPr>
          <w:rFonts w:hint="default" w:ascii="Times New Roman" w:hAnsi="Times New Roman" w:eastAsia="楷体_GB2312" w:cs="Times New Roman"/>
          <w:color w:val="auto"/>
          <w:sz w:val="32"/>
          <w:szCs w:val="32"/>
          <w:highlight w:val="none"/>
          <w:lang w:val="en-US" w:eastAsia="zh-CN"/>
        </w:rPr>
        <w:t>区自然资源局、区规划办</w:t>
      </w:r>
      <w:r>
        <w:rPr>
          <w:rFonts w:hint="default" w:ascii="Times New Roman" w:hAnsi="Times New Roman" w:eastAsia="楷体_GB2312" w:cs="Times New Roman"/>
          <w:color w:val="auto"/>
          <w:sz w:val="32"/>
          <w:szCs w:val="32"/>
          <w:highlight w:val="none"/>
        </w:rPr>
        <w:t>、</w:t>
      </w:r>
      <w:r>
        <w:rPr>
          <w:rFonts w:hint="default" w:ascii="Times New Roman" w:hAnsi="Times New Roman" w:eastAsia="楷体_GB2312" w:cs="Times New Roman"/>
          <w:color w:val="auto"/>
          <w:sz w:val="32"/>
          <w:szCs w:val="32"/>
          <w:highlight w:val="none"/>
          <w:lang w:val="en-US" w:eastAsia="zh-CN"/>
        </w:rPr>
        <w:t>区综合行政执法局</w:t>
      </w:r>
      <w:r>
        <w:rPr>
          <w:rFonts w:hint="default" w:ascii="Times New Roman" w:hAnsi="Times New Roman" w:eastAsia="楷体_GB2312" w:cs="Times New Roman"/>
          <w:color w:val="auto"/>
          <w:sz w:val="32"/>
          <w:szCs w:val="32"/>
          <w:highlight w:val="none"/>
          <w:lang w:val="en"/>
        </w:rPr>
        <w:t>等部门</w:t>
      </w:r>
      <w:r>
        <w:rPr>
          <w:rFonts w:hint="default" w:ascii="Times New Roman" w:hAnsi="Times New Roman" w:eastAsia="楷体_GB2312" w:cs="Times New Roman"/>
          <w:color w:val="auto"/>
          <w:sz w:val="32"/>
          <w:szCs w:val="32"/>
          <w:highlight w:val="none"/>
        </w:rPr>
        <w:t>配合）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楷体_GB2312" w:cs="Times New Roman"/>
          <w:color w:val="auto"/>
          <w:sz w:val="32"/>
          <w:szCs w:val="32"/>
          <w:highlight w:val="none"/>
          <w:lang w:val="en-US" w:eastAsia="zh-CN"/>
        </w:rPr>
        <w:t>3</w:t>
      </w:r>
      <w:r>
        <w:rPr>
          <w:rFonts w:hint="eastAsia" w:ascii="Times New Roman" w:hAnsi="Times New Roman" w:eastAsia="楷体_GB2312" w:cs="Times New Roman"/>
          <w:color w:val="auto"/>
          <w:sz w:val="32"/>
          <w:szCs w:val="32"/>
          <w:highlight w:val="none"/>
          <w:lang w:val="en-US" w:eastAsia="zh-CN"/>
        </w:rPr>
        <w:t>7</w:t>
      </w:r>
      <w:r>
        <w:rPr>
          <w:rFonts w:hint="default" w:ascii="Times New Roman" w:hAnsi="Times New Roman" w:eastAsia="楷体_GB2312" w:cs="Times New Roman"/>
          <w:color w:val="auto"/>
          <w:sz w:val="32"/>
          <w:szCs w:val="32"/>
          <w:highlight w:val="none"/>
        </w:rPr>
        <w:t>.</w:t>
      </w:r>
      <w:r>
        <w:rPr>
          <w:rFonts w:hint="eastAsia" w:ascii="Times New Roman" w:hAnsi="Times New Roman" w:eastAsia="楷体_GB2312" w:cs="Times New Roman"/>
          <w:color w:val="auto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default" w:ascii="Times New Roman" w:hAnsi="Times New Roman" w:eastAsia="楷体_GB2312" w:cs="Times New Roman"/>
          <w:color w:val="auto"/>
          <w:sz w:val="32"/>
          <w:szCs w:val="32"/>
          <w:highlight w:val="none"/>
        </w:rPr>
        <w:t>推进智慧城市建设。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围绕“优政、惠民、兴业”，以全省四星级新型智慧城市试点创建为契机，深入推进新型智慧城市建设，打造一批智慧城市典型案例和数字应用场景，数字强区建设迈入全市先进行列。深化智慧监管“一张图”建设，立足监管模式和监管手段创新，拓展业务应用场景，实现对更多领域的精准、实时监管。</w:t>
      </w:r>
      <w:r>
        <w:rPr>
          <w:rFonts w:hint="default" w:ascii="Times New Roman" w:hAnsi="Times New Roman" w:eastAsia="楷体_GB2312" w:cs="Times New Roman"/>
          <w:color w:val="auto"/>
          <w:sz w:val="32"/>
          <w:szCs w:val="32"/>
          <w:highlight w:val="none"/>
        </w:rPr>
        <w:t>（</w:t>
      </w:r>
      <w:r>
        <w:rPr>
          <w:rFonts w:hint="default" w:ascii="Times New Roman" w:hAnsi="Times New Roman" w:eastAsia="楷体_GB2312" w:cs="Times New Roman"/>
          <w:color w:val="auto"/>
          <w:sz w:val="32"/>
          <w:szCs w:val="32"/>
          <w:highlight w:val="none"/>
          <w:lang w:val="en-US" w:eastAsia="zh-CN"/>
        </w:rPr>
        <w:t>区大数据中心</w:t>
      </w:r>
      <w:r>
        <w:rPr>
          <w:rFonts w:hint="default" w:ascii="Times New Roman" w:hAnsi="Times New Roman" w:eastAsia="楷体_GB2312" w:cs="Times New Roman"/>
          <w:color w:val="auto"/>
          <w:sz w:val="32"/>
          <w:szCs w:val="32"/>
          <w:highlight w:val="none"/>
        </w:rPr>
        <w:t>牵头，</w:t>
      </w:r>
      <w:r>
        <w:rPr>
          <w:rFonts w:hint="default" w:ascii="Times New Roman" w:hAnsi="Times New Roman" w:eastAsia="楷体_GB2312" w:cs="Times New Roman"/>
          <w:color w:val="auto"/>
          <w:sz w:val="32"/>
          <w:szCs w:val="32"/>
          <w:highlight w:val="none"/>
          <w:lang w:val="en-US" w:eastAsia="zh-CN"/>
        </w:rPr>
        <w:t>区综合行政执法局</w:t>
      </w:r>
      <w:r>
        <w:rPr>
          <w:rFonts w:hint="default" w:ascii="Times New Roman" w:hAnsi="Times New Roman" w:eastAsia="楷体_GB2312" w:cs="Times New Roman"/>
          <w:color w:val="auto"/>
          <w:sz w:val="32"/>
          <w:szCs w:val="32"/>
          <w:highlight w:val="none"/>
        </w:rPr>
        <w:t>等部门配合）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firstLine="640" w:firstLineChars="200"/>
        <w:textAlignment w:val="auto"/>
        <w:rPr>
          <w:rFonts w:hint="default" w:ascii="Times New Roman" w:hAnsi="Times New Roman" w:eastAsia="仿宋_GB2312" w:cs="Times New Roman"/>
          <w:snapToGrid w:val="0"/>
          <w:color w:val="auto"/>
          <w:sz w:val="32"/>
          <w:szCs w:val="32"/>
          <w:highlight w:val="none"/>
        </w:rPr>
      </w:pPr>
      <w:r>
        <w:rPr>
          <w:rFonts w:hint="eastAsia" w:ascii="Times New Roman" w:hAnsi="Times New Roman" w:eastAsia="楷体_GB2312" w:cs="Times New Roman"/>
          <w:color w:val="auto"/>
          <w:sz w:val="32"/>
          <w:szCs w:val="32"/>
          <w:highlight w:val="none"/>
          <w:lang w:val="en-US" w:eastAsia="zh-CN"/>
        </w:rPr>
        <w:t>38</w:t>
      </w:r>
      <w:r>
        <w:rPr>
          <w:rFonts w:hint="default" w:ascii="Times New Roman" w:hAnsi="Times New Roman" w:eastAsia="楷体_GB2312" w:cs="Times New Roman"/>
          <w:color w:val="auto"/>
          <w:sz w:val="32"/>
          <w:szCs w:val="32"/>
          <w:highlight w:val="none"/>
        </w:rPr>
        <w:t>.</w:t>
      </w:r>
      <w:r>
        <w:rPr>
          <w:rFonts w:hint="eastAsia" w:ascii="Times New Roman" w:hAnsi="Times New Roman" w:eastAsia="楷体_GB2312" w:cs="Times New Roman"/>
          <w:color w:val="auto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default" w:ascii="Times New Roman" w:hAnsi="Times New Roman" w:eastAsia="楷体_GB2312" w:cs="Times New Roman"/>
          <w:color w:val="auto"/>
          <w:sz w:val="32"/>
          <w:szCs w:val="32"/>
          <w:highlight w:val="none"/>
        </w:rPr>
        <w:t>稳步推进城市更新。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加快老旧小区改造，推动城市有机更新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，实施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洪山、钟楼2个片区15个小区改造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。完成城市建成区雨污合流制管网清零，建成区黑臭水体动态清零。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新增和改造提升园林绿地100公顷，建设社区游园（公园）、街头游园（口袋公园）10个以上，建设廊道7公里。</w:t>
      </w:r>
      <w:r>
        <w:rPr>
          <w:rFonts w:hint="default" w:ascii="Times New Roman" w:hAnsi="Times New Roman" w:eastAsia="楷体_GB2312" w:cs="Times New Roman"/>
          <w:color w:val="auto"/>
          <w:sz w:val="32"/>
          <w:szCs w:val="32"/>
          <w:highlight w:val="none"/>
        </w:rPr>
        <w:t>（</w:t>
      </w:r>
      <w:r>
        <w:rPr>
          <w:rFonts w:hint="default" w:ascii="Times New Roman" w:hAnsi="Times New Roman" w:eastAsia="楷体_GB2312" w:cs="Times New Roman"/>
          <w:color w:val="auto"/>
          <w:sz w:val="32"/>
          <w:szCs w:val="32"/>
          <w:highlight w:val="none"/>
          <w:lang w:val="en-US" w:eastAsia="zh-CN"/>
        </w:rPr>
        <w:t>区住建局</w:t>
      </w:r>
      <w:r>
        <w:rPr>
          <w:rFonts w:hint="default" w:ascii="Times New Roman" w:hAnsi="Times New Roman" w:eastAsia="楷体_GB2312" w:cs="Times New Roman"/>
          <w:color w:val="auto"/>
          <w:sz w:val="32"/>
          <w:szCs w:val="32"/>
          <w:highlight w:val="none"/>
        </w:rPr>
        <w:t>牵头，</w:t>
      </w:r>
      <w:r>
        <w:rPr>
          <w:rFonts w:hint="default" w:ascii="Times New Roman" w:hAnsi="Times New Roman" w:eastAsia="楷体_GB2312" w:cs="Times New Roman"/>
          <w:color w:val="auto"/>
          <w:sz w:val="32"/>
          <w:szCs w:val="32"/>
          <w:highlight w:val="none"/>
          <w:lang w:val="en-US" w:eastAsia="zh-CN"/>
        </w:rPr>
        <w:t>区</w:t>
      </w:r>
      <w:r>
        <w:rPr>
          <w:rFonts w:hint="default" w:ascii="Times New Roman" w:hAnsi="Times New Roman" w:eastAsia="楷体_GB2312" w:cs="Times New Roman"/>
          <w:color w:val="auto"/>
          <w:sz w:val="32"/>
          <w:szCs w:val="32"/>
          <w:highlight w:val="none"/>
        </w:rPr>
        <w:t>生态环境</w:t>
      </w:r>
      <w:r>
        <w:rPr>
          <w:rFonts w:hint="default" w:ascii="Times New Roman" w:hAnsi="Times New Roman" w:eastAsia="楷体_GB2312" w:cs="Times New Roman"/>
          <w:color w:val="auto"/>
          <w:sz w:val="32"/>
          <w:szCs w:val="32"/>
          <w:highlight w:val="none"/>
          <w:lang w:val="en-US" w:eastAsia="zh-CN"/>
        </w:rPr>
        <w:t>分</w:t>
      </w:r>
      <w:r>
        <w:rPr>
          <w:rFonts w:hint="default" w:ascii="Times New Roman" w:hAnsi="Times New Roman" w:eastAsia="楷体_GB2312" w:cs="Times New Roman"/>
          <w:color w:val="auto"/>
          <w:sz w:val="32"/>
          <w:szCs w:val="32"/>
          <w:highlight w:val="none"/>
        </w:rPr>
        <w:t>局、</w:t>
      </w:r>
      <w:r>
        <w:rPr>
          <w:rFonts w:hint="default" w:ascii="Times New Roman" w:hAnsi="Times New Roman" w:eastAsia="楷体_GB2312" w:cs="Times New Roman"/>
          <w:color w:val="auto"/>
          <w:sz w:val="32"/>
          <w:szCs w:val="32"/>
          <w:highlight w:val="none"/>
          <w:lang w:val="en-US" w:eastAsia="zh-CN"/>
        </w:rPr>
        <w:t>区综合行政执法局</w:t>
      </w:r>
      <w:r>
        <w:rPr>
          <w:rFonts w:hint="default" w:ascii="Times New Roman" w:hAnsi="Times New Roman" w:eastAsia="楷体_GB2312" w:cs="Times New Roman"/>
          <w:color w:val="auto"/>
          <w:sz w:val="32"/>
          <w:szCs w:val="32"/>
          <w:highlight w:val="none"/>
        </w:rPr>
        <w:t>等部门配合）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left="0" w:leftChars="0" w:firstLine="640" w:firstLineChars="200"/>
        <w:textAlignment w:val="auto"/>
        <w:rPr>
          <w:rFonts w:hint="default" w:ascii="Times New Roman" w:hAnsi="Times New Roman" w:eastAsia="仿宋_GB2312" w:cs="Times New Roman"/>
          <w:color w:val="C00000"/>
          <w:sz w:val="32"/>
          <w:szCs w:val="32"/>
          <w:highlight w:val="none"/>
        </w:rPr>
      </w:pPr>
      <w:r>
        <w:rPr>
          <w:rFonts w:hint="eastAsia" w:ascii="Times New Roman" w:hAnsi="Times New Roman" w:eastAsia="楷体_GB2312" w:cs="Times New Roman"/>
          <w:color w:val="auto"/>
          <w:sz w:val="32"/>
          <w:szCs w:val="32"/>
          <w:highlight w:val="none"/>
          <w:lang w:val="en-US" w:eastAsia="zh-CN"/>
        </w:rPr>
        <w:t>39</w:t>
      </w:r>
      <w:r>
        <w:rPr>
          <w:rFonts w:hint="default" w:ascii="Times New Roman" w:hAnsi="Times New Roman" w:eastAsia="楷体_GB2312" w:cs="Times New Roman"/>
          <w:color w:val="auto"/>
          <w:sz w:val="32"/>
          <w:szCs w:val="32"/>
          <w:highlight w:val="none"/>
        </w:rPr>
        <w:t>.</w:t>
      </w:r>
      <w:r>
        <w:rPr>
          <w:rFonts w:hint="eastAsia" w:ascii="Times New Roman" w:hAnsi="Times New Roman" w:eastAsia="楷体_GB2312" w:cs="Times New Roman"/>
          <w:color w:val="auto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default" w:ascii="Times New Roman" w:hAnsi="Times New Roman" w:eastAsia="楷体_GB2312" w:cs="Times New Roman"/>
          <w:color w:val="auto"/>
          <w:sz w:val="32"/>
          <w:szCs w:val="32"/>
          <w:highlight w:val="none"/>
        </w:rPr>
        <w:t>推进城乡融合发展。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推进国家城乡融合发展试验区建设，落实农村产权交易管理办法，畅通城乡要素流动。持续推进高品质民生建设三年攻坚行动，常住人口城镇化率进一步提升。加快小城镇和省级特色小镇建设。</w:t>
      </w:r>
      <w:r>
        <w:rPr>
          <w:rFonts w:hint="default" w:ascii="Times New Roman" w:hAnsi="Times New Roman" w:eastAsia="楷体_GB2312" w:cs="Times New Roman"/>
          <w:color w:val="auto"/>
          <w:sz w:val="32"/>
          <w:szCs w:val="32"/>
          <w:highlight w:val="none"/>
        </w:rPr>
        <w:t>（区发改局、区住建局牵头，区教体局、区民政局、区人社局、区农业农村局、区卫健局等部门配合）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left="0" w:leftChars="0" w:firstLine="640" w:firstLineChars="200"/>
        <w:textAlignment w:val="auto"/>
        <w:rPr>
          <w:rFonts w:hint="default" w:ascii="Times New Roman" w:hAnsi="Times New Roman" w:eastAsia="黑体" w:cs="Times New Roman"/>
          <w:color w:val="auto"/>
          <w:sz w:val="32"/>
          <w:szCs w:val="32"/>
          <w:highlight w:val="none"/>
          <w:u w:val="single"/>
        </w:rPr>
      </w:pPr>
      <w:r>
        <w:rPr>
          <w:rFonts w:hint="default" w:ascii="Times New Roman" w:hAnsi="Times New Roman" w:eastAsia="黑体" w:cs="Times New Roman"/>
          <w:color w:val="auto"/>
          <w:sz w:val="32"/>
          <w:szCs w:val="32"/>
          <w:highlight w:val="none"/>
          <w:u w:val="none"/>
        </w:rPr>
        <w:t>七、打造乡村振兴齐鲁样板</w:t>
      </w:r>
      <w:r>
        <w:rPr>
          <w:rFonts w:hint="default" w:ascii="Times New Roman" w:hAnsi="Times New Roman" w:eastAsia="黑体" w:cs="Times New Roman"/>
          <w:color w:val="auto"/>
          <w:sz w:val="32"/>
          <w:szCs w:val="32"/>
          <w:highlight w:val="none"/>
          <w:u w:val="none"/>
          <w:lang w:eastAsia="zh-CN"/>
        </w:rPr>
        <w:t>淄川</w:t>
      </w:r>
      <w:r>
        <w:rPr>
          <w:rFonts w:hint="default" w:ascii="Times New Roman" w:hAnsi="Times New Roman" w:eastAsia="黑体" w:cs="Times New Roman"/>
          <w:color w:val="auto"/>
          <w:sz w:val="32"/>
          <w:szCs w:val="32"/>
          <w:highlight w:val="none"/>
          <w:u w:val="none"/>
        </w:rPr>
        <w:t>特色板块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left="0" w:leftChars="0" w:firstLine="640" w:firstLineChars="200"/>
        <w:textAlignment w:val="auto"/>
        <w:rPr>
          <w:rFonts w:hint="default" w:ascii="Times New Roman" w:hAnsi="Times New Roman" w:eastAsia="仿宋_GB2312" w:cs="Times New Roman"/>
          <w:strike w:val="0"/>
          <w:dstrike w:val="0"/>
          <w:color w:val="auto"/>
          <w:sz w:val="32"/>
          <w:szCs w:val="32"/>
          <w:highlight w:val="none"/>
          <w:u w:val="none"/>
        </w:rPr>
      </w:pPr>
      <w:r>
        <w:rPr>
          <w:rFonts w:hint="default" w:ascii="Times New Roman" w:hAnsi="Times New Roman" w:eastAsia="楷体_GB2312" w:cs="Times New Roman"/>
          <w:strike w:val="0"/>
          <w:dstrike w:val="0"/>
          <w:color w:val="auto"/>
          <w:sz w:val="32"/>
          <w:szCs w:val="32"/>
          <w:highlight w:val="none"/>
          <w:u w:val="none"/>
        </w:rPr>
        <w:t>4</w:t>
      </w:r>
      <w:r>
        <w:rPr>
          <w:rFonts w:hint="eastAsia" w:ascii="Times New Roman" w:hAnsi="Times New Roman" w:eastAsia="楷体_GB2312" w:cs="Times New Roman"/>
          <w:strike w:val="0"/>
          <w:dstrike w:val="0"/>
          <w:color w:val="auto"/>
          <w:sz w:val="32"/>
          <w:szCs w:val="32"/>
          <w:highlight w:val="none"/>
          <w:u w:val="none"/>
          <w:lang w:val="en-US" w:eastAsia="zh-CN"/>
        </w:rPr>
        <w:t xml:space="preserve">0. </w:t>
      </w:r>
      <w:r>
        <w:rPr>
          <w:rFonts w:hint="default" w:ascii="Times New Roman" w:hAnsi="Times New Roman" w:eastAsia="楷体_GB2312" w:cs="Times New Roman"/>
          <w:strike w:val="0"/>
          <w:dstrike w:val="0"/>
          <w:color w:val="auto"/>
          <w:sz w:val="32"/>
          <w:szCs w:val="32"/>
          <w:highlight w:val="none"/>
          <w:u w:val="none"/>
        </w:rPr>
        <w:t>推进乡村全面振兴</w:t>
      </w:r>
      <w:r>
        <w:rPr>
          <w:rFonts w:hint="default" w:ascii="Times New Roman" w:hAnsi="Times New Roman" w:eastAsia="仿宋_GB2312" w:cs="Times New Roman"/>
          <w:strike w:val="0"/>
          <w:dstrike w:val="0"/>
          <w:color w:val="auto"/>
          <w:sz w:val="32"/>
          <w:szCs w:val="32"/>
          <w:highlight w:val="none"/>
          <w:u w:val="none"/>
        </w:rPr>
        <w:t>。</w:t>
      </w:r>
      <w:r>
        <w:rPr>
          <w:rFonts w:hint="default" w:ascii="Times New Roman" w:hAnsi="Times New Roman" w:eastAsia="仿宋_GB2312" w:cs="Times New Roman"/>
          <w:strike w:val="0"/>
          <w:dstrike w:val="0"/>
          <w:color w:val="auto"/>
          <w:sz w:val="32"/>
          <w:szCs w:val="32"/>
          <w:highlight w:val="none"/>
          <w:u w:val="none"/>
          <w:lang w:eastAsia="zh-CN"/>
        </w:rPr>
        <w:t>落实市</w:t>
      </w:r>
      <w:r>
        <w:rPr>
          <w:rFonts w:hint="default" w:ascii="Times New Roman" w:hAnsi="Times New Roman" w:eastAsia="仿宋_GB2312" w:cs="Times New Roman"/>
          <w:strike w:val="0"/>
          <w:dstrike w:val="0"/>
          <w:color w:val="auto"/>
          <w:sz w:val="32"/>
          <w:szCs w:val="32"/>
          <w:highlight w:val="none"/>
          <w:u w:val="none"/>
        </w:rPr>
        <w:t>乡村振兴差异化推进机制，</w:t>
      </w:r>
      <w:r>
        <w:rPr>
          <w:rFonts w:hint="default" w:ascii="Times New Roman" w:hAnsi="Times New Roman" w:eastAsia="仿宋_GB2312" w:cs="Times New Roman"/>
          <w:strike w:val="0"/>
          <w:dstrike w:val="0"/>
          <w:color w:val="auto"/>
          <w:sz w:val="32"/>
          <w:szCs w:val="32"/>
          <w:highlight w:val="none"/>
          <w:u w:val="none"/>
          <w:lang w:eastAsia="zh-CN"/>
        </w:rPr>
        <w:t>立足</w:t>
      </w:r>
      <w:r>
        <w:rPr>
          <w:rFonts w:hint="default" w:ascii="Times New Roman" w:hAnsi="Times New Roman" w:eastAsia="仿宋_GB2312" w:cs="Times New Roman"/>
          <w:strike w:val="0"/>
          <w:dstrike w:val="0"/>
          <w:color w:val="auto"/>
          <w:sz w:val="32"/>
          <w:szCs w:val="32"/>
          <w:highlight w:val="none"/>
          <w:u w:val="none"/>
        </w:rPr>
        <w:t>淄川区率先发展类</w:t>
      </w:r>
      <w:r>
        <w:rPr>
          <w:rFonts w:hint="default" w:ascii="Times New Roman" w:hAnsi="Times New Roman" w:eastAsia="仿宋_GB2312" w:cs="Times New Roman"/>
          <w:strike w:val="0"/>
          <w:dstrike w:val="0"/>
          <w:color w:val="auto"/>
          <w:sz w:val="32"/>
          <w:szCs w:val="32"/>
          <w:highlight w:val="none"/>
          <w:u w:val="none"/>
          <w:lang w:eastAsia="zh-CN"/>
        </w:rPr>
        <w:t>定位</w:t>
      </w:r>
      <w:r>
        <w:rPr>
          <w:rFonts w:hint="default" w:ascii="Times New Roman" w:hAnsi="Times New Roman" w:eastAsia="仿宋_GB2312" w:cs="Times New Roman"/>
          <w:strike w:val="0"/>
          <w:dstrike w:val="0"/>
          <w:color w:val="auto"/>
          <w:sz w:val="32"/>
          <w:szCs w:val="32"/>
          <w:highlight w:val="none"/>
          <w:u w:val="none"/>
        </w:rPr>
        <w:t>，重点实施整</w:t>
      </w:r>
      <w:r>
        <w:rPr>
          <w:rFonts w:hint="default" w:ascii="Times New Roman" w:hAnsi="Times New Roman" w:eastAsia="仿宋_GB2312" w:cs="Times New Roman"/>
          <w:strike w:val="0"/>
          <w:dstrike w:val="0"/>
          <w:color w:val="auto"/>
          <w:sz w:val="32"/>
          <w:szCs w:val="32"/>
          <w:highlight w:val="none"/>
          <w:u w:val="none"/>
          <w:lang w:eastAsia="zh-CN"/>
        </w:rPr>
        <w:t>区</w:t>
      </w:r>
      <w:r>
        <w:rPr>
          <w:rFonts w:hint="default" w:ascii="Times New Roman" w:hAnsi="Times New Roman" w:eastAsia="仿宋_GB2312" w:cs="Times New Roman"/>
          <w:strike w:val="0"/>
          <w:dstrike w:val="0"/>
          <w:color w:val="auto"/>
          <w:sz w:val="32"/>
          <w:szCs w:val="32"/>
          <w:highlight w:val="none"/>
          <w:u w:val="none"/>
        </w:rPr>
        <w:t>推进。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pacing w:val="0"/>
          <w:kern w:val="21"/>
          <w:sz w:val="32"/>
          <w:szCs w:val="34"/>
          <w:highlight w:val="none"/>
          <w:u w:val="none"/>
          <w:lang w:val="en-US" w:eastAsia="zh-CN" w:bidi="ar-SA"/>
        </w:rPr>
        <w:t>启动文峰孝水乡村振兴（城乡融合型）示范片区、峨庄乡村振兴（山区风貌型）示范片区规划建设，加快推进“硒谷琉园”乡村振兴齐鲁样板省级示范区建设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pacing w:val="0"/>
          <w:kern w:val="21"/>
          <w:sz w:val="32"/>
          <w:szCs w:val="34"/>
          <w:highlight w:val="none"/>
          <w:u w:val="none"/>
          <w:lang w:val="en-US" w:eastAsia="zh-CN" w:bidi="ar-SA"/>
        </w:rPr>
        <w:t>，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pacing w:val="0"/>
          <w:kern w:val="21"/>
          <w:sz w:val="32"/>
          <w:szCs w:val="34"/>
          <w:highlight w:val="none"/>
          <w:u w:val="none"/>
          <w:lang w:val="en-US" w:eastAsia="zh-CN" w:bidi="ar-SA"/>
        </w:rPr>
        <w:t>打造特色突出、带动强劲的乡村振兴样板。</w:t>
      </w:r>
      <w:r>
        <w:rPr>
          <w:rFonts w:hint="default" w:ascii="Times New Roman" w:hAnsi="Times New Roman" w:eastAsia="仿宋_GB2312" w:cs="Times New Roman"/>
          <w:kern w:val="21"/>
          <w:sz w:val="32"/>
          <w:szCs w:val="34"/>
          <w:lang w:val="en-US" w:eastAsia="zh-CN"/>
        </w:rPr>
        <w:t>持续开展村庄清洁行动，创建省级美丽乡村示范村4个，新增区级人居环境示范片9个、示范村40个。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none"/>
        </w:rPr>
        <w:t>加快农村基础设施网建设，深化农村人居环境整治提升五年行动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u w:val="none"/>
          <w:lang w:eastAsia="zh-CN"/>
        </w:rPr>
        <w:t>，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pacing w:val="0"/>
          <w:kern w:val="21"/>
          <w:sz w:val="32"/>
          <w:szCs w:val="34"/>
          <w:highlight w:val="none"/>
          <w:u w:val="none"/>
          <w:lang w:val="en-US" w:eastAsia="zh-CN" w:bidi="ar-SA"/>
        </w:rPr>
        <w:t>持续提升村貌整治。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none"/>
        </w:rPr>
        <w:t>（</w:t>
      </w:r>
      <w:r>
        <w:rPr>
          <w:rFonts w:hint="default" w:ascii="Times New Roman" w:hAnsi="Times New Roman" w:eastAsia="楷体_GB2312" w:cs="Times New Roman"/>
          <w:color w:val="auto"/>
          <w:sz w:val="32"/>
          <w:szCs w:val="32"/>
          <w:highlight w:val="none"/>
          <w:u w:val="none"/>
          <w:lang w:val="en-US" w:eastAsia="zh-CN"/>
        </w:rPr>
        <w:t>区</w:t>
      </w:r>
      <w:r>
        <w:rPr>
          <w:rFonts w:hint="default" w:ascii="Times New Roman" w:hAnsi="Times New Roman" w:eastAsia="楷体_GB2312" w:cs="Times New Roman"/>
          <w:color w:val="auto"/>
          <w:sz w:val="32"/>
          <w:szCs w:val="32"/>
          <w:highlight w:val="none"/>
          <w:u w:val="none"/>
        </w:rPr>
        <w:t>农业农村局牵头，</w:t>
      </w:r>
      <w:r>
        <w:rPr>
          <w:rFonts w:hint="default" w:ascii="Times New Roman" w:hAnsi="Times New Roman" w:eastAsia="楷体_GB2312" w:cs="Times New Roman"/>
          <w:strike w:val="0"/>
          <w:dstrike w:val="0"/>
          <w:color w:val="auto"/>
          <w:sz w:val="32"/>
          <w:szCs w:val="32"/>
          <w:highlight w:val="none"/>
          <w:u w:val="none"/>
          <w:lang w:val="en-US" w:eastAsia="zh-CN"/>
        </w:rPr>
        <w:t>区</w:t>
      </w:r>
      <w:r>
        <w:rPr>
          <w:rFonts w:hint="default" w:ascii="Times New Roman" w:hAnsi="Times New Roman" w:eastAsia="楷体_GB2312" w:cs="Times New Roman"/>
          <w:strike w:val="0"/>
          <w:dstrike w:val="0"/>
          <w:color w:val="auto"/>
          <w:sz w:val="32"/>
          <w:szCs w:val="32"/>
          <w:highlight w:val="none"/>
          <w:u w:val="none"/>
        </w:rPr>
        <w:t>委组织部</w:t>
      </w:r>
      <w:r>
        <w:rPr>
          <w:rFonts w:hint="default" w:ascii="Times New Roman" w:hAnsi="Times New Roman" w:eastAsia="楷体_GB2312" w:cs="Times New Roman"/>
          <w:strike w:val="0"/>
          <w:dstrike w:val="0"/>
          <w:color w:val="auto"/>
          <w:sz w:val="32"/>
          <w:szCs w:val="32"/>
          <w:highlight w:val="none"/>
          <w:u w:val="none"/>
          <w:lang w:eastAsia="zh-CN"/>
        </w:rPr>
        <w:t>、</w:t>
      </w:r>
      <w:r>
        <w:rPr>
          <w:rFonts w:hint="default" w:ascii="Times New Roman" w:hAnsi="Times New Roman" w:eastAsia="楷体_GB2312" w:cs="Times New Roman"/>
          <w:strike w:val="0"/>
          <w:dstrike w:val="0"/>
          <w:color w:val="auto"/>
          <w:sz w:val="32"/>
          <w:szCs w:val="32"/>
          <w:highlight w:val="none"/>
          <w:u w:val="none"/>
          <w:lang w:val="en-US" w:eastAsia="zh-CN"/>
        </w:rPr>
        <w:t>区</w:t>
      </w:r>
      <w:r>
        <w:rPr>
          <w:rFonts w:hint="default" w:ascii="Times New Roman" w:hAnsi="Times New Roman" w:eastAsia="楷体_GB2312" w:cs="Times New Roman"/>
          <w:strike w:val="0"/>
          <w:dstrike w:val="0"/>
          <w:color w:val="auto"/>
          <w:sz w:val="32"/>
          <w:szCs w:val="32"/>
          <w:highlight w:val="none"/>
          <w:u w:val="none"/>
        </w:rPr>
        <w:t>委宣传部、</w:t>
      </w:r>
      <w:r>
        <w:rPr>
          <w:rFonts w:hint="default" w:ascii="Times New Roman" w:hAnsi="Times New Roman" w:eastAsia="楷体_GB2312" w:cs="Times New Roman"/>
          <w:color w:val="auto"/>
          <w:sz w:val="32"/>
          <w:szCs w:val="32"/>
          <w:highlight w:val="none"/>
          <w:u w:val="none"/>
          <w:lang w:val="en-US" w:eastAsia="zh-CN"/>
        </w:rPr>
        <w:t>区发改局</w:t>
      </w:r>
      <w:r>
        <w:rPr>
          <w:rFonts w:hint="default" w:ascii="Times New Roman" w:hAnsi="Times New Roman" w:eastAsia="楷体_GB2312" w:cs="Times New Roman"/>
          <w:color w:val="auto"/>
          <w:sz w:val="32"/>
          <w:szCs w:val="32"/>
          <w:highlight w:val="none"/>
          <w:u w:val="none"/>
        </w:rPr>
        <w:t>、</w:t>
      </w:r>
      <w:r>
        <w:rPr>
          <w:rFonts w:hint="default" w:ascii="Times New Roman" w:hAnsi="Times New Roman" w:eastAsia="楷体_GB2312" w:cs="Times New Roman"/>
          <w:color w:val="auto"/>
          <w:sz w:val="32"/>
          <w:szCs w:val="32"/>
          <w:highlight w:val="none"/>
          <w:u w:val="none"/>
          <w:lang w:val="en-US" w:eastAsia="zh-CN"/>
        </w:rPr>
        <w:t>区</w:t>
      </w:r>
      <w:r>
        <w:rPr>
          <w:rFonts w:hint="default" w:ascii="Times New Roman" w:hAnsi="Times New Roman" w:eastAsia="楷体_GB2312" w:cs="Times New Roman"/>
          <w:color w:val="auto"/>
          <w:sz w:val="32"/>
          <w:szCs w:val="32"/>
          <w:highlight w:val="none"/>
          <w:u w:val="none"/>
        </w:rPr>
        <w:t>生态环境</w:t>
      </w:r>
      <w:r>
        <w:rPr>
          <w:rFonts w:hint="default" w:ascii="Times New Roman" w:hAnsi="Times New Roman" w:eastAsia="楷体_GB2312" w:cs="Times New Roman"/>
          <w:color w:val="auto"/>
          <w:sz w:val="32"/>
          <w:szCs w:val="32"/>
          <w:highlight w:val="none"/>
          <w:u w:val="none"/>
          <w:lang w:val="en-US" w:eastAsia="zh-CN"/>
        </w:rPr>
        <w:t>分</w:t>
      </w:r>
      <w:r>
        <w:rPr>
          <w:rFonts w:hint="default" w:ascii="Times New Roman" w:hAnsi="Times New Roman" w:eastAsia="楷体_GB2312" w:cs="Times New Roman"/>
          <w:color w:val="auto"/>
          <w:sz w:val="32"/>
          <w:szCs w:val="32"/>
          <w:highlight w:val="none"/>
          <w:u w:val="none"/>
        </w:rPr>
        <w:t>局、</w:t>
      </w:r>
      <w:r>
        <w:rPr>
          <w:rFonts w:hint="default" w:ascii="Times New Roman" w:hAnsi="Times New Roman" w:eastAsia="楷体_GB2312" w:cs="Times New Roman"/>
          <w:color w:val="auto"/>
          <w:sz w:val="32"/>
          <w:szCs w:val="32"/>
          <w:highlight w:val="none"/>
          <w:u w:val="none"/>
          <w:lang w:val="en-US" w:eastAsia="zh-CN"/>
        </w:rPr>
        <w:t>区住建</w:t>
      </w:r>
      <w:r>
        <w:rPr>
          <w:rFonts w:hint="default" w:ascii="Times New Roman" w:hAnsi="Times New Roman" w:eastAsia="楷体_GB2312" w:cs="Times New Roman"/>
          <w:color w:val="auto"/>
          <w:sz w:val="32"/>
          <w:szCs w:val="32"/>
          <w:highlight w:val="none"/>
          <w:u w:val="none"/>
        </w:rPr>
        <w:t>局、</w:t>
      </w:r>
      <w:r>
        <w:rPr>
          <w:rFonts w:hint="default" w:ascii="Times New Roman" w:hAnsi="Times New Roman" w:eastAsia="楷体_GB2312" w:cs="Times New Roman"/>
          <w:color w:val="auto"/>
          <w:sz w:val="32"/>
          <w:szCs w:val="32"/>
          <w:highlight w:val="none"/>
          <w:u w:val="none"/>
          <w:lang w:val="en-US" w:eastAsia="zh-CN"/>
        </w:rPr>
        <w:t>区</w:t>
      </w:r>
      <w:r>
        <w:rPr>
          <w:rFonts w:hint="default" w:ascii="Times New Roman" w:hAnsi="Times New Roman" w:eastAsia="楷体_GB2312" w:cs="Times New Roman"/>
          <w:color w:val="auto"/>
          <w:sz w:val="32"/>
          <w:szCs w:val="32"/>
          <w:highlight w:val="none"/>
          <w:u w:val="none"/>
        </w:rPr>
        <w:t>卫健</w:t>
      </w:r>
      <w:r>
        <w:rPr>
          <w:rFonts w:hint="default" w:ascii="Times New Roman" w:hAnsi="Times New Roman" w:eastAsia="楷体_GB2312" w:cs="Times New Roman"/>
          <w:color w:val="auto"/>
          <w:sz w:val="32"/>
          <w:szCs w:val="32"/>
          <w:highlight w:val="none"/>
          <w:u w:val="none"/>
          <w:lang w:val="en-US" w:eastAsia="zh-CN"/>
        </w:rPr>
        <w:t>局</w:t>
      </w:r>
      <w:r>
        <w:rPr>
          <w:rFonts w:hint="default" w:ascii="Times New Roman" w:hAnsi="Times New Roman" w:eastAsia="楷体_GB2312" w:cs="Times New Roman"/>
          <w:color w:val="auto"/>
          <w:sz w:val="32"/>
          <w:szCs w:val="32"/>
          <w:highlight w:val="none"/>
          <w:u w:val="none"/>
        </w:rPr>
        <w:t>等部门配合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none"/>
        </w:rPr>
        <w:t>）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left="0" w:leftChars="0"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none"/>
        </w:rPr>
      </w:pPr>
      <w:r>
        <w:rPr>
          <w:rFonts w:hint="default" w:ascii="Times New Roman" w:hAnsi="Times New Roman" w:eastAsia="楷体_GB2312" w:cs="Times New Roman"/>
          <w:color w:val="auto"/>
          <w:sz w:val="32"/>
          <w:szCs w:val="32"/>
          <w:highlight w:val="none"/>
          <w:u w:val="none"/>
        </w:rPr>
        <w:t>4</w:t>
      </w:r>
      <w:r>
        <w:rPr>
          <w:rFonts w:hint="eastAsia" w:ascii="Times New Roman" w:hAnsi="Times New Roman" w:eastAsia="楷体_GB2312" w:cs="Times New Roman"/>
          <w:color w:val="auto"/>
          <w:sz w:val="32"/>
          <w:szCs w:val="32"/>
          <w:highlight w:val="none"/>
          <w:u w:val="none"/>
          <w:lang w:val="en-US" w:eastAsia="zh-CN"/>
        </w:rPr>
        <w:t>1</w:t>
      </w:r>
      <w:r>
        <w:rPr>
          <w:rFonts w:hint="default" w:ascii="Times New Roman" w:hAnsi="Times New Roman" w:eastAsia="楷体_GB2312" w:cs="Times New Roman"/>
          <w:color w:val="auto"/>
          <w:sz w:val="32"/>
          <w:szCs w:val="32"/>
          <w:highlight w:val="none"/>
          <w:u w:val="none"/>
        </w:rPr>
        <w:t>.</w:t>
      </w:r>
      <w:r>
        <w:rPr>
          <w:rFonts w:hint="eastAsia" w:ascii="Times New Roman" w:hAnsi="Times New Roman" w:eastAsia="楷体_GB2312" w:cs="Times New Roman"/>
          <w:color w:val="auto"/>
          <w:sz w:val="32"/>
          <w:szCs w:val="32"/>
          <w:highlight w:val="none"/>
          <w:u w:val="none"/>
          <w:lang w:val="en-US" w:eastAsia="zh-CN"/>
        </w:rPr>
        <w:t xml:space="preserve"> </w:t>
      </w:r>
      <w:r>
        <w:rPr>
          <w:rFonts w:hint="default" w:ascii="Times New Roman" w:hAnsi="Times New Roman" w:eastAsia="楷体_GB2312" w:cs="Times New Roman"/>
          <w:color w:val="auto"/>
          <w:sz w:val="32"/>
          <w:szCs w:val="32"/>
          <w:highlight w:val="none"/>
          <w:u w:val="none"/>
        </w:rPr>
        <w:t>构建农业稳产保供体系。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none"/>
        </w:rPr>
        <w:t>全面落实粮食安全党政同责要求，全力确保全年粮食播种面积稳定在20万亩以上，大豆播种面积完成6000亩以上，粮食产量保持在5.5万吨以上。构建多元化食物供给体系，蔬菜、水果产量分别稳定在2.8万吨、2.4万吨以上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u w:val="none"/>
          <w:lang w:eastAsia="zh-CN"/>
        </w:rPr>
        <w:t>，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none"/>
        </w:rPr>
        <w:t>畜禽规模化养殖达到85%以上，肉蛋奶总产稳定在2万吨以上。（</w:t>
      </w:r>
      <w:r>
        <w:rPr>
          <w:rFonts w:hint="default" w:ascii="Times New Roman" w:hAnsi="Times New Roman" w:eastAsia="楷体_GB2312" w:cs="Times New Roman"/>
          <w:color w:val="auto"/>
          <w:sz w:val="32"/>
          <w:szCs w:val="32"/>
          <w:highlight w:val="none"/>
          <w:u w:val="none"/>
          <w:lang w:val="en-US" w:eastAsia="zh-CN"/>
        </w:rPr>
        <w:t>区</w:t>
      </w:r>
      <w:r>
        <w:rPr>
          <w:rFonts w:hint="default" w:ascii="Times New Roman" w:hAnsi="Times New Roman" w:eastAsia="楷体_GB2312" w:cs="Times New Roman"/>
          <w:color w:val="auto"/>
          <w:sz w:val="32"/>
          <w:szCs w:val="32"/>
          <w:highlight w:val="none"/>
          <w:u w:val="none"/>
        </w:rPr>
        <w:t>农业农村局负责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none"/>
        </w:rPr>
        <w:t>）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left="0" w:leftChars="0" w:firstLine="640" w:firstLineChars="200"/>
        <w:textAlignment w:val="auto"/>
        <w:rPr>
          <w:rFonts w:hint="default" w:ascii="Times New Roman" w:hAnsi="Times New Roman" w:eastAsia="楷体_GB2312" w:cs="Times New Roman"/>
          <w:color w:val="auto"/>
          <w:sz w:val="32"/>
          <w:szCs w:val="32"/>
          <w:highlight w:val="none"/>
          <w:u w:val="none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auto"/>
          <w:spacing w:val="0"/>
          <w:kern w:val="21"/>
          <w:sz w:val="32"/>
          <w:szCs w:val="34"/>
          <w:highlight w:val="none"/>
          <w:u w:val="none"/>
          <w:lang w:val="en-US" w:eastAsia="zh-CN"/>
        </w:rPr>
        <w:t>4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pacing w:val="0"/>
          <w:kern w:val="21"/>
          <w:sz w:val="32"/>
          <w:szCs w:val="34"/>
          <w:highlight w:val="none"/>
          <w:u w:val="none"/>
          <w:lang w:val="en-US" w:eastAsia="zh-CN"/>
        </w:rPr>
        <w:t>2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pacing w:val="0"/>
          <w:kern w:val="21"/>
          <w:sz w:val="32"/>
          <w:szCs w:val="34"/>
          <w:highlight w:val="none"/>
          <w:u w:val="none"/>
          <w:lang w:val="en-US" w:eastAsia="zh-CN"/>
        </w:rPr>
        <w:t>.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pacing w:val="0"/>
          <w:kern w:val="21"/>
          <w:sz w:val="32"/>
          <w:szCs w:val="34"/>
          <w:highlight w:val="none"/>
          <w:u w:val="none"/>
          <w:lang w:val="en-US" w:eastAsia="zh-CN"/>
        </w:rPr>
        <w:t xml:space="preserve"> </w:t>
      </w:r>
      <w:r>
        <w:rPr>
          <w:rFonts w:hint="default" w:ascii="Times New Roman" w:hAnsi="Times New Roman" w:eastAsia="楷体_GB2312" w:cs="Times New Roman"/>
          <w:color w:val="auto"/>
          <w:sz w:val="32"/>
          <w:szCs w:val="32"/>
          <w:highlight w:val="none"/>
          <w:u w:val="none"/>
          <w:lang w:val="en-US" w:eastAsia="zh-CN"/>
        </w:rPr>
        <w:t>推进数字农业农村先行区建设。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pacing w:val="0"/>
          <w:kern w:val="21"/>
          <w:sz w:val="32"/>
          <w:szCs w:val="34"/>
          <w:highlight w:val="none"/>
          <w:u w:val="none"/>
          <w:lang w:val="en-US" w:eastAsia="zh-CN"/>
        </w:rPr>
        <w:t>统筹五大振兴涉农资源，完成智慧农业公共发展服务平台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pacing w:val="0"/>
          <w:kern w:val="21"/>
          <w:sz w:val="32"/>
          <w:szCs w:val="34"/>
          <w:highlight w:val="none"/>
          <w:u w:val="none"/>
          <w:lang w:val="en-US" w:eastAsia="zh-CN"/>
        </w:rPr>
        <w:t>（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pacing w:val="0"/>
          <w:kern w:val="21"/>
          <w:sz w:val="32"/>
          <w:szCs w:val="34"/>
          <w:highlight w:val="none"/>
          <w:u w:val="none"/>
          <w:lang w:val="en-US" w:eastAsia="zh-CN"/>
        </w:rPr>
        <w:t>“1+5+N”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pacing w:val="0"/>
          <w:kern w:val="21"/>
          <w:sz w:val="32"/>
          <w:szCs w:val="34"/>
          <w:highlight w:val="none"/>
          <w:u w:val="none"/>
          <w:lang w:val="en-US" w:eastAsia="zh-CN"/>
        </w:rPr>
        <w:t>）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pacing w:val="0"/>
          <w:kern w:val="21"/>
          <w:sz w:val="32"/>
          <w:szCs w:val="34"/>
          <w:highlight w:val="none"/>
          <w:u w:val="none"/>
          <w:lang w:val="en-US" w:eastAsia="zh-CN"/>
        </w:rPr>
        <w:t>建设。实施数字赋能农业全产业链发展。推动富硒、农文旅、食用菌等重点优势产业数字化发展，着力提升食用菌产业链数字化水平。抓好新希望六和数字牧场、黛青山数字果园等9个数字农业农村重点项目建设，打造数字农业集群发展新格局。</w:t>
      </w:r>
      <w:r>
        <w:rPr>
          <w:rFonts w:hint="default" w:ascii="Times New Roman" w:hAnsi="Times New Roman" w:eastAsia="楷体_GB2312" w:cs="Times New Roman"/>
          <w:color w:val="auto"/>
          <w:sz w:val="32"/>
          <w:szCs w:val="32"/>
          <w:highlight w:val="none"/>
          <w:u w:val="none"/>
        </w:rPr>
        <w:t>（</w:t>
      </w:r>
      <w:r>
        <w:rPr>
          <w:rFonts w:hint="default" w:ascii="Times New Roman" w:hAnsi="Times New Roman" w:eastAsia="楷体_GB2312" w:cs="Times New Roman"/>
          <w:color w:val="auto"/>
          <w:sz w:val="32"/>
          <w:szCs w:val="32"/>
          <w:highlight w:val="none"/>
          <w:u w:val="none"/>
          <w:lang w:val="en-US" w:eastAsia="zh-CN"/>
        </w:rPr>
        <w:t>区</w:t>
      </w:r>
      <w:r>
        <w:rPr>
          <w:rFonts w:hint="default" w:ascii="Times New Roman" w:hAnsi="Times New Roman" w:eastAsia="楷体_GB2312" w:cs="Times New Roman"/>
          <w:color w:val="auto"/>
          <w:sz w:val="32"/>
          <w:szCs w:val="32"/>
          <w:highlight w:val="none"/>
          <w:u w:val="none"/>
        </w:rPr>
        <w:t>农业农村局负责）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left="0" w:leftChars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C00000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auto"/>
          <w:spacing w:val="0"/>
          <w:kern w:val="21"/>
          <w:sz w:val="32"/>
          <w:szCs w:val="34"/>
          <w:highlight w:val="none"/>
          <w:u w:val="none"/>
          <w:lang w:val="en-US" w:eastAsia="zh-CN" w:bidi="ar-SA"/>
        </w:rPr>
        <w:t>4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pacing w:val="0"/>
          <w:kern w:val="21"/>
          <w:sz w:val="32"/>
          <w:szCs w:val="34"/>
          <w:highlight w:val="none"/>
          <w:u w:val="none"/>
          <w:lang w:val="en-US" w:eastAsia="zh-CN" w:bidi="ar-SA"/>
        </w:rPr>
        <w:t>3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pacing w:val="0"/>
          <w:kern w:val="21"/>
          <w:sz w:val="32"/>
          <w:szCs w:val="34"/>
          <w:highlight w:val="none"/>
          <w:u w:val="none"/>
          <w:lang w:val="en-US" w:eastAsia="zh-CN" w:bidi="ar-SA"/>
        </w:rPr>
        <w:t>.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pacing w:val="0"/>
          <w:kern w:val="21"/>
          <w:sz w:val="32"/>
          <w:szCs w:val="34"/>
          <w:highlight w:val="none"/>
          <w:u w:val="none"/>
          <w:lang w:val="en-US" w:eastAsia="zh-CN" w:bidi="ar-SA"/>
        </w:rPr>
        <w:t xml:space="preserve"> </w:t>
      </w:r>
      <w:r>
        <w:rPr>
          <w:rFonts w:hint="default" w:ascii="Times New Roman" w:hAnsi="Times New Roman" w:eastAsia="楷体_GB2312" w:cs="Times New Roman"/>
          <w:color w:val="auto"/>
          <w:kern w:val="2"/>
          <w:sz w:val="32"/>
          <w:szCs w:val="32"/>
          <w:highlight w:val="none"/>
          <w:u w:val="none"/>
          <w:lang w:val="en-US" w:eastAsia="zh-CN" w:bidi="ar-SA"/>
        </w:rPr>
        <w:t>促进农民全面发展。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pacing w:val="0"/>
          <w:kern w:val="21"/>
          <w:sz w:val="32"/>
          <w:szCs w:val="34"/>
          <w:highlight w:val="none"/>
          <w:u w:val="none"/>
          <w:lang w:val="en-US" w:eastAsia="zh-CN" w:bidi="ar-SA"/>
        </w:rPr>
        <w:t>完善落实防返贫动态监测帮扶机制，持续提升“两不愁三保障”水平。健全联农带农富农机制，支持脱贫村、经济薄弱村培育壮大集体经济。稳步推进脱贫人口小额信贷、富民生产贷、齐鲁富民贷。持续开展“百企兴百村”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pacing w:val="0"/>
          <w:kern w:val="21"/>
          <w:sz w:val="32"/>
          <w:szCs w:val="34"/>
          <w:highlight w:val="none"/>
          <w:u w:val="none"/>
          <w:lang w:val="en-US" w:eastAsia="zh-CN" w:bidi="ar-SA"/>
        </w:rPr>
        <w:t>、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pacing w:val="0"/>
          <w:kern w:val="21"/>
          <w:sz w:val="32"/>
          <w:szCs w:val="34"/>
          <w:highlight w:val="none"/>
          <w:u w:val="none"/>
          <w:lang w:val="en-US" w:eastAsia="zh-CN" w:bidi="ar-SA"/>
        </w:rPr>
        <w:t>“雨露计划+”就业促进行动，提升社会力量助力巩固拓展脱贫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pacing w:val="0"/>
          <w:kern w:val="21"/>
          <w:sz w:val="32"/>
          <w:szCs w:val="34"/>
          <w:highlight w:val="none"/>
          <w:u w:val="none"/>
          <w:lang w:val="en-US" w:eastAsia="zh-CN" w:bidi="ar-SA"/>
        </w:rPr>
        <w:t>攻坚</w:t>
      </w:r>
      <w:bookmarkStart w:id="0" w:name="_GoBack"/>
      <w:bookmarkEnd w:id="0"/>
      <w:r>
        <w:rPr>
          <w:rFonts w:hint="default" w:ascii="Times New Roman" w:hAnsi="Times New Roman" w:eastAsia="仿宋_GB2312" w:cs="Times New Roman"/>
          <w:b w:val="0"/>
          <w:bCs w:val="0"/>
          <w:color w:val="auto"/>
          <w:spacing w:val="0"/>
          <w:kern w:val="21"/>
          <w:sz w:val="32"/>
          <w:szCs w:val="34"/>
          <w:highlight w:val="none"/>
          <w:u w:val="none"/>
          <w:lang w:val="en-US" w:eastAsia="zh-CN" w:bidi="ar-SA"/>
        </w:rPr>
        <w:t>成果。</w:t>
      </w:r>
      <w:r>
        <w:rPr>
          <w:rFonts w:hint="default" w:ascii="Times New Roman" w:hAnsi="Times New Roman" w:eastAsia="楷体_GB2312" w:cs="Times New Roman"/>
          <w:kern w:val="21"/>
          <w:sz w:val="32"/>
          <w:szCs w:val="34"/>
          <w:lang w:val="en-US" w:eastAsia="zh-CN" w:bidi="ar-SA"/>
        </w:rPr>
        <w:t>（区</w:t>
      </w:r>
      <w:r>
        <w:rPr>
          <w:rFonts w:hint="default" w:ascii="Times New Roman" w:hAnsi="Times New Roman" w:eastAsia="楷体_GB2312" w:cs="Times New Roman"/>
          <w:color w:val="auto"/>
          <w:sz w:val="32"/>
          <w:szCs w:val="32"/>
          <w:highlight w:val="none"/>
          <w:u w:val="none"/>
        </w:rPr>
        <w:t>农业农村局</w:t>
      </w:r>
      <w:r>
        <w:rPr>
          <w:rFonts w:hint="default" w:ascii="Times New Roman" w:hAnsi="Times New Roman" w:eastAsia="楷体_GB2312" w:cs="Times New Roman"/>
          <w:kern w:val="21"/>
          <w:sz w:val="32"/>
          <w:szCs w:val="34"/>
          <w:lang w:val="en-US" w:eastAsia="zh-CN" w:bidi="ar-SA"/>
        </w:rPr>
        <w:t>牵头，区工商联、区财政局、区人社局等配合）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left="0" w:leftChars="0" w:firstLine="640" w:firstLineChars="200"/>
        <w:textAlignment w:val="auto"/>
        <w:rPr>
          <w:rFonts w:hint="default" w:ascii="Times New Roman" w:hAnsi="Times New Roman" w:eastAsia="黑体" w:cs="Times New Roman"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黑体" w:cs="Times New Roman"/>
          <w:color w:val="auto"/>
          <w:sz w:val="32"/>
          <w:szCs w:val="32"/>
          <w:highlight w:val="none"/>
        </w:rPr>
        <w:t>八、深化改革扩大开放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left="0" w:leftChars="0"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4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4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.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default" w:ascii="Times New Roman" w:hAnsi="Times New Roman" w:eastAsia="楷体_GB2312" w:cs="Times New Roman"/>
          <w:color w:val="auto"/>
          <w:sz w:val="32"/>
          <w:szCs w:val="32"/>
          <w:highlight w:val="none"/>
        </w:rPr>
        <w:t>持续实施优化营商环境“一号改革工程”。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积极推进落实全市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深化“以评促转”试点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工作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。深化简政放权、放管结合、优化服务改革，加快推进“无证明城市”建设，完善“一网统揽”区级平台功能，提升“一网通办”政务服务能力，优化“一网协同”政府运行水平，坚持数字政府、数字城市、数字社会一体推进，升级“无证明”服务方式，强化“无证明”数据供给，积极拓展电子证照证明应用和服务领域，推动高频电子证照证明在政务服务和社会化生活场景中全面应用，打造“手续最简、环节最少、成本最低、效率最高”的办事流程。</w:t>
      </w:r>
      <w:r>
        <w:rPr>
          <w:rFonts w:hint="default" w:ascii="Times New Roman" w:hAnsi="Times New Roman" w:eastAsia="楷体_GB2312" w:cs="Times New Roman"/>
          <w:color w:val="auto"/>
          <w:sz w:val="32"/>
          <w:szCs w:val="32"/>
          <w:highlight w:val="none"/>
        </w:rPr>
        <w:t>（</w:t>
      </w:r>
      <w:r>
        <w:rPr>
          <w:rFonts w:hint="default" w:ascii="Times New Roman" w:hAnsi="Times New Roman" w:eastAsia="楷体_GB2312" w:cs="Times New Roman"/>
          <w:color w:val="auto"/>
          <w:sz w:val="32"/>
          <w:szCs w:val="32"/>
          <w:highlight w:val="none"/>
          <w:lang w:val="en-US" w:eastAsia="zh-CN"/>
        </w:rPr>
        <w:t>区发改局</w:t>
      </w:r>
      <w:r>
        <w:rPr>
          <w:rFonts w:hint="default" w:ascii="Times New Roman" w:hAnsi="Times New Roman" w:eastAsia="楷体_GB2312" w:cs="Times New Roman"/>
          <w:color w:val="auto"/>
          <w:sz w:val="32"/>
          <w:szCs w:val="32"/>
          <w:highlight w:val="none"/>
        </w:rPr>
        <w:t>牵头，</w:t>
      </w:r>
      <w:r>
        <w:rPr>
          <w:rFonts w:hint="default" w:ascii="Times New Roman" w:hAnsi="Times New Roman" w:eastAsia="楷体_GB2312" w:cs="Times New Roman"/>
          <w:color w:val="auto"/>
          <w:sz w:val="32"/>
          <w:szCs w:val="32"/>
          <w:highlight w:val="none"/>
          <w:lang w:val="en-US" w:eastAsia="zh-CN"/>
        </w:rPr>
        <w:t>区</w:t>
      </w:r>
      <w:r>
        <w:rPr>
          <w:rFonts w:hint="default" w:ascii="Times New Roman" w:hAnsi="Times New Roman" w:eastAsia="楷体_GB2312" w:cs="Times New Roman"/>
          <w:color w:val="auto"/>
          <w:sz w:val="32"/>
          <w:szCs w:val="32"/>
          <w:highlight w:val="none"/>
        </w:rPr>
        <w:t>行政审批局、</w:t>
      </w:r>
      <w:r>
        <w:rPr>
          <w:rFonts w:hint="default" w:ascii="Times New Roman" w:hAnsi="Times New Roman" w:eastAsia="楷体_GB2312" w:cs="Times New Roman"/>
          <w:color w:val="auto"/>
          <w:sz w:val="32"/>
          <w:szCs w:val="32"/>
          <w:highlight w:val="none"/>
          <w:lang w:val="en-US" w:eastAsia="zh-CN"/>
        </w:rPr>
        <w:t>区大数据中心</w:t>
      </w:r>
      <w:r>
        <w:rPr>
          <w:rFonts w:hint="default" w:ascii="Times New Roman" w:hAnsi="Times New Roman" w:eastAsia="楷体_GB2312" w:cs="Times New Roman"/>
          <w:color w:val="auto"/>
          <w:sz w:val="32"/>
          <w:szCs w:val="32"/>
          <w:highlight w:val="none"/>
        </w:rPr>
        <w:t>等部门</w:t>
      </w:r>
      <w:r>
        <w:rPr>
          <w:rFonts w:hint="default" w:ascii="Times New Roman" w:hAnsi="Times New Roman" w:eastAsia="楷体_GB2312" w:cs="Times New Roman"/>
          <w:color w:val="auto"/>
          <w:sz w:val="32"/>
          <w:szCs w:val="32"/>
          <w:highlight w:val="none"/>
          <w:lang w:eastAsia="zh-CN"/>
        </w:rPr>
        <w:t>单位</w:t>
      </w:r>
      <w:r>
        <w:rPr>
          <w:rFonts w:hint="default" w:ascii="Times New Roman" w:hAnsi="Times New Roman" w:eastAsia="楷体_GB2312" w:cs="Times New Roman"/>
          <w:color w:val="auto"/>
          <w:sz w:val="32"/>
          <w:szCs w:val="32"/>
          <w:highlight w:val="none"/>
        </w:rPr>
        <w:t>配合）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left="0" w:leftChars="0" w:firstLine="640" w:firstLineChars="200"/>
        <w:textAlignment w:val="auto"/>
        <w:rPr>
          <w:rFonts w:hint="default" w:ascii="Times New Roman" w:hAnsi="Times New Roman" w:eastAsia="楷体_GB2312" w:cs="Times New Roman"/>
          <w:color w:val="auto"/>
          <w:sz w:val="32"/>
          <w:szCs w:val="32"/>
          <w:highlight w:val="none"/>
          <w:lang w:val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none"/>
        </w:rPr>
        <w:t>4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u w:val="none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none"/>
        </w:rPr>
        <w:t>.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u w:val="none"/>
          <w:lang w:val="en-US" w:eastAsia="zh-CN"/>
        </w:rPr>
        <w:t xml:space="preserve"> </w:t>
      </w:r>
      <w:r>
        <w:rPr>
          <w:rFonts w:hint="default" w:ascii="Times New Roman" w:hAnsi="Times New Roman" w:eastAsia="楷体_GB2312" w:cs="Times New Roman"/>
          <w:color w:val="auto"/>
          <w:sz w:val="32"/>
          <w:szCs w:val="32"/>
          <w:highlight w:val="none"/>
          <w:u w:val="none"/>
        </w:rPr>
        <w:t>激发市场主体活力。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none"/>
        </w:rPr>
        <w:t>深入开展“全面对标一流质效提升工程”，做大做强做优国有资本和国有企业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none"/>
          <w:lang w:val="zh-CN"/>
        </w:rPr>
        <w:t>。健全支持民营企业高质量发展政策体系，持续落实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u w:val="none"/>
          <w:lang w:val="zh-CN"/>
        </w:rPr>
        <w:t>市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none"/>
          <w:lang w:val="zh-CN"/>
        </w:rPr>
        <w:t>关心关爱企业家十条措施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u w:val="none"/>
          <w:lang w:val="zh-CN"/>
        </w:rPr>
        <w:t>、区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none"/>
          <w:lang w:val="zh-CN"/>
        </w:rPr>
        <w:t>厚植本企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u w:val="none"/>
          <w:lang w:val="zh-CN"/>
        </w:rPr>
        <w:t>优势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none"/>
          <w:lang w:val="zh-CN"/>
        </w:rPr>
        <w:t>十条政策，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none"/>
        </w:rPr>
        <w:t>推进服务企业专员制度，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none"/>
          <w:lang w:val="zh-CN"/>
        </w:rPr>
        <w:t>构建亲清政商关系。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none"/>
        </w:rPr>
        <w:t>全面落实组合式减税降费、财政贴息、风险补偿、担保费补助等政策，推进各项助企纾困政策落地见效，加快涉企审批事项系统性重塑、集成化再造。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none"/>
          <w:lang w:val="en"/>
        </w:rPr>
        <w:t>进一步健全要素市场化配置体制机制，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none"/>
          <w:lang w:val="en" w:eastAsia="zh-CN"/>
        </w:rPr>
        <w:t>确保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none"/>
        </w:rPr>
        <w:t>国家关于加快建设全国统一大市场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none"/>
          <w:lang w:eastAsia="zh-CN"/>
        </w:rPr>
        <w:t>决策部署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none"/>
        </w:rPr>
        <w:t>和省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none"/>
          <w:lang w:val="en-US" w:eastAsia="zh-CN"/>
        </w:rPr>
        <w:t>市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none"/>
          <w:lang w:eastAsia="zh-CN"/>
        </w:rPr>
        <w:t>有关要求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none"/>
        </w:rPr>
        <w:t>在我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none"/>
          <w:lang w:val="en-US" w:eastAsia="zh-CN"/>
        </w:rPr>
        <w:t>区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none"/>
        </w:rPr>
        <w:t>落地落实。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none"/>
          <w:lang w:val="zh-CN"/>
        </w:rPr>
        <w:t>（</w:t>
      </w:r>
      <w:r>
        <w:rPr>
          <w:rFonts w:hint="default" w:ascii="Times New Roman" w:hAnsi="Times New Roman" w:eastAsia="楷体_GB2312" w:cs="Times New Roman"/>
          <w:color w:val="auto"/>
          <w:sz w:val="32"/>
          <w:szCs w:val="32"/>
          <w:highlight w:val="none"/>
          <w:u w:val="none"/>
          <w:lang w:val="en-US" w:eastAsia="zh-CN"/>
        </w:rPr>
        <w:t>区发改局</w:t>
      </w:r>
      <w:r>
        <w:rPr>
          <w:rFonts w:hint="default" w:ascii="Times New Roman" w:hAnsi="Times New Roman" w:eastAsia="楷体_GB2312" w:cs="Times New Roman"/>
          <w:color w:val="auto"/>
          <w:sz w:val="32"/>
          <w:szCs w:val="32"/>
          <w:highlight w:val="none"/>
          <w:u w:val="none"/>
          <w:lang w:val="zh-CN"/>
        </w:rPr>
        <w:t>、</w:t>
      </w:r>
      <w:r>
        <w:rPr>
          <w:rFonts w:hint="default" w:ascii="Times New Roman" w:hAnsi="Times New Roman" w:eastAsia="楷体_GB2312" w:cs="Times New Roman"/>
          <w:color w:val="auto"/>
          <w:sz w:val="32"/>
          <w:szCs w:val="32"/>
          <w:highlight w:val="none"/>
          <w:u w:val="none"/>
          <w:lang w:val="en-US" w:eastAsia="zh-CN"/>
        </w:rPr>
        <w:t>区工信</w:t>
      </w:r>
      <w:r>
        <w:rPr>
          <w:rFonts w:hint="default" w:ascii="Times New Roman" w:hAnsi="Times New Roman" w:eastAsia="楷体_GB2312" w:cs="Times New Roman"/>
          <w:color w:val="auto"/>
          <w:sz w:val="32"/>
          <w:szCs w:val="32"/>
          <w:highlight w:val="none"/>
          <w:u w:val="none"/>
          <w:lang w:val="zh-CN"/>
        </w:rPr>
        <w:t>局、</w:t>
      </w:r>
      <w:r>
        <w:rPr>
          <w:rFonts w:hint="default" w:ascii="Times New Roman" w:hAnsi="Times New Roman" w:eastAsia="楷体_GB2312" w:cs="Times New Roman"/>
          <w:color w:val="auto"/>
          <w:sz w:val="32"/>
          <w:szCs w:val="32"/>
          <w:highlight w:val="none"/>
          <w:u w:val="none"/>
          <w:lang w:val="en-US" w:eastAsia="zh-CN"/>
        </w:rPr>
        <w:t>区</w:t>
      </w:r>
      <w:r>
        <w:rPr>
          <w:rFonts w:hint="default" w:ascii="Times New Roman" w:hAnsi="Times New Roman" w:eastAsia="楷体_GB2312" w:cs="Times New Roman"/>
          <w:color w:val="auto"/>
          <w:sz w:val="32"/>
          <w:szCs w:val="32"/>
          <w:highlight w:val="none"/>
          <w:u w:val="none"/>
          <w:lang w:val="zh-CN"/>
        </w:rPr>
        <w:t>财政局、</w:t>
      </w:r>
      <w:r>
        <w:rPr>
          <w:rFonts w:hint="default" w:ascii="Times New Roman" w:hAnsi="Times New Roman" w:eastAsia="楷体_GB2312" w:cs="Times New Roman"/>
          <w:color w:val="auto"/>
          <w:sz w:val="32"/>
          <w:szCs w:val="32"/>
          <w:highlight w:val="none"/>
          <w:u w:val="none"/>
          <w:lang w:val="en-US" w:eastAsia="zh-CN"/>
        </w:rPr>
        <w:t>区</w:t>
      </w:r>
      <w:r>
        <w:rPr>
          <w:rFonts w:hint="default" w:ascii="Times New Roman" w:hAnsi="Times New Roman" w:eastAsia="楷体_GB2312" w:cs="Times New Roman"/>
          <w:color w:val="auto"/>
          <w:sz w:val="32"/>
          <w:szCs w:val="32"/>
          <w:highlight w:val="none"/>
          <w:u w:val="none"/>
        </w:rPr>
        <w:t>市场监管局</w:t>
      </w:r>
      <w:r>
        <w:rPr>
          <w:rFonts w:hint="default" w:ascii="Times New Roman" w:hAnsi="Times New Roman" w:eastAsia="楷体_GB2312" w:cs="Times New Roman"/>
          <w:color w:val="auto"/>
          <w:sz w:val="32"/>
          <w:szCs w:val="32"/>
          <w:highlight w:val="none"/>
          <w:u w:val="none"/>
          <w:lang w:val="zh-CN"/>
        </w:rPr>
        <w:t>、</w:t>
      </w:r>
      <w:r>
        <w:rPr>
          <w:rFonts w:hint="default" w:ascii="Times New Roman" w:hAnsi="Times New Roman" w:eastAsia="楷体_GB2312" w:cs="Times New Roman"/>
          <w:color w:val="auto"/>
          <w:sz w:val="32"/>
          <w:szCs w:val="32"/>
          <w:highlight w:val="none"/>
          <w:u w:val="none"/>
          <w:lang w:val="en-US" w:eastAsia="zh-CN"/>
        </w:rPr>
        <w:t>区</w:t>
      </w:r>
      <w:r>
        <w:rPr>
          <w:rFonts w:hint="default" w:ascii="Times New Roman" w:hAnsi="Times New Roman" w:eastAsia="楷体_GB2312" w:cs="Times New Roman"/>
          <w:color w:val="auto"/>
          <w:sz w:val="32"/>
          <w:szCs w:val="32"/>
          <w:highlight w:val="none"/>
          <w:u w:val="none"/>
          <w:lang w:val="zh-CN"/>
        </w:rPr>
        <w:t>行政审批局</w:t>
      </w:r>
      <w:r>
        <w:rPr>
          <w:rFonts w:hint="default" w:ascii="Times New Roman" w:hAnsi="Times New Roman" w:eastAsia="楷体_GB2312" w:cs="Times New Roman"/>
          <w:color w:val="auto"/>
          <w:sz w:val="32"/>
          <w:szCs w:val="32"/>
          <w:highlight w:val="none"/>
          <w:u w:val="none"/>
        </w:rPr>
        <w:t>、</w:t>
      </w:r>
      <w:r>
        <w:rPr>
          <w:rFonts w:hint="eastAsia" w:ascii="Times New Roman" w:hAnsi="Times New Roman" w:eastAsia="楷体_GB2312" w:cs="Times New Roman"/>
          <w:color w:val="auto"/>
          <w:sz w:val="32"/>
          <w:szCs w:val="32"/>
          <w:highlight w:val="none"/>
          <w:u w:val="none"/>
          <w:lang w:eastAsia="zh-CN"/>
        </w:rPr>
        <w:t>市</w:t>
      </w:r>
      <w:r>
        <w:rPr>
          <w:rFonts w:hint="default" w:ascii="Times New Roman" w:hAnsi="Times New Roman" w:eastAsia="楷体_GB2312" w:cs="Times New Roman"/>
          <w:color w:val="auto"/>
          <w:sz w:val="32"/>
          <w:szCs w:val="32"/>
          <w:highlight w:val="none"/>
          <w:u w:val="none"/>
        </w:rPr>
        <w:t>公共资源交易中心</w:t>
      </w:r>
      <w:r>
        <w:rPr>
          <w:rFonts w:hint="eastAsia" w:ascii="Times New Roman" w:hAnsi="Times New Roman" w:eastAsia="楷体_GB2312" w:cs="Times New Roman"/>
          <w:color w:val="auto"/>
          <w:sz w:val="32"/>
          <w:szCs w:val="32"/>
          <w:highlight w:val="none"/>
          <w:u w:val="none"/>
          <w:lang w:eastAsia="zh-CN"/>
        </w:rPr>
        <w:t>淄川分中心</w:t>
      </w:r>
      <w:r>
        <w:rPr>
          <w:rFonts w:hint="default" w:ascii="Times New Roman" w:hAnsi="Times New Roman" w:eastAsia="楷体_GB2312" w:cs="Times New Roman"/>
          <w:color w:val="auto"/>
          <w:sz w:val="32"/>
          <w:szCs w:val="32"/>
          <w:highlight w:val="none"/>
          <w:u w:val="none"/>
        </w:rPr>
        <w:t>负责</w:t>
      </w:r>
      <w:r>
        <w:rPr>
          <w:rFonts w:hint="default" w:ascii="Times New Roman" w:hAnsi="Times New Roman" w:eastAsia="楷体_GB2312" w:cs="Times New Roman"/>
          <w:color w:val="auto"/>
          <w:sz w:val="32"/>
          <w:szCs w:val="32"/>
          <w:highlight w:val="none"/>
          <w:u w:val="none"/>
          <w:lang w:val="zh-CN"/>
        </w:rPr>
        <w:t>）</w:t>
      </w:r>
    </w:p>
    <w:p>
      <w:pPr>
        <w:keepNext w:val="0"/>
        <w:keepLines w:val="0"/>
        <w:pageBreakBefore w:val="0"/>
        <w:suppressAutoHyphens/>
        <w:kinsoku/>
        <w:wordWrap/>
        <w:overflowPunct/>
        <w:topLinePunct w:val="0"/>
        <w:autoSpaceDE/>
        <w:autoSpaceDN/>
        <w:bidi w:val="0"/>
        <w:spacing w:line="560" w:lineRule="exact"/>
        <w:ind w:left="0" w:leftChars="0" w:firstLine="640" w:firstLineChars="200"/>
        <w:textAlignment w:val="auto"/>
        <w:rPr>
          <w:rFonts w:hint="default" w:ascii="Times New Roman" w:hAnsi="Times New Roman" w:eastAsia="仿宋_GB2312" w:cs="Times New Roman"/>
          <w:color w:val="C00000"/>
          <w:sz w:val="32"/>
          <w:szCs w:val="32"/>
          <w:highlight w:val="none"/>
          <w:lang w:val="zh-CN"/>
        </w:rPr>
      </w:pPr>
      <w:r>
        <w:rPr>
          <w:rFonts w:hint="default" w:ascii="Times New Roman" w:hAnsi="Times New Roman" w:eastAsia="楷体_GB2312" w:cs="Times New Roman"/>
          <w:color w:val="auto"/>
          <w:sz w:val="32"/>
          <w:szCs w:val="32"/>
          <w:highlight w:val="none"/>
          <w:u w:val="none"/>
          <w:lang w:val="en-US" w:eastAsia="zh-CN"/>
        </w:rPr>
        <w:t>4</w:t>
      </w:r>
      <w:r>
        <w:rPr>
          <w:rFonts w:hint="eastAsia" w:ascii="Times New Roman" w:hAnsi="Times New Roman" w:eastAsia="楷体_GB2312" w:cs="Times New Roman"/>
          <w:color w:val="auto"/>
          <w:sz w:val="32"/>
          <w:szCs w:val="32"/>
          <w:highlight w:val="none"/>
          <w:u w:val="none"/>
          <w:lang w:val="en-US" w:eastAsia="zh-CN"/>
        </w:rPr>
        <w:t>6</w:t>
      </w:r>
      <w:r>
        <w:rPr>
          <w:rFonts w:hint="default" w:ascii="Times New Roman" w:hAnsi="Times New Roman" w:eastAsia="楷体_GB2312" w:cs="Times New Roman"/>
          <w:color w:val="auto"/>
          <w:sz w:val="32"/>
          <w:szCs w:val="32"/>
          <w:highlight w:val="none"/>
          <w:u w:val="none"/>
        </w:rPr>
        <w:t>.</w:t>
      </w:r>
      <w:r>
        <w:rPr>
          <w:rFonts w:hint="eastAsia" w:ascii="Times New Roman" w:hAnsi="Times New Roman" w:eastAsia="楷体_GB2312" w:cs="Times New Roman"/>
          <w:color w:val="auto"/>
          <w:sz w:val="32"/>
          <w:szCs w:val="32"/>
          <w:highlight w:val="none"/>
          <w:u w:val="none"/>
          <w:lang w:val="en-US" w:eastAsia="zh-CN"/>
        </w:rPr>
        <w:t xml:space="preserve"> </w:t>
      </w:r>
      <w:r>
        <w:rPr>
          <w:rFonts w:hint="default" w:ascii="Times New Roman" w:hAnsi="Times New Roman" w:eastAsia="楷体_GB2312" w:cs="Times New Roman"/>
          <w:color w:val="auto"/>
          <w:sz w:val="32"/>
          <w:szCs w:val="32"/>
          <w:highlight w:val="none"/>
          <w:u w:val="none"/>
        </w:rPr>
        <w:t>加快高能级开放平台建设。</w:t>
      </w:r>
      <w:r>
        <w:rPr>
          <w:rFonts w:hint="default" w:ascii="Times New Roman" w:hAnsi="Times New Roman" w:eastAsia="仿宋_GB2312" w:cs="Times New Roman"/>
          <w:bCs/>
          <w:color w:val="auto"/>
          <w:sz w:val="32"/>
          <w:szCs w:val="32"/>
          <w:highlight w:val="none"/>
          <w:u w:val="none"/>
        </w:rPr>
        <w:t>引导企业通过淄博综合保税区开展进出口业务，推进淄川经济开发区开放发展，打造外贸外资主阵地。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none"/>
          <w:lang w:val="zh-CN"/>
        </w:rPr>
        <w:t>（</w:t>
      </w:r>
      <w:r>
        <w:rPr>
          <w:rFonts w:hint="default" w:ascii="Times New Roman" w:hAnsi="Times New Roman" w:eastAsia="楷体_GB2312" w:cs="Times New Roman"/>
          <w:color w:val="auto"/>
          <w:sz w:val="32"/>
          <w:szCs w:val="32"/>
          <w:highlight w:val="none"/>
          <w:u w:val="none"/>
          <w:lang w:val="en-US" w:eastAsia="zh-CN"/>
        </w:rPr>
        <w:t>区</w:t>
      </w:r>
      <w:r>
        <w:rPr>
          <w:rFonts w:hint="default" w:ascii="Times New Roman" w:hAnsi="Times New Roman" w:eastAsia="楷体_GB2312" w:cs="Times New Roman"/>
          <w:color w:val="auto"/>
          <w:sz w:val="32"/>
          <w:szCs w:val="32"/>
          <w:highlight w:val="none"/>
          <w:u w:val="none"/>
          <w:lang w:val="zh-CN"/>
        </w:rPr>
        <w:t>商务局</w:t>
      </w:r>
      <w:r>
        <w:rPr>
          <w:rFonts w:hint="default" w:ascii="Times New Roman" w:hAnsi="Times New Roman" w:eastAsia="楷体_GB2312" w:cs="Times New Roman"/>
          <w:color w:val="auto"/>
          <w:sz w:val="32"/>
          <w:szCs w:val="32"/>
          <w:highlight w:val="none"/>
          <w:u w:val="none"/>
          <w:lang w:val="en-US" w:eastAsia="zh-CN"/>
        </w:rPr>
        <w:t>负责</w:t>
      </w:r>
      <w:r>
        <w:rPr>
          <w:rFonts w:hint="default" w:ascii="Times New Roman" w:hAnsi="Times New Roman" w:eastAsia="楷体_GB2312" w:cs="Times New Roman"/>
          <w:color w:val="auto"/>
          <w:sz w:val="32"/>
          <w:szCs w:val="32"/>
          <w:highlight w:val="none"/>
          <w:u w:val="none"/>
          <w:lang w:val="zh-CN"/>
        </w:rPr>
        <w:t>）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left="0" w:leftChars="0" w:firstLine="640" w:firstLineChars="200"/>
        <w:textAlignment w:val="auto"/>
        <w:outlineLvl w:val="2"/>
        <w:rPr>
          <w:rFonts w:hint="default" w:ascii="Times New Roman" w:hAnsi="Times New Roman" w:eastAsia="仿宋_GB2312" w:cs="Times New Roman"/>
          <w:bCs/>
          <w:color w:val="C00000"/>
          <w:sz w:val="32"/>
          <w:szCs w:val="32"/>
          <w:highlight w:val="none"/>
        </w:rPr>
      </w:pPr>
      <w:r>
        <w:rPr>
          <w:rFonts w:hint="eastAsia" w:ascii="Times New Roman" w:hAnsi="Times New Roman" w:eastAsia="楷体_GB2312" w:cs="Times New Roman"/>
          <w:color w:val="auto"/>
          <w:sz w:val="32"/>
          <w:szCs w:val="32"/>
          <w:highlight w:val="none"/>
          <w:u w:val="none"/>
          <w:lang w:val="en-US" w:eastAsia="zh-CN"/>
        </w:rPr>
        <w:t>47</w:t>
      </w:r>
      <w:r>
        <w:rPr>
          <w:rFonts w:hint="default" w:ascii="Times New Roman" w:hAnsi="Times New Roman" w:eastAsia="楷体_GB2312" w:cs="Times New Roman"/>
          <w:color w:val="auto"/>
          <w:sz w:val="32"/>
          <w:szCs w:val="32"/>
          <w:highlight w:val="none"/>
          <w:u w:val="none"/>
        </w:rPr>
        <w:t>.</w:t>
      </w:r>
      <w:r>
        <w:rPr>
          <w:rFonts w:hint="eastAsia" w:ascii="Times New Roman" w:hAnsi="Times New Roman" w:eastAsia="楷体_GB2312" w:cs="Times New Roman"/>
          <w:color w:val="auto"/>
          <w:sz w:val="32"/>
          <w:szCs w:val="32"/>
          <w:highlight w:val="none"/>
          <w:u w:val="none"/>
          <w:lang w:val="en-US" w:eastAsia="zh-CN"/>
        </w:rPr>
        <w:t xml:space="preserve"> </w:t>
      </w:r>
      <w:r>
        <w:rPr>
          <w:rFonts w:hint="default" w:ascii="Times New Roman" w:hAnsi="Times New Roman" w:eastAsia="楷体_GB2312" w:cs="Times New Roman"/>
          <w:color w:val="auto"/>
          <w:sz w:val="32"/>
          <w:szCs w:val="32"/>
          <w:highlight w:val="none"/>
          <w:u w:val="none"/>
        </w:rPr>
        <w:t>提升贸易投资合作质量和水平。</w:t>
      </w:r>
      <w:r>
        <w:rPr>
          <w:rFonts w:hint="default" w:ascii="Times New Roman" w:hAnsi="Times New Roman" w:eastAsia="仿宋_GB2312" w:cs="Times New Roman"/>
          <w:bCs/>
          <w:color w:val="auto"/>
          <w:sz w:val="32"/>
          <w:szCs w:val="32"/>
          <w:highlight w:val="none"/>
          <w:u w:val="none"/>
        </w:rPr>
        <w:t>加快建设贸易强区，提高区域全面经济伙伴关系协定（RCEP）市场进出口占比。</w:t>
      </w:r>
      <w:r>
        <w:rPr>
          <w:rFonts w:hint="eastAsia" w:ascii="Times New Roman" w:hAnsi="Times New Roman" w:eastAsia="仿宋_GB2312" w:cs="Times New Roman"/>
          <w:bCs/>
          <w:color w:val="auto"/>
          <w:sz w:val="32"/>
          <w:szCs w:val="32"/>
          <w:highlight w:val="none"/>
          <w:u w:val="none"/>
          <w:lang w:eastAsia="zh-CN"/>
        </w:rPr>
        <w:t>配合市</w:t>
      </w:r>
      <w:r>
        <w:rPr>
          <w:rFonts w:hint="default" w:ascii="Times New Roman" w:hAnsi="Times New Roman" w:eastAsia="仿宋_GB2312" w:cs="Times New Roman"/>
          <w:bCs/>
          <w:color w:val="auto"/>
          <w:sz w:val="32"/>
          <w:szCs w:val="32"/>
          <w:highlight w:val="none"/>
          <w:u w:val="none"/>
        </w:rPr>
        <w:t>推进国家跨境电商综合试验区建设，培育跨境电商主体10家以上。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none"/>
        </w:rPr>
        <w:t>积极融入“一带一路”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none"/>
          <w:lang w:eastAsia="zh-CN"/>
        </w:rPr>
        <w:t>倡议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none"/>
        </w:rPr>
        <w:t>、山东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none"/>
          <w:lang w:eastAsia="zh-CN"/>
        </w:rPr>
        <w:t>自由贸易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none"/>
        </w:rPr>
        <w:t>试验区、上合示范区发展，推动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none"/>
          <w:lang w:val="en-US" w:eastAsia="zh-CN"/>
        </w:rPr>
        <w:t>2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none"/>
        </w:rPr>
        <w:t>家以上重点企业在“一带一路”沿线国家开展国际产能合作。</w:t>
      </w:r>
      <w:r>
        <w:rPr>
          <w:rFonts w:hint="default" w:ascii="Times New Roman" w:hAnsi="Times New Roman" w:eastAsia="仿宋_GB2312" w:cs="Times New Roman"/>
          <w:bCs/>
          <w:color w:val="auto"/>
          <w:sz w:val="32"/>
          <w:szCs w:val="32"/>
          <w:highlight w:val="none"/>
          <w:u w:val="none"/>
        </w:rPr>
        <w:t>大力推行“六个一”平台专业化精准招商，力争全</w:t>
      </w:r>
      <w:r>
        <w:rPr>
          <w:rFonts w:hint="default" w:ascii="Times New Roman" w:hAnsi="Times New Roman" w:eastAsia="仿宋_GB2312" w:cs="Times New Roman"/>
          <w:bCs/>
          <w:color w:val="auto"/>
          <w:sz w:val="32"/>
          <w:szCs w:val="32"/>
          <w:highlight w:val="none"/>
          <w:u w:val="none"/>
          <w:lang w:val="en-US" w:eastAsia="zh-CN"/>
        </w:rPr>
        <w:t>区</w:t>
      </w:r>
      <w:r>
        <w:rPr>
          <w:rFonts w:hint="default" w:ascii="Times New Roman" w:hAnsi="Times New Roman" w:eastAsia="仿宋_GB2312" w:cs="Times New Roman"/>
          <w:bCs/>
          <w:color w:val="auto"/>
          <w:sz w:val="32"/>
          <w:szCs w:val="32"/>
          <w:highlight w:val="none"/>
          <w:u w:val="none"/>
        </w:rPr>
        <w:t>省外到位资金总量达到</w:t>
      </w:r>
      <w:r>
        <w:rPr>
          <w:rFonts w:hint="default" w:ascii="Times New Roman" w:hAnsi="Times New Roman" w:eastAsia="仿宋_GB2312" w:cs="Times New Roman"/>
          <w:bCs/>
          <w:color w:val="auto"/>
          <w:sz w:val="32"/>
          <w:szCs w:val="32"/>
          <w:highlight w:val="none"/>
          <w:u w:val="none"/>
          <w:lang w:val="en-US" w:eastAsia="zh-CN"/>
        </w:rPr>
        <w:t>66.5</w:t>
      </w:r>
      <w:r>
        <w:rPr>
          <w:rFonts w:hint="default" w:ascii="Times New Roman" w:hAnsi="Times New Roman" w:eastAsia="仿宋_GB2312" w:cs="Times New Roman"/>
          <w:bCs/>
          <w:color w:val="auto"/>
          <w:sz w:val="32"/>
          <w:szCs w:val="32"/>
          <w:highlight w:val="none"/>
          <w:u w:val="none"/>
        </w:rPr>
        <w:t>亿元，新引进过亿元项目</w:t>
      </w:r>
      <w:r>
        <w:rPr>
          <w:rFonts w:hint="default" w:ascii="Times New Roman" w:hAnsi="Times New Roman" w:eastAsia="仿宋_GB2312" w:cs="Times New Roman"/>
          <w:bCs/>
          <w:color w:val="auto"/>
          <w:sz w:val="32"/>
          <w:szCs w:val="32"/>
          <w:highlight w:val="none"/>
          <w:u w:val="none"/>
          <w:lang w:val="en-US" w:eastAsia="zh-CN"/>
        </w:rPr>
        <w:t>47</w:t>
      </w:r>
      <w:r>
        <w:rPr>
          <w:rFonts w:hint="default" w:ascii="Times New Roman" w:hAnsi="Times New Roman" w:eastAsia="仿宋_GB2312" w:cs="Times New Roman"/>
          <w:bCs/>
          <w:color w:val="auto"/>
          <w:sz w:val="32"/>
          <w:szCs w:val="32"/>
          <w:highlight w:val="none"/>
          <w:u w:val="none"/>
        </w:rPr>
        <w:t>个。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zh-CN"/>
        </w:rPr>
        <w:t>（</w:t>
      </w:r>
      <w:r>
        <w:rPr>
          <w:rFonts w:hint="default" w:ascii="Times New Roman" w:hAnsi="Times New Roman" w:eastAsia="楷体_GB2312" w:cs="Times New Roman"/>
          <w:color w:val="auto"/>
          <w:sz w:val="32"/>
          <w:szCs w:val="32"/>
          <w:highlight w:val="none"/>
          <w:lang w:val="en-US" w:eastAsia="zh-CN"/>
        </w:rPr>
        <w:t>区</w:t>
      </w:r>
      <w:r>
        <w:rPr>
          <w:rFonts w:hint="default" w:ascii="Times New Roman" w:hAnsi="Times New Roman" w:eastAsia="楷体_GB2312" w:cs="Times New Roman"/>
          <w:color w:val="auto"/>
          <w:sz w:val="32"/>
          <w:szCs w:val="32"/>
          <w:highlight w:val="none"/>
          <w:lang w:val="zh-CN"/>
        </w:rPr>
        <w:t>商务局牵头，</w:t>
      </w:r>
      <w:r>
        <w:rPr>
          <w:rFonts w:hint="default" w:ascii="Times New Roman" w:hAnsi="Times New Roman" w:eastAsia="楷体_GB2312" w:cs="Times New Roman"/>
          <w:color w:val="auto"/>
          <w:sz w:val="32"/>
          <w:szCs w:val="32"/>
          <w:highlight w:val="none"/>
          <w:lang w:val="en-US" w:eastAsia="zh-CN"/>
        </w:rPr>
        <w:t>区</w:t>
      </w:r>
      <w:r>
        <w:rPr>
          <w:rFonts w:hint="default" w:ascii="Times New Roman" w:hAnsi="Times New Roman" w:eastAsia="楷体_GB2312" w:cs="Times New Roman"/>
          <w:color w:val="auto"/>
          <w:sz w:val="32"/>
          <w:szCs w:val="32"/>
          <w:highlight w:val="none"/>
          <w:lang w:val="zh-CN"/>
        </w:rPr>
        <w:t>投促</w:t>
      </w:r>
      <w:r>
        <w:rPr>
          <w:rFonts w:hint="default" w:ascii="Times New Roman" w:hAnsi="Times New Roman" w:eastAsia="楷体_GB2312" w:cs="Times New Roman"/>
          <w:color w:val="auto"/>
          <w:sz w:val="32"/>
          <w:szCs w:val="32"/>
          <w:highlight w:val="none"/>
          <w:lang w:val="en-US" w:eastAsia="zh-CN"/>
        </w:rPr>
        <w:t>中心</w:t>
      </w:r>
      <w:r>
        <w:rPr>
          <w:rFonts w:hint="default" w:ascii="Times New Roman" w:hAnsi="Times New Roman" w:eastAsia="楷体_GB2312" w:cs="Times New Roman"/>
          <w:color w:val="auto"/>
          <w:sz w:val="32"/>
          <w:szCs w:val="32"/>
          <w:highlight w:val="none"/>
          <w:lang w:val="zh-CN"/>
        </w:rPr>
        <w:t>等部门配合）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left="0" w:leftChars="0" w:firstLine="640" w:firstLineChars="200"/>
        <w:textAlignment w:val="auto"/>
        <w:rPr>
          <w:rFonts w:hint="default" w:ascii="Times New Roman" w:hAnsi="Times New Roman" w:eastAsia="楷体_GB2312" w:cs="Times New Roman"/>
          <w:color w:val="auto"/>
          <w:sz w:val="32"/>
          <w:szCs w:val="32"/>
          <w:highlight w:val="none"/>
          <w:lang w:val="zh-CN"/>
        </w:rPr>
      </w:pPr>
      <w:r>
        <w:rPr>
          <w:rFonts w:hint="eastAsia" w:ascii="Times New Roman" w:hAnsi="Times New Roman" w:eastAsia="楷体_GB2312" w:cs="Times New Roman"/>
          <w:color w:val="auto"/>
          <w:sz w:val="32"/>
          <w:szCs w:val="32"/>
          <w:highlight w:val="none"/>
          <w:lang w:val="en-US" w:eastAsia="zh-CN"/>
        </w:rPr>
        <w:t>48</w:t>
      </w:r>
      <w:r>
        <w:rPr>
          <w:rFonts w:hint="default" w:ascii="Times New Roman" w:hAnsi="Times New Roman" w:eastAsia="楷体_GB2312" w:cs="Times New Roman"/>
          <w:color w:val="auto"/>
          <w:sz w:val="32"/>
          <w:szCs w:val="32"/>
          <w:highlight w:val="none"/>
        </w:rPr>
        <w:t>.</w:t>
      </w:r>
      <w:r>
        <w:rPr>
          <w:rFonts w:hint="eastAsia" w:ascii="Times New Roman" w:hAnsi="Times New Roman" w:eastAsia="楷体_GB2312" w:cs="Times New Roman"/>
          <w:color w:val="auto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default" w:ascii="Times New Roman" w:hAnsi="Times New Roman" w:eastAsia="楷体_GB2312" w:cs="Times New Roman"/>
          <w:color w:val="auto"/>
          <w:sz w:val="32"/>
          <w:szCs w:val="32"/>
          <w:highlight w:val="none"/>
        </w:rPr>
        <w:t>融入国家重大战略和区域发展布局。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推进开发区高质量发展，全力支持开发区创建国家级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经济技术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开发区。完善专业园区图谱，全力推动园区建设提质增效。落实济淄同城化发展战略，全力抓好省会经济圈一体化及济淄同城化工作。全面对接“齐鲁科创大走廊”，聚焦汽车制造、现代激光、生物医药、5G等同质产业，以开发区、岭子镇为依托，打造济淄同城化产业转移承接区，将开发区建设成为济淄同城化“桥头堡”。</w:t>
      </w:r>
      <w:r>
        <w:rPr>
          <w:rFonts w:hint="default" w:ascii="Times New Roman" w:hAnsi="Times New Roman" w:eastAsia="楷体_GB2312" w:cs="Times New Roman"/>
          <w:color w:val="auto"/>
          <w:sz w:val="32"/>
          <w:szCs w:val="32"/>
          <w:highlight w:val="none"/>
          <w:lang w:val="zh-CN"/>
        </w:rPr>
        <w:t>（</w:t>
      </w:r>
      <w:r>
        <w:rPr>
          <w:rFonts w:hint="default" w:ascii="Times New Roman" w:hAnsi="Times New Roman" w:eastAsia="楷体_GB2312" w:cs="Times New Roman"/>
          <w:color w:val="auto"/>
          <w:sz w:val="32"/>
          <w:szCs w:val="32"/>
          <w:highlight w:val="none"/>
          <w:lang w:val="en-US" w:eastAsia="zh-CN"/>
        </w:rPr>
        <w:t>区发改局</w:t>
      </w:r>
      <w:r>
        <w:rPr>
          <w:rFonts w:hint="default" w:ascii="Times New Roman" w:hAnsi="Times New Roman" w:eastAsia="楷体_GB2312" w:cs="Times New Roman"/>
          <w:color w:val="auto"/>
          <w:sz w:val="32"/>
          <w:szCs w:val="32"/>
          <w:highlight w:val="none"/>
          <w:lang w:val="zh-CN"/>
        </w:rPr>
        <w:t>牵头，</w:t>
      </w:r>
      <w:r>
        <w:rPr>
          <w:rFonts w:hint="default" w:ascii="Times New Roman" w:hAnsi="Times New Roman" w:eastAsia="楷体_GB2312" w:cs="Times New Roman"/>
          <w:color w:val="auto"/>
          <w:sz w:val="32"/>
          <w:szCs w:val="32"/>
          <w:highlight w:val="none"/>
          <w:lang w:val="en-US" w:eastAsia="zh-CN"/>
        </w:rPr>
        <w:t>区</w:t>
      </w:r>
      <w:r>
        <w:rPr>
          <w:rFonts w:hint="default" w:ascii="Times New Roman" w:hAnsi="Times New Roman" w:eastAsia="楷体_GB2312" w:cs="Times New Roman"/>
          <w:color w:val="auto"/>
          <w:sz w:val="32"/>
          <w:szCs w:val="32"/>
          <w:highlight w:val="none"/>
          <w:lang w:val="zh-CN"/>
        </w:rPr>
        <w:t>有关部门配合）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left="0" w:leftChars="0" w:firstLine="640" w:firstLineChars="200"/>
        <w:textAlignment w:val="auto"/>
        <w:rPr>
          <w:rFonts w:hint="default" w:ascii="Times New Roman" w:hAnsi="Times New Roman" w:eastAsia="黑体" w:cs="Times New Roman"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黑体" w:cs="Times New Roman"/>
          <w:color w:val="auto"/>
          <w:sz w:val="32"/>
          <w:szCs w:val="32"/>
          <w:highlight w:val="none"/>
        </w:rPr>
        <w:t>九、繁荣发展文化事业产业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left="0" w:leftChars="0"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</w:pPr>
      <w:r>
        <w:rPr>
          <w:rFonts w:hint="eastAsia" w:ascii="Times New Roman" w:hAnsi="Times New Roman" w:eastAsia="楷体_GB2312" w:cs="Times New Roman"/>
          <w:color w:val="auto"/>
          <w:sz w:val="32"/>
          <w:szCs w:val="32"/>
          <w:highlight w:val="none"/>
          <w:lang w:val="en-US" w:eastAsia="zh-CN"/>
        </w:rPr>
        <w:t>49</w:t>
      </w:r>
      <w:r>
        <w:rPr>
          <w:rFonts w:hint="default" w:ascii="Times New Roman" w:hAnsi="Times New Roman" w:eastAsia="楷体_GB2312" w:cs="Times New Roman"/>
          <w:color w:val="auto"/>
          <w:sz w:val="32"/>
          <w:szCs w:val="32"/>
          <w:highlight w:val="none"/>
        </w:rPr>
        <w:t>.</w:t>
      </w:r>
      <w:r>
        <w:rPr>
          <w:rFonts w:hint="eastAsia" w:ascii="Times New Roman" w:hAnsi="Times New Roman" w:eastAsia="楷体_GB2312" w:cs="Times New Roman"/>
          <w:color w:val="auto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default" w:ascii="Times New Roman" w:hAnsi="Times New Roman" w:eastAsia="楷体_GB2312" w:cs="Times New Roman"/>
          <w:color w:val="auto"/>
          <w:sz w:val="32"/>
          <w:szCs w:val="32"/>
          <w:highlight w:val="none"/>
        </w:rPr>
        <w:t>实施文明</w:t>
      </w:r>
      <w:r>
        <w:rPr>
          <w:rFonts w:hint="default" w:ascii="Times New Roman" w:hAnsi="Times New Roman" w:eastAsia="楷体_GB2312" w:cs="Times New Roman"/>
          <w:color w:val="auto"/>
          <w:sz w:val="32"/>
          <w:szCs w:val="32"/>
          <w:highlight w:val="none"/>
          <w:lang w:eastAsia="zh-CN"/>
        </w:rPr>
        <w:t>城市建设</w:t>
      </w:r>
      <w:r>
        <w:rPr>
          <w:rFonts w:hint="default" w:ascii="Times New Roman" w:hAnsi="Times New Roman" w:eastAsia="楷体_GB2312" w:cs="Times New Roman"/>
          <w:color w:val="auto"/>
          <w:sz w:val="32"/>
          <w:szCs w:val="32"/>
          <w:highlight w:val="none"/>
        </w:rPr>
        <w:t>工程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。顺利通过全国和省级文明城市测评，争创省级文明区。开展新时代公民道德建设行动，高品质拓展新时代文明实践中心建设，打造“美德信用·有爱淄川”品牌。健全完善爱国主义教育基地管理机制，开展好爱国主义教育基地建立健全电子档案工作。常态化组织中小学生开展“进红色文化场所、听红色革命故事、担民族复兴大任、做时代新人”主题实践活动，传承红色精神。（</w:t>
      </w:r>
      <w:r>
        <w:rPr>
          <w:rFonts w:hint="default" w:ascii="Times New Roman" w:hAnsi="Times New Roman" w:eastAsia="楷体_GB2312" w:cs="Times New Roman"/>
          <w:color w:val="auto"/>
          <w:sz w:val="32"/>
          <w:szCs w:val="32"/>
          <w:highlight w:val="none"/>
          <w:lang w:val="en-US" w:eastAsia="zh-CN"/>
        </w:rPr>
        <w:t>区</w:t>
      </w:r>
      <w:r>
        <w:rPr>
          <w:rFonts w:hint="default" w:ascii="Times New Roman" w:hAnsi="Times New Roman" w:eastAsia="楷体_GB2312" w:cs="Times New Roman"/>
          <w:color w:val="auto"/>
          <w:sz w:val="32"/>
          <w:szCs w:val="32"/>
          <w:highlight w:val="none"/>
        </w:rPr>
        <w:t>委宣传部牵头，</w:t>
      </w:r>
      <w:r>
        <w:rPr>
          <w:rFonts w:hint="default" w:ascii="Times New Roman" w:hAnsi="Times New Roman" w:eastAsia="楷体_GB2312" w:cs="Times New Roman"/>
          <w:color w:val="auto"/>
          <w:sz w:val="32"/>
          <w:szCs w:val="32"/>
          <w:highlight w:val="none"/>
          <w:lang w:val="en-US" w:eastAsia="zh-CN"/>
        </w:rPr>
        <w:t>区</w:t>
      </w:r>
      <w:r>
        <w:rPr>
          <w:rFonts w:hint="default" w:ascii="Times New Roman" w:hAnsi="Times New Roman" w:eastAsia="楷体_GB2312" w:cs="Times New Roman"/>
          <w:color w:val="auto"/>
          <w:sz w:val="32"/>
          <w:szCs w:val="32"/>
          <w:highlight w:val="none"/>
        </w:rPr>
        <w:t>委组织部、</w:t>
      </w:r>
      <w:r>
        <w:rPr>
          <w:rFonts w:hint="default" w:ascii="Times New Roman" w:hAnsi="Times New Roman" w:eastAsia="楷体_GB2312" w:cs="Times New Roman"/>
          <w:color w:val="auto"/>
          <w:sz w:val="32"/>
          <w:szCs w:val="32"/>
          <w:highlight w:val="none"/>
          <w:lang w:val="en-US" w:eastAsia="zh-CN"/>
        </w:rPr>
        <w:t>区文旅</w:t>
      </w:r>
      <w:r>
        <w:rPr>
          <w:rFonts w:hint="default" w:ascii="Times New Roman" w:hAnsi="Times New Roman" w:eastAsia="楷体_GB2312" w:cs="Times New Roman"/>
          <w:color w:val="auto"/>
          <w:sz w:val="32"/>
          <w:szCs w:val="32"/>
          <w:highlight w:val="none"/>
        </w:rPr>
        <w:t>局等部门配合）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left="0" w:leftChars="0" w:firstLine="640" w:firstLineChars="200"/>
        <w:textAlignment w:val="auto"/>
        <w:rPr>
          <w:rFonts w:hint="default" w:ascii="Times New Roman" w:hAnsi="Times New Roman" w:eastAsia="楷体_GB2312" w:cs="Times New Roman"/>
          <w:color w:val="C00000"/>
          <w:sz w:val="32"/>
          <w:szCs w:val="32"/>
          <w:highlight w:val="none"/>
        </w:rPr>
      </w:pPr>
      <w:r>
        <w:rPr>
          <w:rFonts w:hint="default" w:ascii="Times New Roman" w:hAnsi="Times New Roman" w:eastAsia="楷体_GB2312" w:cs="Times New Roman"/>
          <w:color w:val="auto"/>
          <w:sz w:val="32"/>
          <w:szCs w:val="32"/>
          <w:highlight w:val="none"/>
          <w:u w:val="none"/>
        </w:rPr>
        <w:t>5</w:t>
      </w:r>
      <w:r>
        <w:rPr>
          <w:rFonts w:hint="eastAsia" w:ascii="Times New Roman" w:hAnsi="Times New Roman" w:eastAsia="楷体_GB2312" w:cs="Times New Roman"/>
          <w:color w:val="auto"/>
          <w:sz w:val="32"/>
          <w:szCs w:val="32"/>
          <w:highlight w:val="none"/>
          <w:u w:val="none"/>
          <w:lang w:val="en-US" w:eastAsia="zh-CN"/>
        </w:rPr>
        <w:t>0</w:t>
      </w:r>
      <w:r>
        <w:rPr>
          <w:rFonts w:hint="default" w:ascii="Times New Roman" w:hAnsi="Times New Roman" w:eastAsia="楷体_GB2312" w:cs="Times New Roman"/>
          <w:color w:val="auto"/>
          <w:sz w:val="32"/>
          <w:szCs w:val="32"/>
          <w:highlight w:val="none"/>
          <w:u w:val="none"/>
        </w:rPr>
        <w:t>.</w:t>
      </w:r>
      <w:r>
        <w:rPr>
          <w:rFonts w:hint="eastAsia" w:ascii="Times New Roman" w:hAnsi="Times New Roman" w:eastAsia="楷体_GB2312" w:cs="Times New Roman"/>
          <w:color w:val="auto"/>
          <w:sz w:val="32"/>
          <w:szCs w:val="32"/>
          <w:highlight w:val="none"/>
          <w:u w:val="none"/>
          <w:lang w:val="en-US" w:eastAsia="zh-CN"/>
        </w:rPr>
        <w:t xml:space="preserve"> </w:t>
      </w:r>
      <w:r>
        <w:rPr>
          <w:rFonts w:hint="default" w:ascii="Times New Roman" w:hAnsi="Times New Roman" w:eastAsia="楷体_GB2312" w:cs="Times New Roman"/>
          <w:color w:val="auto"/>
          <w:sz w:val="32"/>
          <w:szCs w:val="32"/>
          <w:highlight w:val="none"/>
          <w:u w:val="none"/>
        </w:rPr>
        <w:t>传承弘扬优秀文化。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none"/>
        </w:rPr>
        <w:t>编写《淄川手造》，深入开展推进中华优秀传统文化“两创”突破行动，建立完善工作推进机制，年内取得标志性成果。持续挖掘利用好优秀地域文化，传承弘扬聊斋文化、陶琉文化发展，深化各级非遗资源管理，组织开展淄川非遗大集、非遗助力乡村振兴论坛、聊斋文化传承挖掘座谈会等活动。深入推动中华优秀传统文化创造性转化、创新性发展，激发非物质文化遗产传承新活力。积极推动渭一窑址考古遗址公园建设。</w:t>
      </w:r>
      <w:r>
        <w:rPr>
          <w:rFonts w:hint="default" w:ascii="Times New Roman" w:hAnsi="Times New Roman" w:eastAsia="楷体_GB2312" w:cs="Times New Roman"/>
          <w:color w:val="auto"/>
          <w:sz w:val="32"/>
          <w:szCs w:val="32"/>
          <w:highlight w:val="none"/>
          <w:u w:val="none"/>
        </w:rPr>
        <w:t>（</w:t>
      </w:r>
      <w:r>
        <w:rPr>
          <w:rFonts w:hint="default" w:ascii="Times New Roman" w:hAnsi="Times New Roman" w:eastAsia="楷体_GB2312" w:cs="Times New Roman"/>
          <w:color w:val="auto"/>
          <w:sz w:val="32"/>
          <w:szCs w:val="32"/>
          <w:highlight w:val="none"/>
          <w:u w:val="none"/>
          <w:lang w:val="en-US" w:eastAsia="zh-CN"/>
        </w:rPr>
        <w:t>区</w:t>
      </w:r>
      <w:r>
        <w:rPr>
          <w:rFonts w:hint="default" w:ascii="Times New Roman" w:hAnsi="Times New Roman" w:eastAsia="楷体_GB2312" w:cs="Times New Roman"/>
          <w:color w:val="auto"/>
          <w:sz w:val="32"/>
          <w:szCs w:val="32"/>
          <w:highlight w:val="none"/>
          <w:u w:val="none"/>
        </w:rPr>
        <w:t>委宣传部牵头，</w:t>
      </w:r>
      <w:r>
        <w:rPr>
          <w:rFonts w:hint="default" w:ascii="Times New Roman" w:hAnsi="Times New Roman" w:eastAsia="楷体_GB2312" w:cs="Times New Roman"/>
          <w:color w:val="auto"/>
          <w:sz w:val="32"/>
          <w:szCs w:val="32"/>
          <w:highlight w:val="none"/>
          <w:u w:val="none"/>
          <w:lang w:val="en-US" w:eastAsia="zh-CN"/>
        </w:rPr>
        <w:t>区文旅</w:t>
      </w:r>
      <w:r>
        <w:rPr>
          <w:rFonts w:hint="default" w:ascii="Times New Roman" w:hAnsi="Times New Roman" w:eastAsia="楷体_GB2312" w:cs="Times New Roman"/>
          <w:color w:val="auto"/>
          <w:sz w:val="32"/>
          <w:szCs w:val="32"/>
          <w:highlight w:val="none"/>
          <w:u w:val="none"/>
        </w:rPr>
        <w:t>局等部门配合）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left="0" w:leftChars="0" w:firstLine="640" w:firstLineChars="200"/>
        <w:jc w:val="both"/>
        <w:textAlignment w:val="auto"/>
        <w:rPr>
          <w:rFonts w:hint="default" w:ascii="Times New Roman" w:hAnsi="Times New Roman" w:eastAsia="楷体_GB2312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default" w:ascii="Times New Roman" w:hAnsi="Times New Roman" w:eastAsia="楷体_GB2312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  <w:t>5</w:t>
      </w:r>
      <w:r>
        <w:rPr>
          <w:rFonts w:hint="eastAsia" w:ascii="Times New Roman" w:hAnsi="Times New Roman" w:eastAsia="楷体_GB2312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  <w:t>1</w:t>
      </w:r>
      <w:r>
        <w:rPr>
          <w:rFonts w:hint="default" w:ascii="Times New Roman" w:hAnsi="Times New Roman" w:eastAsia="楷体_GB2312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  <w:t>.</w:t>
      </w:r>
      <w:r>
        <w:rPr>
          <w:rFonts w:hint="eastAsia" w:ascii="Times New Roman" w:hAnsi="Times New Roman" w:eastAsia="楷体_GB2312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  <w:t xml:space="preserve"> </w:t>
      </w:r>
      <w:r>
        <w:rPr>
          <w:rFonts w:hint="default" w:ascii="Times New Roman" w:hAnsi="Times New Roman" w:eastAsia="楷体_GB2312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  <w:t>推进文化品质建设。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  <w:t>全新创排10部文艺精品，组织高品质文化展演活动不少于11项。新建公共阅读空间，配套建设城市书房2处，文化驿站2处，阅读书吧5处。</w:t>
      </w:r>
      <w:r>
        <w:rPr>
          <w:rFonts w:hint="default" w:ascii="Times New Roman" w:hAnsi="Times New Roman" w:eastAsia="楷体_GB2312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  <w:t>（区文旅局负责）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楷体_GB2312" w:cs="Times New Roman"/>
          <w:color w:val="auto"/>
          <w:sz w:val="32"/>
          <w:szCs w:val="32"/>
          <w:highlight w:val="none"/>
        </w:rPr>
        <w:t>5</w:t>
      </w:r>
      <w:r>
        <w:rPr>
          <w:rFonts w:hint="eastAsia" w:ascii="Times New Roman" w:hAnsi="Times New Roman" w:eastAsia="楷体_GB2312" w:cs="Times New Roman"/>
          <w:color w:val="auto"/>
          <w:sz w:val="32"/>
          <w:szCs w:val="32"/>
          <w:highlight w:val="none"/>
          <w:lang w:val="en-US" w:eastAsia="zh-CN"/>
        </w:rPr>
        <w:t>2</w:t>
      </w:r>
      <w:r>
        <w:rPr>
          <w:rFonts w:hint="default" w:ascii="Times New Roman" w:hAnsi="Times New Roman" w:eastAsia="楷体_GB2312" w:cs="Times New Roman"/>
          <w:color w:val="auto"/>
          <w:sz w:val="32"/>
          <w:szCs w:val="32"/>
          <w:highlight w:val="none"/>
        </w:rPr>
        <w:t>.</w:t>
      </w:r>
      <w:r>
        <w:rPr>
          <w:rFonts w:hint="eastAsia" w:ascii="Times New Roman" w:hAnsi="Times New Roman" w:eastAsia="楷体_GB2312" w:cs="Times New Roman"/>
          <w:color w:val="auto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default" w:ascii="Times New Roman" w:hAnsi="Times New Roman" w:eastAsia="楷体_GB2312" w:cs="Times New Roman"/>
          <w:color w:val="auto"/>
          <w:sz w:val="32"/>
          <w:szCs w:val="32"/>
          <w:highlight w:val="none"/>
        </w:rPr>
        <w:t>大力发展文化产业。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lang w:bidi="ar"/>
        </w:rPr>
        <w:t>扎实推进“山东手造·齐品淄博”工程，以“聊斋故里·水韵瓷都”城市形象推介为目的，以“手造淄川·礼遇般阳”区域品牌为载体，不断夯实手造企业提升发展平台，积极推进企业数字化转型和设计提升，争取在数量、产业规模、展会参与、社会影响等各个方面成为山东手造“排头兵”。</w:t>
      </w:r>
      <w:r>
        <w:rPr>
          <w:rFonts w:hint="default" w:ascii="Times New Roman" w:hAnsi="Times New Roman" w:eastAsia="楷体_GB2312" w:cs="Times New Roman"/>
          <w:color w:val="auto"/>
          <w:sz w:val="32"/>
          <w:szCs w:val="32"/>
          <w:highlight w:val="none"/>
        </w:rPr>
        <w:t>（</w:t>
      </w:r>
      <w:r>
        <w:rPr>
          <w:rFonts w:hint="default" w:ascii="Times New Roman" w:hAnsi="Times New Roman" w:eastAsia="楷体_GB2312" w:cs="Times New Roman"/>
          <w:color w:val="auto"/>
          <w:sz w:val="32"/>
          <w:szCs w:val="32"/>
          <w:highlight w:val="none"/>
          <w:lang w:val="en-US" w:eastAsia="zh-CN"/>
        </w:rPr>
        <w:t>区</w:t>
      </w:r>
      <w:r>
        <w:rPr>
          <w:rFonts w:hint="default" w:ascii="Times New Roman" w:hAnsi="Times New Roman" w:eastAsia="楷体_GB2312" w:cs="Times New Roman"/>
          <w:color w:val="auto"/>
          <w:sz w:val="32"/>
          <w:szCs w:val="32"/>
          <w:highlight w:val="none"/>
        </w:rPr>
        <w:t>委宣传部牵头，</w:t>
      </w:r>
      <w:r>
        <w:rPr>
          <w:rFonts w:hint="default" w:ascii="Times New Roman" w:hAnsi="Times New Roman" w:eastAsia="楷体_GB2312" w:cs="Times New Roman"/>
          <w:color w:val="auto"/>
          <w:sz w:val="32"/>
          <w:szCs w:val="32"/>
          <w:highlight w:val="none"/>
          <w:lang w:val="en-US" w:eastAsia="zh-CN"/>
        </w:rPr>
        <w:t>区文旅</w:t>
      </w:r>
      <w:r>
        <w:rPr>
          <w:rFonts w:hint="default" w:ascii="Times New Roman" w:hAnsi="Times New Roman" w:eastAsia="楷体_GB2312" w:cs="Times New Roman"/>
          <w:color w:val="auto"/>
          <w:sz w:val="32"/>
          <w:szCs w:val="32"/>
          <w:highlight w:val="none"/>
        </w:rPr>
        <w:t>局等部门配合）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left="0" w:leftChars="0" w:firstLine="640" w:firstLineChars="200"/>
        <w:textAlignment w:val="auto"/>
        <w:rPr>
          <w:rFonts w:hint="default" w:ascii="Times New Roman" w:hAnsi="Times New Roman" w:eastAsia="楷体_GB2312" w:cs="Times New Roman"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楷体_GB2312" w:cs="Times New Roman"/>
          <w:color w:val="auto"/>
          <w:sz w:val="32"/>
          <w:szCs w:val="32"/>
          <w:highlight w:val="none"/>
        </w:rPr>
        <w:t>5</w:t>
      </w:r>
      <w:r>
        <w:rPr>
          <w:rFonts w:hint="eastAsia" w:ascii="Times New Roman" w:hAnsi="Times New Roman" w:eastAsia="楷体_GB2312" w:cs="Times New Roman"/>
          <w:color w:val="auto"/>
          <w:sz w:val="32"/>
          <w:szCs w:val="32"/>
          <w:highlight w:val="none"/>
          <w:lang w:val="en-US" w:eastAsia="zh-CN"/>
        </w:rPr>
        <w:t>3</w:t>
      </w:r>
      <w:r>
        <w:rPr>
          <w:rFonts w:hint="default" w:ascii="Times New Roman" w:hAnsi="Times New Roman" w:eastAsia="楷体_GB2312" w:cs="Times New Roman"/>
          <w:color w:val="auto"/>
          <w:sz w:val="32"/>
          <w:szCs w:val="32"/>
          <w:highlight w:val="none"/>
        </w:rPr>
        <w:t>.</w:t>
      </w:r>
      <w:r>
        <w:rPr>
          <w:rFonts w:hint="eastAsia" w:ascii="Times New Roman" w:hAnsi="Times New Roman" w:eastAsia="楷体_GB2312" w:cs="Times New Roman"/>
          <w:color w:val="auto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default" w:ascii="Times New Roman" w:hAnsi="Times New Roman" w:eastAsia="楷体_GB2312" w:cs="Times New Roman"/>
          <w:color w:val="auto"/>
          <w:sz w:val="32"/>
          <w:szCs w:val="32"/>
          <w:highlight w:val="none"/>
        </w:rPr>
        <w:t>推动文旅融合发展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。实施文旅融合发展攀升计划，以实现“文旅产业有效突破”为目标，高效统筹推进项目建设和产业发展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。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加强A级景区创建和管理，争取年内创建3A级景区1家。</w:t>
      </w:r>
      <w:r>
        <w:rPr>
          <w:rFonts w:hint="default" w:ascii="Times New Roman" w:hAnsi="Times New Roman" w:eastAsia="楷体_GB2312" w:cs="Times New Roman"/>
          <w:color w:val="auto"/>
          <w:sz w:val="32"/>
          <w:szCs w:val="32"/>
          <w:highlight w:val="none"/>
        </w:rPr>
        <w:t>（</w:t>
      </w:r>
      <w:r>
        <w:rPr>
          <w:rFonts w:hint="default" w:ascii="Times New Roman" w:hAnsi="Times New Roman" w:eastAsia="楷体_GB2312" w:cs="Times New Roman"/>
          <w:color w:val="auto"/>
          <w:sz w:val="32"/>
          <w:szCs w:val="32"/>
          <w:highlight w:val="none"/>
          <w:lang w:val="en-US" w:eastAsia="zh-CN"/>
        </w:rPr>
        <w:t>区文旅局</w:t>
      </w:r>
      <w:r>
        <w:rPr>
          <w:rFonts w:hint="default" w:ascii="Times New Roman" w:hAnsi="Times New Roman" w:eastAsia="楷体_GB2312" w:cs="Times New Roman"/>
          <w:color w:val="auto"/>
          <w:sz w:val="32"/>
          <w:szCs w:val="32"/>
          <w:highlight w:val="none"/>
        </w:rPr>
        <w:t>负责）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left="0" w:leftChars="0" w:firstLine="640" w:firstLineChars="200"/>
        <w:textAlignment w:val="auto"/>
        <w:rPr>
          <w:rFonts w:hint="default" w:ascii="Times New Roman" w:hAnsi="Times New Roman" w:eastAsia="楷体_GB2312" w:cs="Times New Roman"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楷体_GB2312" w:cs="Times New Roman"/>
          <w:color w:val="auto"/>
          <w:sz w:val="32"/>
          <w:szCs w:val="32"/>
          <w:highlight w:val="none"/>
        </w:rPr>
        <w:t>5</w:t>
      </w:r>
      <w:r>
        <w:rPr>
          <w:rFonts w:hint="eastAsia" w:ascii="Times New Roman" w:hAnsi="Times New Roman" w:eastAsia="楷体_GB2312" w:cs="Times New Roman"/>
          <w:color w:val="auto"/>
          <w:sz w:val="32"/>
          <w:szCs w:val="32"/>
          <w:highlight w:val="none"/>
          <w:lang w:val="en-US" w:eastAsia="zh-CN"/>
        </w:rPr>
        <w:t>4</w:t>
      </w:r>
      <w:r>
        <w:rPr>
          <w:rFonts w:hint="default" w:ascii="Times New Roman" w:hAnsi="Times New Roman" w:eastAsia="楷体_GB2312" w:cs="Times New Roman"/>
          <w:color w:val="auto"/>
          <w:sz w:val="32"/>
          <w:szCs w:val="32"/>
          <w:highlight w:val="none"/>
        </w:rPr>
        <w:t>.</w:t>
      </w:r>
      <w:r>
        <w:rPr>
          <w:rFonts w:hint="eastAsia" w:ascii="Times New Roman" w:hAnsi="Times New Roman" w:eastAsia="楷体_GB2312" w:cs="Times New Roman"/>
          <w:color w:val="auto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default" w:ascii="Times New Roman" w:hAnsi="Times New Roman" w:eastAsia="楷体_GB2312" w:cs="Times New Roman"/>
          <w:color w:val="auto"/>
          <w:sz w:val="32"/>
          <w:szCs w:val="32"/>
          <w:highlight w:val="none"/>
        </w:rPr>
        <w:t>推进工业遗产保护利用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。适时开展工业遗产普查认定，加强工业遗址保护利用，加快推进国家工业遗产申报工作。（</w:t>
      </w:r>
      <w:r>
        <w:rPr>
          <w:rFonts w:hint="default" w:ascii="Times New Roman" w:hAnsi="Times New Roman" w:eastAsia="楷体_GB2312" w:cs="Times New Roman"/>
          <w:color w:val="auto"/>
          <w:sz w:val="32"/>
          <w:szCs w:val="32"/>
          <w:highlight w:val="none"/>
          <w:lang w:val="en-US" w:eastAsia="zh-CN"/>
        </w:rPr>
        <w:t>区发改局</w:t>
      </w:r>
      <w:r>
        <w:rPr>
          <w:rFonts w:hint="default" w:ascii="Times New Roman" w:hAnsi="Times New Roman" w:eastAsia="楷体_GB2312" w:cs="Times New Roman"/>
          <w:color w:val="auto"/>
          <w:sz w:val="32"/>
          <w:szCs w:val="32"/>
          <w:highlight w:val="none"/>
        </w:rPr>
        <w:t>牵头，</w:t>
      </w:r>
      <w:r>
        <w:rPr>
          <w:rFonts w:hint="default" w:ascii="Times New Roman" w:hAnsi="Times New Roman" w:eastAsia="楷体_GB2312" w:cs="Times New Roman"/>
          <w:color w:val="auto"/>
          <w:sz w:val="32"/>
          <w:szCs w:val="32"/>
          <w:highlight w:val="none"/>
          <w:lang w:val="en-US" w:eastAsia="zh-CN"/>
        </w:rPr>
        <w:t>区工信</w:t>
      </w:r>
      <w:r>
        <w:rPr>
          <w:rFonts w:hint="default" w:ascii="Times New Roman" w:hAnsi="Times New Roman" w:eastAsia="楷体_GB2312" w:cs="Times New Roman"/>
          <w:color w:val="auto"/>
          <w:sz w:val="32"/>
          <w:szCs w:val="32"/>
          <w:highlight w:val="none"/>
        </w:rPr>
        <w:t>局、</w:t>
      </w:r>
      <w:r>
        <w:rPr>
          <w:rFonts w:hint="default" w:ascii="Times New Roman" w:hAnsi="Times New Roman" w:eastAsia="楷体_GB2312" w:cs="Times New Roman"/>
          <w:color w:val="auto"/>
          <w:sz w:val="32"/>
          <w:szCs w:val="32"/>
          <w:highlight w:val="none"/>
          <w:lang w:val="en-US" w:eastAsia="zh-CN"/>
        </w:rPr>
        <w:t>区文旅</w:t>
      </w:r>
      <w:r>
        <w:rPr>
          <w:rFonts w:hint="default" w:ascii="Times New Roman" w:hAnsi="Times New Roman" w:eastAsia="楷体_GB2312" w:cs="Times New Roman"/>
          <w:color w:val="auto"/>
          <w:sz w:val="32"/>
          <w:szCs w:val="32"/>
          <w:highlight w:val="none"/>
        </w:rPr>
        <w:t>局等部门配合）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560" w:lineRule="exact"/>
        <w:ind w:left="0" w:leftChars="0" w:firstLine="640" w:firstLineChars="200"/>
        <w:textAlignment w:val="auto"/>
        <w:rPr>
          <w:rFonts w:hint="default" w:ascii="Times New Roman" w:hAnsi="Times New Roman" w:eastAsia="方正黑体_GBK" w:cs="Times New Roman"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黑体" w:cs="Times New Roman"/>
          <w:color w:val="auto"/>
          <w:kern w:val="2"/>
          <w:sz w:val="32"/>
          <w:szCs w:val="32"/>
          <w:lang w:val="en-US" w:eastAsia="zh-CN" w:bidi="ar-SA"/>
        </w:rPr>
        <w:t>十、</w:t>
      </w:r>
      <w:r>
        <w:rPr>
          <w:rFonts w:hint="default" w:ascii="Times New Roman" w:hAnsi="Times New Roman" w:eastAsia="黑体" w:cs="Times New Roman"/>
          <w:color w:val="auto"/>
          <w:sz w:val="32"/>
          <w:szCs w:val="32"/>
          <w:highlight w:val="none"/>
        </w:rPr>
        <w:t>扎实推进共同富裕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left="0" w:leftChars="0" w:firstLine="640" w:firstLineChars="200"/>
        <w:textAlignment w:val="auto"/>
        <w:outlineLvl w:val="2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楷体_GB2312" w:cs="Times New Roman"/>
          <w:color w:val="auto"/>
          <w:sz w:val="32"/>
          <w:szCs w:val="32"/>
          <w:highlight w:val="none"/>
          <w:lang w:val="en-US" w:eastAsia="zh-CN"/>
        </w:rPr>
        <w:t>5</w:t>
      </w:r>
      <w:r>
        <w:rPr>
          <w:rFonts w:hint="eastAsia" w:ascii="Times New Roman" w:hAnsi="Times New Roman" w:eastAsia="楷体_GB2312" w:cs="Times New Roman"/>
          <w:color w:val="auto"/>
          <w:sz w:val="32"/>
          <w:szCs w:val="32"/>
          <w:highlight w:val="none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.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default" w:ascii="Times New Roman" w:hAnsi="Times New Roman" w:eastAsia="楷体_GB2312" w:cs="Times New Roman"/>
          <w:color w:val="auto"/>
          <w:sz w:val="32"/>
          <w:szCs w:val="32"/>
          <w:highlight w:val="none"/>
        </w:rPr>
        <w:t>促进居民就业和增收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。深化收入分配制度改革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，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区居民人均可支配收入达4.4万元左右，增长率达6%以上，低收入群体收入增长高于居民收入平均增长水平。建立困难群众救助保障标准动态调整机制，逐步提高困难群众救助保障水平。落实农民工、大学生和退役军人等返乡创业定向减税、普遍性降费措施及创业担保贷款贴息政策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。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（</w:t>
      </w:r>
      <w:r>
        <w:rPr>
          <w:rFonts w:hint="default" w:ascii="Times New Roman" w:hAnsi="Times New Roman" w:eastAsia="楷体_GB2312" w:cs="Times New Roman"/>
          <w:color w:val="auto"/>
          <w:sz w:val="32"/>
          <w:szCs w:val="32"/>
          <w:highlight w:val="none"/>
          <w:lang w:val="en-US" w:eastAsia="zh-CN"/>
        </w:rPr>
        <w:t>区发改局</w:t>
      </w:r>
      <w:r>
        <w:rPr>
          <w:rFonts w:hint="default" w:ascii="Times New Roman" w:hAnsi="Times New Roman" w:eastAsia="楷体_GB2312" w:cs="Times New Roman"/>
          <w:color w:val="auto"/>
          <w:sz w:val="32"/>
          <w:szCs w:val="32"/>
          <w:highlight w:val="none"/>
        </w:rPr>
        <w:t>、</w:t>
      </w:r>
      <w:r>
        <w:rPr>
          <w:rFonts w:hint="default" w:ascii="Times New Roman" w:hAnsi="Times New Roman" w:eastAsia="楷体_GB2312" w:cs="Times New Roman"/>
          <w:color w:val="auto"/>
          <w:sz w:val="32"/>
          <w:szCs w:val="32"/>
          <w:highlight w:val="none"/>
          <w:lang w:val="en-US" w:eastAsia="zh-CN"/>
        </w:rPr>
        <w:t>区人社局</w:t>
      </w:r>
      <w:r>
        <w:rPr>
          <w:rFonts w:hint="default" w:ascii="Times New Roman" w:hAnsi="Times New Roman" w:eastAsia="楷体_GB2312" w:cs="Times New Roman"/>
          <w:color w:val="auto"/>
          <w:sz w:val="32"/>
          <w:szCs w:val="32"/>
          <w:highlight w:val="none"/>
        </w:rPr>
        <w:t>牵头，</w:t>
      </w:r>
      <w:r>
        <w:rPr>
          <w:rFonts w:hint="default" w:ascii="Times New Roman" w:hAnsi="Times New Roman" w:eastAsia="楷体_GB2312" w:cs="Times New Roman"/>
          <w:color w:val="auto"/>
          <w:sz w:val="32"/>
          <w:szCs w:val="32"/>
          <w:highlight w:val="none"/>
          <w:lang w:val="en-US" w:eastAsia="zh-CN"/>
        </w:rPr>
        <w:t>区</w:t>
      </w:r>
      <w:r>
        <w:rPr>
          <w:rFonts w:hint="default" w:ascii="Times New Roman" w:hAnsi="Times New Roman" w:eastAsia="楷体_GB2312" w:cs="Times New Roman"/>
          <w:color w:val="auto"/>
          <w:sz w:val="32"/>
          <w:szCs w:val="32"/>
          <w:highlight w:val="none"/>
        </w:rPr>
        <w:t>委组织部、</w:t>
      </w:r>
      <w:r>
        <w:rPr>
          <w:rFonts w:hint="default" w:ascii="Times New Roman" w:hAnsi="Times New Roman" w:eastAsia="楷体_GB2312" w:cs="Times New Roman"/>
          <w:color w:val="auto"/>
          <w:sz w:val="32"/>
          <w:szCs w:val="32"/>
          <w:highlight w:val="none"/>
          <w:lang w:val="en-US" w:eastAsia="zh-CN"/>
        </w:rPr>
        <w:t>区</w:t>
      </w:r>
      <w:r>
        <w:rPr>
          <w:rFonts w:hint="default" w:ascii="Times New Roman" w:hAnsi="Times New Roman" w:eastAsia="楷体_GB2312" w:cs="Times New Roman"/>
          <w:color w:val="auto"/>
          <w:sz w:val="32"/>
          <w:szCs w:val="32"/>
          <w:highlight w:val="none"/>
        </w:rPr>
        <w:t>退役军人</w:t>
      </w:r>
      <w:r>
        <w:rPr>
          <w:rFonts w:hint="default" w:ascii="Times New Roman" w:hAnsi="Times New Roman" w:eastAsia="楷体_GB2312" w:cs="Times New Roman"/>
          <w:color w:val="auto"/>
          <w:sz w:val="32"/>
          <w:szCs w:val="32"/>
          <w:highlight w:val="none"/>
          <w:lang w:val="en-US" w:eastAsia="zh-CN"/>
        </w:rPr>
        <w:t>事务</w:t>
      </w:r>
      <w:r>
        <w:rPr>
          <w:rFonts w:hint="default" w:ascii="Times New Roman" w:hAnsi="Times New Roman" w:eastAsia="楷体_GB2312" w:cs="Times New Roman"/>
          <w:color w:val="auto"/>
          <w:sz w:val="32"/>
          <w:szCs w:val="32"/>
          <w:highlight w:val="none"/>
        </w:rPr>
        <w:t>局、</w:t>
      </w:r>
      <w:r>
        <w:rPr>
          <w:rFonts w:hint="default" w:ascii="Times New Roman" w:hAnsi="Times New Roman" w:eastAsia="楷体_GB2312" w:cs="Times New Roman"/>
          <w:color w:val="auto"/>
          <w:sz w:val="32"/>
          <w:szCs w:val="32"/>
          <w:highlight w:val="none"/>
          <w:lang w:val="en-US" w:eastAsia="zh-CN"/>
        </w:rPr>
        <w:t>区</w:t>
      </w:r>
      <w:r>
        <w:rPr>
          <w:rFonts w:hint="default" w:ascii="Times New Roman" w:hAnsi="Times New Roman" w:eastAsia="楷体_GB2312" w:cs="Times New Roman"/>
          <w:color w:val="auto"/>
          <w:sz w:val="32"/>
          <w:szCs w:val="32"/>
          <w:highlight w:val="none"/>
        </w:rPr>
        <w:t>税务局等部门配合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560" w:lineRule="exact"/>
        <w:ind w:left="0" w:leftChars="0" w:right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highlight w:val="none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lang w:val="en-US" w:eastAsia="zh-CN" w:bidi="ar"/>
        </w:rPr>
        <w:t>5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lang w:val="en-US" w:eastAsia="zh-CN" w:bidi="ar"/>
        </w:rPr>
        <w:t>6</w:t>
      </w:r>
      <w:r>
        <w:rPr>
          <w:rFonts w:hint="default" w:ascii="Times New Roman" w:hAnsi="Times New Roman" w:eastAsia="楷体_GB2312" w:cs="Times New Roman"/>
          <w:color w:val="auto"/>
          <w:kern w:val="0"/>
          <w:sz w:val="32"/>
          <w:szCs w:val="32"/>
          <w:highlight w:val="none"/>
          <w:lang w:val="en-US" w:eastAsia="zh-CN" w:bidi="ar"/>
        </w:rPr>
        <w:t>.</w:t>
      </w:r>
      <w:r>
        <w:rPr>
          <w:rFonts w:hint="eastAsia" w:ascii="Times New Roman" w:hAnsi="Times New Roman" w:eastAsia="楷体_GB2312" w:cs="Times New Roman"/>
          <w:color w:val="auto"/>
          <w:kern w:val="0"/>
          <w:sz w:val="32"/>
          <w:szCs w:val="32"/>
          <w:highlight w:val="none"/>
          <w:lang w:val="en-US" w:eastAsia="zh-CN" w:bidi="ar"/>
        </w:rPr>
        <w:t xml:space="preserve"> </w:t>
      </w:r>
      <w:r>
        <w:rPr>
          <w:rFonts w:hint="default" w:ascii="Times New Roman" w:hAnsi="Times New Roman" w:eastAsia="楷体_GB2312" w:cs="Times New Roman"/>
          <w:color w:val="auto"/>
          <w:kern w:val="0"/>
          <w:sz w:val="32"/>
          <w:szCs w:val="32"/>
          <w:highlight w:val="none"/>
          <w:lang w:val="en-US" w:eastAsia="zh-CN" w:bidi="ar"/>
        </w:rPr>
        <w:t>建设高质量教育体系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highlight w:val="none"/>
          <w:lang w:val="en-US" w:eastAsia="zh-CN" w:bidi="ar"/>
        </w:rPr>
        <w:t>。落实乡村振兴先行区重点任务，积极争创试验区。根据学生生源变化，适时调整农村学校布局。新建改扩建幼儿园3处。打造智慧教育新生态，中小学智慧校园比例达到60%以上。</w:t>
      </w:r>
      <w:r>
        <w:rPr>
          <w:rFonts w:hint="default" w:ascii="Times New Roman" w:hAnsi="Times New Roman" w:eastAsia="楷体_GB2312" w:cs="Times New Roman"/>
          <w:color w:val="auto"/>
          <w:kern w:val="2"/>
          <w:sz w:val="32"/>
          <w:szCs w:val="32"/>
          <w:highlight w:val="none"/>
          <w:lang w:val="en-US" w:eastAsia="zh-CN" w:bidi="ar"/>
        </w:rPr>
        <w:t>（区教体局负责）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 w:val="0"/>
        <w:spacing w:line="560" w:lineRule="exact"/>
        <w:ind w:left="0" w:leftChars="0" w:firstLine="640" w:firstLineChars="200"/>
        <w:jc w:val="both"/>
        <w:textAlignment w:val="auto"/>
        <w:rPr>
          <w:rFonts w:hint="default" w:ascii="Times New Roman" w:hAnsi="Times New Roman" w:eastAsia="楷体_GB2312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  <w:t>57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  <w:t>.</w:t>
      </w: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  <w:t xml:space="preserve"> </w:t>
      </w:r>
      <w:r>
        <w:rPr>
          <w:rFonts w:hint="default" w:ascii="Times New Roman" w:hAnsi="Times New Roman" w:eastAsia="楷体_GB2312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  <w:t>加快推进体育强</w:t>
      </w:r>
      <w:r>
        <w:rPr>
          <w:rFonts w:hint="eastAsia" w:ascii="Times New Roman" w:hAnsi="Times New Roman" w:eastAsia="楷体_GB2312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  <w:t>区</w:t>
      </w:r>
      <w:r>
        <w:rPr>
          <w:rFonts w:hint="default" w:ascii="Times New Roman" w:hAnsi="Times New Roman" w:eastAsia="楷体_GB2312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  <w:t>建设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  <w:t>。加强城市社区“15分钟健身圈”建设，常态化开展社会体育组织“六进”活动，组织开展社区运动会、趣味运动会、职工运动会等全民健身赛事活动150余项，提升齐鲁体育舞蹈公开赛、围棋升段赛、乒乓球联赛、篮球联赛、五人制足球、露营节等赛事活动水平，打造品牌赛事。</w:t>
      </w:r>
      <w:r>
        <w:rPr>
          <w:rFonts w:hint="default" w:ascii="Times New Roman" w:hAnsi="Times New Roman" w:eastAsia="楷体_GB2312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  <w:t>（区教体局负责）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 w:val="0"/>
        <w:spacing w:line="560" w:lineRule="exact"/>
        <w:ind w:left="0" w:leftChars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  <w:t>58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  <w:t>.</w:t>
      </w: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  <w:t xml:space="preserve"> </w:t>
      </w:r>
      <w:r>
        <w:rPr>
          <w:rFonts w:hint="default" w:ascii="Times New Roman" w:hAnsi="Times New Roman" w:eastAsia="楷体_GB2312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  <w:t>提升卫生健康服务水平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  <w:t>。大力提升应对突发公共卫生事件能力，争创1</w:t>
      </w: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  <w:t>—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  <w:t>2个市级公共卫生重点专科。实施基层医疗卫生服务体系提标工程，新增6处中心村卫生室建设，村卫生室配备重点人群智慧随访设备率达到85%。落实推进改善群众就医体验行动20条措施，持续改进医疗服务。</w:t>
      </w:r>
      <w:r>
        <w:rPr>
          <w:rFonts w:hint="default" w:ascii="Times New Roman" w:hAnsi="Times New Roman" w:eastAsia="楷体_GB2312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  <w:t>（区卫健局负责）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left="0" w:leftChars="0" w:firstLine="640" w:firstLineChars="200"/>
        <w:textAlignment w:val="auto"/>
        <w:rPr>
          <w:rFonts w:hint="default" w:ascii="Times New Roman" w:hAnsi="Times New Roman" w:eastAsia="楷体_GB2312" w:cs="Times New Roman"/>
          <w:color w:val="auto"/>
          <w:sz w:val="32"/>
          <w:szCs w:val="32"/>
          <w:highlight w:val="none"/>
        </w:rPr>
      </w:pPr>
      <w:r>
        <w:rPr>
          <w:rFonts w:hint="eastAsia" w:ascii="Times New Roman" w:hAnsi="Times New Roman" w:eastAsia="楷体_GB2312" w:cs="Times New Roman"/>
          <w:color w:val="auto"/>
          <w:sz w:val="32"/>
          <w:szCs w:val="32"/>
          <w:highlight w:val="none"/>
          <w:lang w:val="en-US" w:eastAsia="zh-CN"/>
        </w:rPr>
        <w:t>59</w:t>
      </w:r>
      <w:r>
        <w:rPr>
          <w:rFonts w:hint="default" w:ascii="Times New Roman" w:hAnsi="Times New Roman" w:eastAsia="楷体_GB2312" w:cs="Times New Roman"/>
          <w:color w:val="auto"/>
          <w:sz w:val="32"/>
          <w:szCs w:val="32"/>
          <w:highlight w:val="none"/>
        </w:rPr>
        <w:t>.</w:t>
      </w:r>
      <w:r>
        <w:rPr>
          <w:rFonts w:hint="eastAsia" w:ascii="Times New Roman" w:hAnsi="Times New Roman" w:eastAsia="楷体_GB2312" w:cs="Times New Roman"/>
          <w:color w:val="auto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default" w:ascii="Times New Roman" w:hAnsi="Times New Roman" w:eastAsia="楷体_GB2312" w:cs="Times New Roman"/>
          <w:color w:val="auto"/>
          <w:sz w:val="32"/>
          <w:szCs w:val="32"/>
          <w:highlight w:val="none"/>
        </w:rPr>
        <w:t>积极应对人口老龄化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。实施养老服务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品质提升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三年攻坚行动，推动医养结合融合发展，镇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（街道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、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开发区）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综合养老服务中心覆盖率均达到100%。鼓励支持有条件的医疗机构开展养老服务，深入推进医养结合村项目建设。全面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落实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三孩生育政策及配套支持措施，健全妇幼健康管理机制和母婴安全保障机制。</w:t>
      </w:r>
      <w:r>
        <w:rPr>
          <w:rFonts w:hint="default" w:ascii="Times New Roman" w:hAnsi="Times New Roman" w:eastAsia="楷体_GB2312" w:cs="Times New Roman"/>
          <w:color w:val="auto"/>
          <w:sz w:val="32"/>
          <w:szCs w:val="32"/>
          <w:highlight w:val="none"/>
        </w:rPr>
        <w:t>（</w:t>
      </w:r>
      <w:r>
        <w:rPr>
          <w:rFonts w:hint="default" w:ascii="Times New Roman" w:hAnsi="Times New Roman" w:eastAsia="楷体_GB2312" w:cs="Times New Roman"/>
          <w:color w:val="auto"/>
          <w:sz w:val="32"/>
          <w:szCs w:val="32"/>
          <w:highlight w:val="none"/>
          <w:lang w:val="en-US" w:eastAsia="zh-CN"/>
        </w:rPr>
        <w:t>团区</w:t>
      </w:r>
      <w:r>
        <w:rPr>
          <w:rFonts w:hint="default" w:ascii="Times New Roman" w:hAnsi="Times New Roman" w:eastAsia="楷体_GB2312" w:cs="Times New Roman"/>
          <w:color w:val="auto"/>
          <w:sz w:val="32"/>
          <w:szCs w:val="32"/>
          <w:highlight w:val="none"/>
        </w:rPr>
        <w:t>委、</w:t>
      </w:r>
      <w:r>
        <w:rPr>
          <w:rFonts w:hint="default" w:ascii="Times New Roman" w:hAnsi="Times New Roman" w:eastAsia="楷体_GB2312" w:cs="Times New Roman"/>
          <w:color w:val="auto"/>
          <w:sz w:val="32"/>
          <w:szCs w:val="32"/>
          <w:highlight w:val="none"/>
          <w:lang w:val="en-US" w:eastAsia="zh-CN"/>
        </w:rPr>
        <w:t>区</w:t>
      </w:r>
      <w:r>
        <w:rPr>
          <w:rFonts w:hint="default" w:ascii="Times New Roman" w:hAnsi="Times New Roman" w:eastAsia="楷体_GB2312" w:cs="Times New Roman"/>
          <w:color w:val="auto"/>
          <w:sz w:val="32"/>
          <w:szCs w:val="32"/>
          <w:highlight w:val="none"/>
        </w:rPr>
        <w:t>妇联、</w:t>
      </w:r>
      <w:r>
        <w:rPr>
          <w:rFonts w:hint="default" w:ascii="Times New Roman" w:hAnsi="Times New Roman" w:eastAsia="楷体_GB2312" w:cs="Times New Roman"/>
          <w:color w:val="auto"/>
          <w:sz w:val="32"/>
          <w:szCs w:val="32"/>
          <w:highlight w:val="none"/>
          <w:lang w:val="en-US" w:eastAsia="zh-CN"/>
        </w:rPr>
        <w:t>区</w:t>
      </w:r>
      <w:r>
        <w:rPr>
          <w:rFonts w:hint="default" w:ascii="Times New Roman" w:hAnsi="Times New Roman" w:eastAsia="楷体_GB2312" w:cs="Times New Roman"/>
          <w:color w:val="auto"/>
          <w:sz w:val="32"/>
          <w:szCs w:val="32"/>
          <w:highlight w:val="none"/>
        </w:rPr>
        <w:t>民政局、</w:t>
      </w:r>
      <w:r>
        <w:rPr>
          <w:rFonts w:hint="default" w:ascii="Times New Roman" w:hAnsi="Times New Roman" w:eastAsia="楷体_GB2312" w:cs="Times New Roman"/>
          <w:color w:val="auto"/>
          <w:sz w:val="32"/>
          <w:szCs w:val="32"/>
          <w:highlight w:val="none"/>
          <w:lang w:val="en-US" w:eastAsia="zh-CN"/>
        </w:rPr>
        <w:t>区卫健局</w:t>
      </w:r>
      <w:r>
        <w:rPr>
          <w:rFonts w:hint="default" w:ascii="Times New Roman" w:hAnsi="Times New Roman" w:eastAsia="楷体_GB2312" w:cs="Times New Roman"/>
          <w:color w:val="auto"/>
          <w:sz w:val="32"/>
          <w:szCs w:val="32"/>
          <w:highlight w:val="none"/>
        </w:rPr>
        <w:t>等部门负责）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left="0" w:leftChars="0"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楷体_GB2312" w:cs="Times New Roman"/>
          <w:color w:val="auto"/>
          <w:sz w:val="32"/>
          <w:szCs w:val="32"/>
          <w:highlight w:val="none"/>
        </w:rPr>
        <w:t>6</w:t>
      </w:r>
      <w:r>
        <w:rPr>
          <w:rFonts w:hint="eastAsia" w:ascii="Times New Roman" w:hAnsi="Times New Roman" w:eastAsia="楷体_GB2312" w:cs="Times New Roman"/>
          <w:color w:val="auto"/>
          <w:sz w:val="32"/>
          <w:szCs w:val="32"/>
          <w:highlight w:val="none"/>
          <w:lang w:val="en-US" w:eastAsia="zh-CN"/>
        </w:rPr>
        <w:t>0</w:t>
      </w:r>
      <w:r>
        <w:rPr>
          <w:rFonts w:hint="default" w:ascii="Times New Roman" w:hAnsi="Times New Roman" w:eastAsia="楷体_GB2312" w:cs="Times New Roman"/>
          <w:color w:val="auto"/>
          <w:sz w:val="32"/>
          <w:szCs w:val="32"/>
          <w:highlight w:val="none"/>
        </w:rPr>
        <w:t>.</w:t>
      </w:r>
      <w:r>
        <w:rPr>
          <w:rFonts w:hint="eastAsia" w:ascii="Times New Roman" w:hAnsi="Times New Roman" w:eastAsia="楷体_GB2312" w:cs="Times New Roman"/>
          <w:color w:val="auto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default" w:ascii="Times New Roman" w:hAnsi="Times New Roman" w:eastAsia="楷体_GB2312" w:cs="Times New Roman"/>
          <w:color w:val="auto"/>
          <w:sz w:val="32"/>
          <w:szCs w:val="32"/>
          <w:highlight w:val="none"/>
        </w:rPr>
        <w:t>增强社会民生保障能力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。“如康家园”残疾人之家实现全覆盖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，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残疾人托养人数不少于61人次，残疾儿童康复救助“应救尽救”。推进10大类20项重大民生实事项目实施，加快推动基本民生向品质民生转变。加大低保、特困供养、临时救助、低保边缘等政策落实力度，提升救助工作的精准度和群众满意度。</w:t>
      </w:r>
      <w:r>
        <w:rPr>
          <w:rFonts w:hint="default" w:ascii="Times New Roman" w:hAnsi="Times New Roman" w:eastAsia="楷体_GB2312" w:cs="Times New Roman"/>
          <w:color w:val="auto"/>
          <w:sz w:val="32"/>
          <w:szCs w:val="32"/>
          <w:highlight w:val="none"/>
        </w:rPr>
        <w:t>（</w:t>
      </w:r>
      <w:r>
        <w:rPr>
          <w:rFonts w:hint="default" w:ascii="Times New Roman" w:hAnsi="Times New Roman" w:eastAsia="楷体_GB2312" w:cs="Times New Roman"/>
          <w:color w:val="auto"/>
          <w:sz w:val="32"/>
          <w:szCs w:val="32"/>
          <w:highlight w:val="none"/>
          <w:lang w:val="en-US" w:eastAsia="zh-CN"/>
        </w:rPr>
        <w:t>区</w:t>
      </w:r>
      <w:r>
        <w:rPr>
          <w:rFonts w:hint="default" w:ascii="Times New Roman" w:hAnsi="Times New Roman" w:eastAsia="楷体_GB2312" w:cs="Times New Roman"/>
          <w:color w:val="auto"/>
          <w:sz w:val="32"/>
          <w:szCs w:val="32"/>
          <w:highlight w:val="none"/>
        </w:rPr>
        <w:t>残联、</w:t>
      </w:r>
      <w:r>
        <w:rPr>
          <w:rFonts w:hint="default" w:ascii="Times New Roman" w:hAnsi="Times New Roman" w:eastAsia="楷体_GB2312" w:cs="Times New Roman"/>
          <w:color w:val="auto"/>
          <w:sz w:val="32"/>
          <w:szCs w:val="32"/>
          <w:highlight w:val="none"/>
          <w:lang w:val="en-US" w:eastAsia="zh-CN"/>
        </w:rPr>
        <w:t>区发改局</w:t>
      </w:r>
      <w:r>
        <w:rPr>
          <w:rFonts w:hint="default" w:ascii="Times New Roman" w:hAnsi="Times New Roman" w:eastAsia="楷体_GB2312" w:cs="Times New Roman"/>
          <w:color w:val="auto"/>
          <w:sz w:val="32"/>
          <w:szCs w:val="32"/>
          <w:highlight w:val="none"/>
        </w:rPr>
        <w:t>、</w:t>
      </w:r>
      <w:r>
        <w:rPr>
          <w:rFonts w:hint="default" w:ascii="Times New Roman" w:hAnsi="Times New Roman" w:eastAsia="楷体_GB2312" w:cs="Times New Roman"/>
          <w:color w:val="auto"/>
          <w:sz w:val="32"/>
          <w:szCs w:val="32"/>
          <w:highlight w:val="none"/>
          <w:lang w:val="en-US" w:eastAsia="zh-CN"/>
        </w:rPr>
        <w:t>区</w:t>
      </w:r>
      <w:r>
        <w:rPr>
          <w:rFonts w:hint="default" w:ascii="Times New Roman" w:hAnsi="Times New Roman" w:eastAsia="楷体_GB2312" w:cs="Times New Roman"/>
          <w:color w:val="auto"/>
          <w:sz w:val="32"/>
          <w:szCs w:val="32"/>
          <w:highlight w:val="none"/>
        </w:rPr>
        <w:t>民政局、</w:t>
      </w:r>
      <w:r>
        <w:rPr>
          <w:rFonts w:hint="default" w:ascii="Times New Roman" w:hAnsi="Times New Roman" w:eastAsia="楷体_GB2312" w:cs="Times New Roman"/>
          <w:color w:val="auto"/>
          <w:sz w:val="32"/>
          <w:szCs w:val="32"/>
          <w:highlight w:val="none"/>
          <w:lang w:val="en-US" w:eastAsia="zh-CN"/>
        </w:rPr>
        <w:t>区</w:t>
      </w:r>
      <w:r>
        <w:rPr>
          <w:rFonts w:hint="default" w:ascii="Times New Roman" w:hAnsi="Times New Roman" w:eastAsia="楷体_GB2312" w:cs="Times New Roman"/>
          <w:color w:val="auto"/>
          <w:sz w:val="32"/>
          <w:szCs w:val="32"/>
          <w:highlight w:val="none"/>
        </w:rPr>
        <w:t>财政局、</w:t>
      </w:r>
      <w:r>
        <w:rPr>
          <w:rFonts w:hint="default" w:ascii="Times New Roman" w:hAnsi="Times New Roman" w:eastAsia="楷体_GB2312" w:cs="Times New Roman"/>
          <w:color w:val="auto"/>
          <w:sz w:val="32"/>
          <w:szCs w:val="32"/>
          <w:highlight w:val="none"/>
          <w:lang w:val="en-US" w:eastAsia="zh-CN"/>
        </w:rPr>
        <w:t>区人社局</w:t>
      </w:r>
      <w:r>
        <w:rPr>
          <w:rFonts w:hint="default" w:ascii="Times New Roman" w:hAnsi="Times New Roman" w:eastAsia="楷体_GB2312" w:cs="Times New Roman"/>
          <w:color w:val="auto"/>
          <w:sz w:val="32"/>
          <w:szCs w:val="32"/>
          <w:highlight w:val="none"/>
        </w:rPr>
        <w:t>、</w:t>
      </w:r>
      <w:r>
        <w:rPr>
          <w:rFonts w:hint="default" w:ascii="Times New Roman" w:hAnsi="Times New Roman" w:eastAsia="楷体_GB2312" w:cs="Times New Roman"/>
          <w:color w:val="auto"/>
          <w:sz w:val="32"/>
          <w:szCs w:val="32"/>
          <w:highlight w:val="none"/>
          <w:lang w:val="en-US" w:eastAsia="zh-CN"/>
        </w:rPr>
        <w:t>区住建</w:t>
      </w:r>
      <w:r>
        <w:rPr>
          <w:rFonts w:hint="default" w:ascii="Times New Roman" w:hAnsi="Times New Roman" w:eastAsia="楷体_GB2312" w:cs="Times New Roman"/>
          <w:color w:val="auto"/>
          <w:sz w:val="32"/>
          <w:szCs w:val="32"/>
          <w:highlight w:val="none"/>
        </w:rPr>
        <w:t>局、</w:t>
      </w:r>
      <w:r>
        <w:rPr>
          <w:rFonts w:hint="default" w:ascii="Times New Roman" w:hAnsi="Times New Roman" w:eastAsia="楷体_GB2312" w:cs="Times New Roman"/>
          <w:color w:val="auto"/>
          <w:sz w:val="32"/>
          <w:szCs w:val="32"/>
          <w:highlight w:val="none"/>
          <w:lang w:val="en-US" w:eastAsia="zh-CN"/>
        </w:rPr>
        <w:t>区</w:t>
      </w:r>
      <w:r>
        <w:rPr>
          <w:rFonts w:hint="default" w:ascii="Times New Roman" w:hAnsi="Times New Roman" w:eastAsia="楷体_GB2312" w:cs="Times New Roman"/>
          <w:color w:val="auto"/>
          <w:sz w:val="32"/>
          <w:szCs w:val="32"/>
          <w:highlight w:val="none"/>
        </w:rPr>
        <w:t>医保</w:t>
      </w:r>
      <w:r>
        <w:rPr>
          <w:rFonts w:hint="default" w:ascii="Times New Roman" w:hAnsi="Times New Roman" w:eastAsia="楷体_GB2312" w:cs="Times New Roman"/>
          <w:color w:val="auto"/>
          <w:sz w:val="32"/>
          <w:szCs w:val="32"/>
          <w:highlight w:val="none"/>
          <w:lang w:val="en-US" w:eastAsia="zh-CN"/>
        </w:rPr>
        <w:t>分</w:t>
      </w:r>
      <w:r>
        <w:rPr>
          <w:rFonts w:hint="default" w:ascii="Times New Roman" w:hAnsi="Times New Roman" w:eastAsia="楷体_GB2312" w:cs="Times New Roman"/>
          <w:color w:val="auto"/>
          <w:sz w:val="32"/>
          <w:szCs w:val="32"/>
          <w:highlight w:val="none"/>
        </w:rPr>
        <w:t>局等部门负责）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560" w:lineRule="exact"/>
        <w:ind w:left="0" w:leftChars="0" w:firstLine="640" w:firstLineChars="0"/>
        <w:textAlignment w:val="auto"/>
        <w:rPr>
          <w:rFonts w:hint="default" w:ascii="Times New Roman" w:hAnsi="Times New Roman" w:eastAsia="黑体" w:cs="Times New Roman"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黑体" w:cs="Times New Roman"/>
          <w:color w:val="auto"/>
          <w:kern w:val="2"/>
          <w:sz w:val="32"/>
          <w:szCs w:val="32"/>
          <w:lang w:val="en-US" w:eastAsia="zh-CN" w:bidi="ar-SA"/>
        </w:rPr>
        <w:t>十一、</w:t>
      </w:r>
      <w:r>
        <w:rPr>
          <w:rFonts w:hint="default" w:ascii="Times New Roman" w:hAnsi="Times New Roman" w:eastAsia="黑体" w:cs="Times New Roman"/>
          <w:color w:val="auto"/>
          <w:sz w:val="32"/>
          <w:szCs w:val="32"/>
          <w:highlight w:val="none"/>
        </w:rPr>
        <w:t>守好安全发展底线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left="0" w:leftChars="0"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shd w:val="clear" w:color="auto" w:fill="FFFFFF"/>
        </w:rPr>
      </w:pPr>
      <w:r>
        <w:rPr>
          <w:rFonts w:hint="default" w:ascii="Times New Roman" w:hAnsi="Times New Roman" w:eastAsia="楷体_GB2312" w:cs="Times New Roman"/>
          <w:color w:val="auto"/>
          <w:sz w:val="32"/>
          <w:szCs w:val="32"/>
          <w:highlight w:val="none"/>
        </w:rPr>
        <w:t>6</w:t>
      </w:r>
      <w:r>
        <w:rPr>
          <w:rFonts w:hint="eastAsia" w:ascii="Times New Roman" w:hAnsi="Times New Roman" w:eastAsia="楷体_GB2312" w:cs="Times New Roman"/>
          <w:color w:val="auto"/>
          <w:sz w:val="32"/>
          <w:szCs w:val="32"/>
          <w:highlight w:val="none"/>
          <w:lang w:val="en-US" w:eastAsia="zh-CN"/>
        </w:rPr>
        <w:t>1</w:t>
      </w:r>
      <w:r>
        <w:rPr>
          <w:rFonts w:hint="default" w:ascii="Times New Roman" w:hAnsi="Times New Roman" w:eastAsia="楷体_GB2312" w:cs="Times New Roman"/>
          <w:color w:val="auto"/>
          <w:sz w:val="32"/>
          <w:szCs w:val="32"/>
          <w:highlight w:val="none"/>
        </w:rPr>
        <w:t>.</w:t>
      </w:r>
      <w:r>
        <w:rPr>
          <w:rFonts w:hint="eastAsia" w:ascii="Times New Roman" w:hAnsi="Times New Roman" w:eastAsia="楷体_GB2312" w:cs="Times New Roman"/>
          <w:color w:val="auto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default" w:ascii="Times New Roman" w:hAnsi="Times New Roman" w:eastAsia="楷体_GB2312" w:cs="Times New Roman"/>
          <w:color w:val="auto"/>
          <w:sz w:val="32"/>
          <w:szCs w:val="32"/>
          <w:highlight w:val="none"/>
        </w:rPr>
        <w:t>守住疫情防控底线</w:t>
      </w:r>
      <w:r>
        <w:rPr>
          <w:rFonts w:hint="default" w:ascii="Times New Roman" w:hAnsi="Times New Roman" w:eastAsia="仿宋" w:cs="Times New Roman"/>
          <w:color w:val="auto"/>
          <w:sz w:val="32"/>
          <w:szCs w:val="32"/>
          <w:highlight w:val="none"/>
        </w:rPr>
        <w:t>。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落实国家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和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省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市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防疫工作要求，精准做好疫情防控工作，加强全人群特别是老年人免疫接种，加强人员培训、应急演练，做好应急物资、医疗救治资源储备，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推进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疾控中心标准化建设。</w:t>
      </w:r>
      <w:r>
        <w:rPr>
          <w:rFonts w:hint="default" w:ascii="Times New Roman" w:hAnsi="Times New Roman" w:eastAsia="楷体_GB2312" w:cs="Times New Roman"/>
          <w:color w:val="auto"/>
          <w:sz w:val="32"/>
          <w:szCs w:val="32"/>
          <w:highlight w:val="none"/>
        </w:rPr>
        <w:t>（</w:t>
      </w:r>
      <w:r>
        <w:rPr>
          <w:rFonts w:hint="default" w:ascii="Times New Roman" w:hAnsi="Times New Roman" w:eastAsia="楷体_GB2312" w:cs="Times New Roman"/>
          <w:color w:val="auto"/>
          <w:sz w:val="32"/>
          <w:szCs w:val="32"/>
          <w:highlight w:val="none"/>
          <w:lang w:val="en-US" w:eastAsia="zh-CN"/>
        </w:rPr>
        <w:t>区卫健局</w:t>
      </w:r>
      <w:r>
        <w:rPr>
          <w:rFonts w:hint="default" w:ascii="Times New Roman" w:hAnsi="Times New Roman" w:eastAsia="楷体_GB2312" w:cs="Times New Roman"/>
          <w:color w:val="auto"/>
          <w:sz w:val="32"/>
          <w:szCs w:val="32"/>
          <w:highlight w:val="none"/>
        </w:rPr>
        <w:t>负责）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left="0" w:leftChars="0" w:firstLine="640" w:firstLineChars="200"/>
        <w:textAlignment w:val="auto"/>
        <w:outlineLvl w:val="2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6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2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.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default" w:ascii="Times New Roman" w:hAnsi="Times New Roman" w:eastAsia="楷体_GB2312" w:cs="Times New Roman"/>
          <w:color w:val="auto"/>
          <w:sz w:val="32"/>
          <w:szCs w:val="32"/>
          <w:highlight w:val="none"/>
        </w:rPr>
        <w:t>守住安全生产底线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。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持续开展安全生产“防风险、除隐患、惩违法、保安全”专项行动，部署开展安全生产重大隐患排查整治，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推动安全生产事故起数和死亡人数“双下降”。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编制印发《应急手册》，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统筹做好防震减灾、防汛抗旱、极端天气应对等工作。</w:t>
      </w:r>
      <w:r>
        <w:rPr>
          <w:rFonts w:hint="default" w:ascii="Times New Roman" w:hAnsi="Times New Roman" w:eastAsia="楷体_GB2312" w:cs="Times New Roman"/>
          <w:color w:val="auto"/>
          <w:sz w:val="32"/>
          <w:szCs w:val="32"/>
          <w:highlight w:val="none"/>
          <w:lang w:eastAsia="zh-CN"/>
        </w:rPr>
        <w:t>（</w:t>
      </w:r>
      <w:r>
        <w:rPr>
          <w:rFonts w:hint="default" w:ascii="Times New Roman" w:hAnsi="Times New Roman" w:eastAsia="楷体_GB2312" w:cs="Times New Roman"/>
          <w:color w:val="auto"/>
          <w:sz w:val="32"/>
          <w:szCs w:val="32"/>
          <w:highlight w:val="none"/>
          <w:lang w:val="en-US" w:eastAsia="zh-CN"/>
        </w:rPr>
        <w:t>区</w:t>
      </w:r>
      <w:r>
        <w:rPr>
          <w:rFonts w:hint="default" w:ascii="Times New Roman" w:hAnsi="Times New Roman" w:eastAsia="楷体_GB2312" w:cs="Times New Roman"/>
          <w:color w:val="auto"/>
          <w:sz w:val="32"/>
          <w:szCs w:val="32"/>
          <w:highlight w:val="none"/>
          <w:lang w:eastAsia="zh-CN"/>
        </w:rPr>
        <w:t>应急局牵头，</w:t>
      </w:r>
      <w:r>
        <w:rPr>
          <w:rFonts w:hint="default" w:ascii="Times New Roman" w:hAnsi="Times New Roman" w:eastAsia="楷体_GB2312" w:cs="Times New Roman"/>
          <w:color w:val="auto"/>
          <w:sz w:val="32"/>
          <w:szCs w:val="32"/>
          <w:highlight w:val="none"/>
          <w:lang w:val="en-US" w:eastAsia="zh-CN"/>
        </w:rPr>
        <w:t>区安委会有关成员单位</w:t>
      </w:r>
      <w:r>
        <w:rPr>
          <w:rFonts w:hint="default" w:ascii="Times New Roman" w:hAnsi="Times New Roman" w:eastAsia="楷体_GB2312" w:cs="Times New Roman"/>
          <w:color w:val="auto"/>
          <w:sz w:val="32"/>
          <w:szCs w:val="32"/>
          <w:highlight w:val="none"/>
          <w:lang w:eastAsia="zh-CN"/>
        </w:rPr>
        <w:t>配合）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left="0" w:leftChars="0" w:firstLine="640" w:firstLineChars="200"/>
        <w:textAlignment w:val="auto"/>
        <w:outlineLvl w:val="2"/>
        <w:rPr>
          <w:rFonts w:hint="default" w:ascii="Times New Roman" w:hAnsi="Times New Roman" w:eastAsia="楷体_GB2312" w:cs="Times New Roman"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6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3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.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default" w:ascii="Times New Roman" w:hAnsi="Times New Roman" w:eastAsia="楷体_GB2312" w:cs="Times New Roman"/>
          <w:color w:val="auto"/>
          <w:sz w:val="32"/>
          <w:szCs w:val="32"/>
          <w:highlight w:val="none"/>
        </w:rPr>
        <w:t>守住社会稳定底线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。深入开展“治重化积”专项行动，年底前基本完成化解任务，初次信访事项一次性化解率达到95%以上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。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始终保持对黑恶犯罪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打击的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高压态势，健全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完善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扫黑除恶长效制度体系，深入推进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常态化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扫黑除恶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斗争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。加快完善新一轮立体化、信息化社会治安防控体系建设，持续加强智慧社区等感知微单元建设，深化社会面巡防机制，大力实施派出所标准化建设，做实“平安前哨”工程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，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扎实推进平安淄川建设。</w:t>
      </w:r>
      <w:r>
        <w:rPr>
          <w:rFonts w:hint="default" w:ascii="Times New Roman" w:hAnsi="Times New Roman" w:eastAsia="楷体_GB2312" w:cs="Times New Roman"/>
          <w:color w:val="auto"/>
          <w:sz w:val="32"/>
          <w:szCs w:val="32"/>
          <w:highlight w:val="none"/>
        </w:rPr>
        <w:t>（</w:t>
      </w:r>
      <w:r>
        <w:rPr>
          <w:rFonts w:hint="default" w:ascii="Times New Roman" w:hAnsi="Times New Roman" w:eastAsia="楷体_GB2312" w:cs="Times New Roman"/>
          <w:color w:val="auto"/>
          <w:sz w:val="32"/>
          <w:szCs w:val="32"/>
          <w:highlight w:val="none"/>
          <w:lang w:val="en-US" w:eastAsia="zh-CN"/>
        </w:rPr>
        <w:t>区</w:t>
      </w:r>
      <w:r>
        <w:rPr>
          <w:rFonts w:hint="default" w:ascii="Times New Roman" w:hAnsi="Times New Roman" w:eastAsia="楷体_GB2312" w:cs="Times New Roman"/>
          <w:color w:val="auto"/>
          <w:sz w:val="32"/>
          <w:szCs w:val="32"/>
          <w:highlight w:val="none"/>
        </w:rPr>
        <w:t>委政法委牵头，</w:t>
      </w:r>
      <w:r>
        <w:rPr>
          <w:rFonts w:hint="default" w:ascii="Times New Roman" w:hAnsi="Times New Roman" w:eastAsia="楷体_GB2312" w:cs="Times New Roman"/>
          <w:color w:val="auto"/>
          <w:sz w:val="32"/>
          <w:szCs w:val="32"/>
          <w:highlight w:val="none"/>
          <w:lang w:val="en-US" w:eastAsia="zh-CN"/>
        </w:rPr>
        <w:t>区</w:t>
      </w:r>
      <w:r>
        <w:rPr>
          <w:rFonts w:hint="default" w:ascii="Times New Roman" w:hAnsi="Times New Roman" w:eastAsia="楷体_GB2312" w:cs="Times New Roman"/>
          <w:color w:val="auto"/>
          <w:sz w:val="32"/>
          <w:szCs w:val="32"/>
          <w:highlight w:val="none"/>
        </w:rPr>
        <w:t>公安</w:t>
      </w:r>
      <w:r>
        <w:rPr>
          <w:rFonts w:hint="default" w:ascii="Times New Roman" w:hAnsi="Times New Roman" w:eastAsia="楷体_GB2312" w:cs="Times New Roman"/>
          <w:color w:val="auto"/>
          <w:sz w:val="32"/>
          <w:szCs w:val="32"/>
          <w:highlight w:val="none"/>
          <w:lang w:val="en-US" w:eastAsia="zh-CN"/>
        </w:rPr>
        <w:t>分</w:t>
      </w:r>
      <w:r>
        <w:rPr>
          <w:rFonts w:hint="default" w:ascii="Times New Roman" w:hAnsi="Times New Roman" w:eastAsia="楷体_GB2312" w:cs="Times New Roman"/>
          <w:color w:val="auto"/>
          <w:sz w:val="32"/>
          <w:szCs w:val="32"/>
          <w:highlight w:val="none"/>
        </w:rPr>
        <w:t>局、</w:t>
      </w:r>
      <w:r>
        <w:rPr>
          <w:rFonts w:hint="default" w:ascii="Times New Roman" w:hAnsi="Times New Roman" w:eastAsia="楷体_GB2312" w:cs="Times New Roman"/>
          <w:color w:val="auto"/>
          <w:sz w:val="32"/>
          <w:szCs w:val="32"/>
          <w:highlight w:val="none"/>
          <w:lang w:val="en-US" w:eastAsia="zh-CN"/>
        </w:rPr>
        <w:t>区</w:t>
      </w:r>
      <w:r>
        <w:rPr>
          <w:rFonts w:hint="default" w:ascii="Times New Roman" w:hAnsi="Times New Roman" w:eastAsia="楷体_GB2312" w:cs="Times New Roman"/>
          <w:color w:val="auto"/>
          <w:sz w:val="32"/>
          <w:szCs w:val="32"/>
          <w:highlight w:val="none"/>
        </w:rPr>
        <w:t>信访局、</w:t>
      </w:r>
      <w:r>
        <w:rPr>
          <w:rFonts w:hint="default" w:ascii="Times New Roman" w:hAnsi="Times New Roman" w:eastAsia="楷体_GB2312" w:cs="Times New Roman"/>
          <w:color w:val="auto"/>
          <w:sz w:val="32"/>
          <w:szCs w:val="32"/>
          <w:highlight w:val="none"/>
          <w:lang w:val="en-US" w:eastAsia="zh-CN"/>
        </w:rPr>
        <w:t>区综合行政执法局</w:t>
      </w:r>
      <w:r>
        <w:rPr>
          <w:rFonts w:hint="default" w:ascii="Times New Roman" w:hAnsi="Times New Roman" w:eastAsia="楷体_GB2312" w:cs="Times New Roman"/>
          <w:color w:val="auto"/>
          <w:sz w:val="32"/>
          <w:szCs w:val="32"/>
          <w:highlight w:val="none"/>
        </w:rPr>
        <w:t>等部门配合）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left="0" w:leftChars="0"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楷体_GB2312" w:cs="Times New Roman"/>
          <w:color w:val="auto"/>
          <w:sz w:val="32"/>
          <w:szCs w:val="32"/>
          <w:highlight w:val="none"/>
        </w:rPr>
        <w:t>6</w:t>
      </w:r>
      <w:r>
        <w:rPr>
          <w:rFonts w:hint="eastAsia" w:ascii="Times New Roman" w:hAnsi="Times New Roman" w:eastAsia="楷体_GB2312" w:cs="Times New Roman"/>
          <w:color w:val="auto"/>
          <w:sz w:val="32"/>
          <w:szCs w:val="32"/>
          <w:highlight w:val="none"/>
          <w:lang w:val="en-US" w:eastAsia="zh-CN"/>
        </w:rPr>
        <w:t>4</w:t>
      </w:r>
      <w:r>
        <w:rPr>
          <w:rFonts w:hint="default" w:ascii="Times New Roman" w:hAnsi="Times New Roman" w:eastAsia="楷体_GB2312" w:cs="Times New Roman"/>
          <w:color w:val="auto"/>
          <w:sz w:val="32"/>
          <w:szCs w:val="32"/>
          <w:highlight w:val="none"/>
        </w:rPr>
        <w:t>.</w:t>
      </w:r>
      <w:r>
        <w:rPr>
          <w:rFonts w:hint="eastAsia" w:ascii="Times New Roman" w:hAnsi="Times New Roman" w:eastAsia="楷体_GB2312" w:cs="Times New Roman"/>
          <w:color w:val="auto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default" w:ascii="Times New Roman" w:hAnsi="Times New Roman" w:eastAsia="楷体_GB2312" w:cs="Times New Roman"/>
          <w:color w:val="auto"/>
          <w:sz w:val="32"/>
          <w:szCs w:val="32"/>
          <w:highlight w:val="none"/>
        </w:rPr>
        <w:t>保障经济运行安全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。加强经济运行监测分析研判，全力稳住经济大盘。保障粮食生产和供应安全，加强煤电油气运协调保障。加强金融安全监测预警和协调联动，力争不良贷款率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保持下降态势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。有效治理恶意拖欠账款和逃废债行为，确保不发生系统性、区域性风险。健全政府债务风险预警机制。加强社会信用体系建设，完善守信联合激励和失信联合惩戒机制。</w:t>
      </w:r>
      <w:r>
        <w:rPr>
          <w:rFonts w:hint="eastAsia" w:ascii="Times New Roman" w:hAnsi="Times New Roman" w:eastAsia="楷体_GB2312" w:cs="Times New Roman"/>
          <w:color w:val="auto"/>
          <w:sz w:val="32"/>
          <w:szCs w:val="32"/>
          <w:highlight w:val="none"/>
          <w:lang w:eastAsia="zh-CN"/>
        </w:rPr>
        <w:t>（</w:t>
      </w:r>
      <w:r>
        <w:rPr>
          <w:rFonts w:hint="default" w:ascii="Times New Roman" w:hAnsi="Times New Roman" w:eastAsia="楷体_GB2312" w:cs="Times New Roman"/>
          <w:color w:val="auto"/>
          <w:sz w:val="32"/>
          <w:szCs w:val="32"/>
          <w:highlight w:val="none"/>
          <w:lang w:val="en-US" w:eastAsia="zh-CN"/>
        </w:rPr>
        <w:t>区发改局</w:t>
      </w:r>
      <w:r>
        <w:rPr>
          <w:rFonts w:hint="default" w:ascii="Times New Roman" w:hAnsi="Times New Roman" w:eastAsia="楷体_GB2312" w:cs="Times New Roman"/>
          <w:color w:val="auto"/>
          <w:sz w:val="32"/>
          <w:szCs w:val="32"/>
          <w:highlight w:val="none"/>
        </w:rPr>
        <w:t>牵头，</w:t>
      </w:r>
      <w:r>
        <w:rPr>
          <w:rFonts w:hint="default" w:ascii="Times New Roman" w:hAnsi="Times New Roman" w:eastAsia="楷体_GB2312" w:cs="Times New Roman"/>
          <w:color w:val="auto"/>
          <w:sz w:val="32"/>
          <w:szCs w:val="32"/>
          <w:highlight w:val="none"/>
          <w:lang w:val="en-US" w:eastAsia="zh-CN"/>
        </w:rPr>
        <w:t>区</w:t>
      </w:r>
      <w:r>
        <w:rPr>
          <w:rFonts w:hint="default" w:ascii="Times New Roman" w:hAnsi="Times New Roman" w:eastAsia="楷体_GB2312" w:cs="Times New Roman"/>
          <w:color w:val="auto"/>
          <w:sz w:val="32"/>
          <w:szCs w:val="32"/>
          <w:highlight w:val="none"/>
        </w:rPr>
        <w:t>财政局、</w:t>
      </w:r>
      <w:r>
        <w:rPr>
          <w:rFonts w:hint="default" w:ascii="Times New Roman" w:hAnsi="Times New Roman" w:eastAsia="楷体_GB2312" w:cs="Times New Roman"/>
          <w:color w:val="auto"/>
          <w:sz w:val="32"/>
          <w:szCs w:val="32"/>
          <w:highlight w:val="none"/>
          <w:lang w:val="en-US" w:eastAsia="zh-CN"/>
        </w:rPr>
        <w:t>区</w:t>
      </w:r>
      <w:r>
        <w:rPr>
          <w:rFonts w:hint="default" w:ascii="Times New Roman" w:hAnsi="Times New Roman" w:eastAsia="楷体_GB2312" w:cs="Times New Roman"/>
          <w:color w:val="auto"/>
          <w:sz w:val="32"/>
          <w:szCs w:val="32"/>
          <w:highlight w:val="none"/>
        </w:rPr>
        <w:t>地方金融监管局等部门配合</w:t>
      </w:r>
      <w:r>
        <w:rPr>
          <w:rFonts w:hint="eastAsia" w:ascii="Times New Roman" w:hAnsi="Times New Roman" w:eastAsia="楷体_GB2312" w:cs="Times New Roman"/>
          <w:color w:val="auto"/>
          <w:sz w:val="32"/>
          <w:szCs w:val="32"/>
          <w:highlight w:val="none"/>
          <w:lang w:eastAsia="zh-CN"/>
        </w:rPr>
        <w:t>）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left="0" w:leftChars="0" w:firstLine="640" w:firstLineChars="200"/>
        <w:textAlignment w:val="auto"/>
        <w:rPr>
          <w:rFonts w:hint="default" w:ascii="Times New Roman" w:hAnsi="Times New Roman" w:eastAsia="方正黑体_GBK" w:cs="Times New Roman"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黑体" w:cs="Times New Roman"/>
          <w:color w:val="auto"/>
          <w:sz w:val="32"/>
          <w:szCs w:val="32"/>
          <w:highlight w:val="none"/>
        </w:rPr>
        <w:t>十二、切实抓好组织实施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left="0" w:leftChars="0"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6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.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default" w:ascii="Times New Roman" w:hAnsi="Times New Roman" w:eastAsia="楷体_GB2312" w:cs="Times New Roman"/>
          <w:color w:val="auto"/>
          <w:sz w:val="32"/>
          <w:szCs w:val="32"/>
          <w:highlight w:val="none"/>
        </w:rPr>
        <w:t>完善工作机制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。全面加强对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绿色低碳高质量发展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工作的组织领导，各有关部门各司其职，完善政策，加强指导。发挥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镇（街道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、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开发区）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主体作用，创新机制，细化举措，确保各项工作顺利开展。建立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绿色低碳高质量发展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工作台账，定期调度推进，强化督导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考评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，确保重大政策落细、重点任务落实、重大项目落地。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left="0" w:leftChars="0"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highlight w:val="none"/>
        </w:rPr>
      </w:pPr>
      <w:r>
        <w:rPr>
          <w:rFonts w:hint="eastAsia" w:ascii="Times New Roman" w:hAnsi="Times New Roman" w:eastAsia="楷体_GB2312" w:cs="Times New Roman"/>
          <w:color w:val="auto"/>
          <w:sz w:val="32"/>
          <w:szCs w:val="32"/>
          <w:highlight w:val="none"/>
          <w:lang w:val="en-US" w:eastAsia="zh-CN"/>
        </w:rPr>
        <w:t>66</w:t>
      </w:r>
      <w:r>
        <w:rPr>
          <w:rFonts w:hint="default" w:ascii="Times New Roman" w:hAnsi="Times New Roman" w:eastAsia="楷体_GB2312" w:cs="Times New Roman"/>
          <w:color w:val="auto"/>
          <w:sz w:val="32"/>
          <w:szCs w:val="32"/>
          <w:highlight w:val="none"/>
        </w:rPr>
        <w:t>.</w:t>
      </w:r>
      <w:r>
        <w:rPr>
          <w:rFonts w:hint="eastAsia" w:ascii="Times New Roman" w:hAnsi="Times New Roman" w:eastAsia="楷体_GB2312" w:cs="Times New Roman"/>
          <w:color w:val="auto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default" w:ascii="Times New Roman" w:hAnsi="Times New Roman" w:eastAsia="楷体_GB2312" w:cs="Times New Roman"/>
          <w:color w:val="auto"/>
          <w:sz w:val="32"/>
          <w:szCs w:val="32"/>
          <w:highlight w:val="none"/>
        </w:rPr>
        <w:t>强化政策支持。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健全有利于绿色低碳高质量发展的财政金融政策，引导更多资源要素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聚集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。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争取更多项目纳入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市级绿色低碳高质量发展重点项目库，积极争取相关专项资金和财税支持政策，支持重点项目建设。</w:t>
      </w:r>
    </w:p>
    <w:p>
      <w:pPr>
        <w:bidi w:val="0"/>
        <w:rPr>
          <w:rFonts w:hint="default"/>
        </w:rPr>
      </w:pPr>
    </w:p>
    <w:p>
      <w:pPr>
        <w:pStyle w:val="2"/>
        <w:jc w:val="both"/>
        <w:rPr>
          <w:rFonts w:hint="default"/>
        </w:rPr>
      </w:pPr>
    </w:p>
    <w:p>
      <w:pPr>
        <w:rPr>
          <w:rFonts w:hint="default"/>
        </w:rPr>
      </w:pPr>
    </w:p>
    <w:p>
      <w:pPr>
        <w:pStyle w:val="2"/>
        <w:rPr>
          <w:rFonts w:hint="default"/>
        </w:rPr>
      </w:pPr>
    </w:p>
    <w:p>
      <w:pPr>
        <w:rPr>
          <w:rFonts w:hint="default"/>
        </w:rPr>
      </w:pPr>
    </w:p>
    <w:p>
      <w:pPr>
        <w:pStyle w:val="2"/>
        <w:rPr>
          <w:rFonts w:hint="default"/>
        </w:rPr>
      </w:pPr>
    </w:p>
    <w:p>
      <w:pPr>
        <w:rPr>
          <w:rFonts w:hint="default"/>
        </w:rPr>
      </w:pPr>
    </w:p>
    <w:p>
      <w:pPr>
        <w:pStyle w:val="2"/>
        <w:rPr>
          <w:rFonts w:hint="default"/>
        </w:rPr>
      </w:pPr>
    </w:p>
    <w:p>
      <w:pPr>
        <w:rPr>
          <w:rFonts w:hint="default"/>
        </w:rPr>
      </w:pPr>
    </w:p>
    <w:p>
      <w:pPr>
        <w:pStyle w:val="2"/>
        <w:rPr>
          <w:rFonts w:hint="default"/>
        </w:rPr>
      </w:pPr>
    </w:p>
    <w:p>
      <w:pPr>
        <w:spacing w:line="540" w:lineRule="exact"/>
        <w:ind w:left="420" w:leftChars="200" w:firstLine="420" w:firstLineChars="200"/>
        <w:rPr>
          <w:rFonts w:hint="default" w:ascii="Times New Roman" w:hAnsi="Times New Roman" w:cs="Times New Roman"/>
          <w:color w:val="auto"/>
        </w:rPr>
      </w:pPr>
    </w:p>
    <w:p>
      <w:pPr>
        <w:tabs>
          <w:tab w:val="left" w:pos="720"/>
          <w:tab w:val="left" w:pos="8640"/>
        </w:tabs>
        <w:spacing w:line="540" w:lineRule="exact"/>
        <w:ind w:firstLine="210" w:firstLineChars="100"/>
        <w:rPr>
          <w:rFonts w:hint="default" w:ascii="Times New Roman" w:hAnsi="Times New Roman" w:eastAsia="仿宋_GB2312" w:cs="Times New Roman"/>
          <w:color w:val="auto"/>
          <w:spacing w:val="-8"/>
          <w:sz w:val="28"/>
          <w:szCs w:val="28"/>
        </w:rPr>
      </w:pPr>
      <w:r>
        <w:rPr>
          <w:rFonts w:hint="default" w:ascii="Times New Roman" w:hAnsi="Times New Roman" w:eastAsia="仿宋_GB2312" w:cs="Times New Roman"/>
          <w:color w:val="auto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14605</wp:posOffset>
                </wp:positionH>
                <wp:positionV relativeFrom="paragraph">
                  <wp:posOffset>26670</wp:posOffset>
                </wp:positionV>
                <wp:extent cx="5600700" cy="0"/>
                <wp:effectExtent l="0" t="9525" r="0" b="9525"/>
                <wp:wrapNone/>
                <wp:docPr id="17" name="直接连接符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00700" cy="0"/>
                        </a:xfrm>
                        <a:prstGeom prst="line">
                          <a:avLst/>
                        </a:prstGeom>
                        <a:ln w="1905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1.15pt;margin-top:2.1pt;height:0pt;width:441pt;z-index:251660288;mso-width-relative:page;mso-height-relative:page;" filled="f" stroked="t" coordsize="21600,21600" o:gfxdata="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">
                <v:fill on="f" focussize="0,0"/>
                <v:stroke weight="1.5pt"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default" w:ascii="Times New Roman" w:hAnsi="Times New Roman" w:eastAsia="仿宋_GB2312" w:cs="Times New Roman"/>
          <w:color w:val="auto"/>
          <w:sz w:val="28"/>
          <w:szCs w:val="28"/>
        </w:rPr>
        <w:t>抄送：</w:t>
      </w:r>
      <w:r>
        <w:rPr>
          <w:rFonts w:hint="default" w:ascii="Times New Roman" w:hAnsi="Times New Roman" w:eastAsia="仿宋_GB2312" w:cs="Times New Roman"/>
          <w:color w:val="auto"/>
          <w:spacing w:val="-8"/>
          <w:sz w:val="28"/>
          <w:szCs w:val="28"/>
        </w:rPr>
        <w:t>区委办公室，区人大办公室，区政协办公室，区人武部，区法院，</w:t>
      </w:r>
    </w:p>
    <w:p>
      <w:pPr>
        <w:tabs>
          <w:tab w:val="left" w:pos="720"/>
          <w:tab w:val="left" w:pos="8640"/>
        </w:tabs>
        <w:spacing w:line="540" w:lineRule="exact"/>
        <w:ind w:firstLine="264" w:firstLineChars="100"/>
        <w:rPr>
          <w:rFonts w:hint="default" w:ascii="Times New Roman" w:hAnsi="Times New Roman" w:eastAsia="仿宋_GB2312" w:cs="Times New Roman"/>
          <w:color w:val="auto"/>
          <w:sz w:val="28"/>
          <w:szCs w:val="28"/>
        </w:rPr>
      </w:pPr>
      <w:r>
        <w:rPr>
          <w:rFonts w:hint="default" w:ascii="Times New Roman" w:hAnsi="Times New Roman" w:eastAsia="仿宋_GB2312" w:cs="Times New Roman"/>
          <w:color w:val="auto"/>
          <w:spacing w:val="-8"/>
          <w:sz w:val="28"/>
          <w:szCs w:val="28"/>
        </w:rPr>
        <w:t xml:space="preserve">      区检察院</w:t>
      </w:r>
      <w:r>
        <w:rPr>
          <w:rFonts w:hint="default" w:ascii="Times New Roman" w:hAnsi="Times New Roman" w:eastAsia="仿宋_GB2312" w:cs="Times New Roman"/>
          <w:color w:val="auto"/>
          <w:spacing w:val="-10"/>
          <w:sz w:val="28"/>
          <w:szCs w:val="28"/>
        </w:rPr>
        <w:t>。</w:t>
      </w:r>
    </w:p>
    <w:p>
      <w:pPr>
        <w:wordWrap w:val="0"/>
        <w:spacing w:line="540" w:lineRule="exact"/>
        <w:ind w:firstLine="210" w:firstLineChars="100"/>
        <w:jc w:val="both"/>
        <w:rPr>
          <w:rFonts w:hint="eastAsia" w:ascii="Times New Roman" w:hAnsi="Times New Roman" w:eastAsia="仿宋_GB2312" w:cs="Times New Roman"/>
          <w:color w:val="auto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379730</wp:posOffset>
                </wp:positionV>
                <wp:extent cx="5600700" cy="0"/>
                <wp:effectExtent l="0" t="9525" r="0" b="9525"/>
                <wp:wrapNone/>
                <wp:docPr id="23" name="直接连接符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00700" cy="0"/>
                        </a:xfrm>
                        <a:prstGeom prst="line">
                          <a:avLst/>
                        </a:prstGeom>
                        <a:ln w="1905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0pt;margin-top:29.9pt;height:0pt;width:441pt;z-index:251662336;mso-width-relative:page;mso-height-relative:page;" filled="f" stroked="t" coordsize="21600,21600" o:gfxdata="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">
                <v:fill on="f" focussize="0,0"/>
                <v:stroke weight="1.5pt"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default" w:ascii="Times New Roman" w:hAnsi="Times New Roman" w:eastAsia="仿宋_GB2312" w:cs="Times New Roman"/>
          <w:color w:val="auto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2540</wp:posOffset>
                </wp:positionH>
                <wp:positionV relativeFrom="paragraph">
                  <wp:posOffset>76200</wp:posOffset>
                </wp:positionV>
                <wp:extent cx="5600700" cy="0"/>
                <wp:effectExtent l="0" t="0" r="0" b="0"/>
                <wp:wrapNone/>
                <wp:docPr id="11" name="直接连接符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00700" cy="0"/>
                        </a:xfrm>
                        <a:prstGeom prst="line">
                          <a:avLst/>
                        </a:prstGeom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0.2pt;margin-top:6pt;height:0pt;width:441pt;z-index:251661312;mso-width-relative:page;mso-height-relative:page;" filled="f" stroked="t" coordsize="21600,21600" o:gfxdata="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">
                <v:fill on="f" focussize="0,0"/>
                <v:stroke weight="1pt"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default" w:ascii="Times New Roman" w:hAnsi="Times New Roman" w:eastAsia="仿宋_GB2312" w:cs="Times New Roman"/>
          <w:color w:val="auto"/>
          <w:sz w:val="28"/>
          <w:szCs w:val="28"/>
        </w:rPr>
        <w:t xml:space="preserve">淄川区人民政府办公室　　　　　　 　 </w:t>
      </w:r>
      <w:r>
        <w:rPr>
          <w:rFonts w:hint="default" w:ascii="Times New Roman" w:hAnsi="Times New Roman" w:eastAsia="仿宋_GB2312" w:cs="Times New Roman"/>
          <w:color w:val="auto"/>
          <w:sz w:val="28"/>
          <w:szCs w:val="28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color w:val="auto"/>
          <w:sz w:val="28"/>
          <w:szCs w:val="28"/>
        </w:rPr>
        <w:t xml:space="preserve"> </w:t>
      </w:r>
      <w:r>
        <w:rPr>
          <w:rFonts w:hint="eastAsia" w:ascii="Times New Roman" w:hAnsi="Times New Roman" w:eastAsia="仿宋_GB2312" w:cs="Times New Roman"/>
          <w:color w:val="auto"/>
          <w:sz w:val="28"/>
          <w:szCs w:val="28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color w:val="auto"/>
          <w:sz w:val="28"/>
          <w:szCs w:val="28"/>
        </w:rPr>
        <w:t xml:space="preserve">   20</w:t>
      </w:r>
      <w:r>
        <w:rPr>
          <w:rFonts w:hint="default" w:ascii="Times New Roman" w:hAnsi="Times New Roman" w:eastAsia="仿宋_GB2312" w:cs="Times New Roman"/>
          <w:color w:val="auto"/>
          <w:sz w:val="28"/>
          <w:szCs w:val="28"/>
          <w:lang w:val="en-US" w:eastAsia="zh-CN"/>
        </w:rPr>
        <w:t>2</w:t>
      </w:r>
      <w:r>
        <w:rPr>
          <w:rFonts w:hint="eastAsia" w:ascii="Times New Roman" w:hAnsi="Times New Roman" w:eastAsia="仿宋_GB2312" w:cs="Times New Roman"/>
          <w:color w:val="auto"/>
          <w:sz w:val="28"/>
          <w:szCs w:val="28"/>
          <w:lang w:val="en-US" w:eastAsia="zh-CN"/>
        </w:rPr>
        <w:t>3</w:t>
      </w:r>
      <w:r>
        <w:rPr>
          <w:rFonts w:hint="default" w:ascii="Times New Roman" w:hAnsi="Times New Roman" w:eastAsia="仿宋_GB2312" w:cs="Times New Roman"/>
          <w:color w:val="auto"/>
          <w:sz w:val="28"/>
          <w:szCs w:val="28"/>
        </w:rPr>
        <w:t>年</w:t>
      </w:r>
      <w:r>
        <w:rPr>
          <w:rFonts w:hint="eastAsia" w:ascii="Times New Roman" w:hAnsi="Times New Roman" w:eastAsia="仿宋_GB2312" w:cs="Times New Roman"/>
          <w:color w:val="auto"/>
          <w:sz w:val="28"/>
          <w:szCs w:val="28"/>
          <w:lang w:val="en-US" w:eastAsia="zh-CN"/>
        </w:rPr>
        <w:t>7</w:t>
      </w:r>
      <w:r>
        <w:rPr>
          <w:rFonts w:hint="default" w:ascii="Times New Roman" w:hAnsi="Times New Roman" w:eastAsia="仿宋_GB2312" w:cs="Times New Roman"/>
          <w:color w:val="auto"/>
          <w:sz w:val="28"/>
          <w:szCs w:val="28"/>
        </w:rPr>
        <w:t>月</w:t>
      </w:r>
      <w:r>
        <w:rPr>
          <w:rFonts w:hint="eastAsia" w:ascii="Times New Roman" w:hAnsi="Times New Roman" w:eastAsia="仿宋_GB2312" w:cs="Times New Roman"/>
          <w:color w:val="auto"/>
          <w:sz w:val="28"/>
          <w:szCs w:val="28"/>
          <w:lang w:val="en-US" w:eastAsia="zh-CN"/>
        </w:rPr>
        <w:t>3</w:t>
      </w:r>
      <w:r>
        <w:rPr>
          <w:rFonts w:hint="default" w:ascii="Times New Roman" w:hAnsi="Times New Roman" w:eastAsia="仿宋_GB2312" w:cs="Times New Roman"/>
          <w:color w:val="auto"/>
          <w:sz w:val="28"/>
          <w:szCs w:val="28"/>
        </w:rPr>
        <w:t>日印发</w:t>
      </w:r>
      <w:r>
        <w:rPr>
          <w:rFonts w:hint="eastAsia" w:ascii="Times New Roman" w:hAnsi="Times New Roman" w:eastAsia="仿宋_GB2312" w:cs="Times New Roman"/>
          <w:color w:val="auto"/>
          <w:sz w:val="28"/>
          <w:szCs w:val="28"/>
          <w:lang w:val="en-US" w:eastAsia="zh-CN"/>
        </w:rPr>
        <w:t xml:space="preserve"> </w:t>
      </w:r>
    </w:p>
    <w:sectPr>
      <w:footerReference r:id="rId3" w:type="default"/>
      <w:pgSz w:w="11906" w:h="16838"/>
      <w:pgMar w:top="2098" w:right="1474" w:bottom="1984" w:left="1587" w:header="851" w:footer="1587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公文小标宋简">
    <w:altName w:val="宋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E0000" w:usb2="00000000" w:usb3="00000000" w:csb0="00040000" w:csb1="00000000"/>
  </w:font>
  <w:font w:name="方正楷体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47" name="文本框 14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7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4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7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4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EzMDM5MDlmZThiOWI0MDYxYjYzZTBhZGY0MWMzMmQifQ=="/>
  </w:docVars>
  <w:rsids>
    <w:rsidRoot w:val="13C903CD"/>
    <w:rsid w:val="00D46520"/>
    <w:rsid w:val="013F60F2"/>
    <w:rsid w:val="01D03FA9"/>
    <w:rsid w:val="020E2058"/>
    <w:rsid w:val="026062D7"/>
    <w:rsid w:val="0385612E"/>
    <w:rsid w:val="03AD2EC6"/>
    <w:rsid w:val="04C06D7E"/>
    <w:rsid w:val="0648792F"/>
    <w:rsid w:val="06EF0B7E"/>
    <w:rsid w:val="07A25619"/>
    <w:rsid w:val="08597E6D"/>
    <w:rsid w:val="08DA7C44"/>
    <w:rsid w:val="08E81812"/>
    <w:rsid w:val="093E54D0"/>
    <w:rsid w:val="09C86F91"/>
    <w:rsid w:val="0A652DCC"/>
    <w:rsid w:val="0BD31C1D"/>
    <w:rsid w:val="0BDD2D08"/>
    <w:rsid w:val="0E0B0A63"/>
    <w:rsid w:val="0E55084B"/>
    <w:rsid w:val="108E34AE"/>
    <w:rsid w:val="114E3F98"/>
    <w:rsid w:val="11671785"/>
    <w:rsid w:val="125C3257"/>
    <w:rsid w:val="13A77B93"/>
    <w:rsid w:val="13C903CD"/>
    <w:rsid w:val="13FC6502"/>
    <w:rsid w:val="14D1667B"/>
    <w:rsid w:val="17A44566"/>
    <w:rsid w:val="18B3705E"/>
    <w:rsid w:val="191252AC"/>
    <w:rsid w:val="197762DD"/>
    <w:rsid w:val="19B44A67"/>
    <w:rsid w:val="19D81898"/>
    <w:rsid w:val="1A097152"/>
    <w:rsid w:val="1B263890"/>
    <w:rsid w:val="1BBE01F3"/>
    <w:rsid w:val="1DB31435"/>
    <w:rsid w:val="1E602784"/>
    <w:rsid w:val="1F5563A3"/>
    <w:rsid w:val="20912E2F"/>
    <w:rsid w:val="21F20677"/>
    <w:rsid w:val="220D62EA"/>
    <w:rsid w:val="229972C4"/>
    <w:rsid w:val="22E04EF3"/>
    <w:rsid w:val="2302130E"/>
    <w:rsid w:val="244235BD"/>
    <w:rsid w:val="269478CD"/>
    <w:rsid w:val="26BD240C"/>
    <w:rsid w:val="282A5916"/>
    <w:rsid w:val="28404570"/>
    <w:rsid w:val="28813FFA"/>
    <w:rsid w:val="288D1679"/>
    <w:rsid w:val="28BA0A6F"/>
    <w:rsid w:val="29422464"/>
    <w:rsid w:val="296502FB"/>
    <w:rsid w:val="29E11B6F"/>
    <w:rsid w:val="2A455ED8"/>
    <w:rsid w:val="2ACF52EE"/>
    <w:rsid w:val="2ADA66CC"/>
    <w:rsid w:val="2BEF72D2"/>
    <w:rsid w:val="2CBE3BA0"/>
    <w:rsid w:val="2D466B8A"/>
    <w:rsid w:val="2DA21C82"/>
    <w:rsid w:val="2DBE4083"/>
    <w:rsid w:val="2E726C52"/>
    <w:rsid w:val="2F3C5DE5"/>
    <w:rsid w:val="304C3F79"/>
    <w:rsid w:val="328C5B9D"/>
    <w:rsid w:val="32C6023B"/>
    <w:rsid w:val="32D456DC"/>
    <w:rsid w:val="33723C30"/>
    <w:rsid w:val="33DC1612"/>
    <w:rsid w:val="33E9231C"/>
    <w:rsid w:val="34C77CC1"/>
    <w:rsid w:val="34E81C7C"/>
    <w:rsid w:val="35867971"/>
    <w:rsid w:val="371D3482"/>
    <w:rsid w:val="37A9630A"/>
    <w:rsid w:val="37D36E28"/>
    <w:rsid w:val="38C509BB"/>
    <w:rsid w:val="38FA5569"/>
    <w:rsid w:val="39BE0A90"/>
    <w:rsid w:val="39C57535"/>
    <w:rsid w:val="39C66799"/>
    <w:rsid w:val="3B053510"/>
    <w:rsid w:val="3CFD1808"/>
    <w:rsid w:val="3DF14FF1"/>
    <w:rsid w:val="3DFA2EB5"/>
    <w:rsid w:val="3E3E2BAA"/>
    <w:rsid w:val="3E4668D1"/>
    <w:rsid w:val="3EE038C7"/>
    <w:rsid w:val="3F190510"/>
    <w:rsid w:val="3F7171A7"/>
    <w:rsid w:val="3FA0170D"/>
    <w:rsid w:val="3FAF2F7F"/>
    <w:rsid w:val="406F4E9E"/>
    <w:rsid w:val="408B185E"/>
    <w:rsid w:val="414C3A28"/>
    <w:rsid w:val="416E6F5B"/>
    <w:rsid w:val="41954DC0"/>
    <w:rsid w:val="42AA0EB4"/>
    <w:rsid w:val="4355293C"/>
    <w:rsid w:val="44022AC4"/>
    <w:rsid w:val="443003B9"/>
    <w:rsid w:val="447909B3"/>
    <w:rsid w:val="450A3941"/>
    <w:rsid w:val="45613A14"/>
    <w:rsid w:val="45D6072E"/>
    <w:rsid w:val="46CD4303"/>
    <w:rsid w:val="475F21EA"/>
    <w:rsid w:val="48140818"/>
    <w:rsid w:val="48CC544E"/>
    <w:rsid w:val="494D6622"/>
    <w:rsid w:val="4B5E69F9"/>
    <w:rsid w:val="4BDD0948"/>
    <w:rsid w:val="4C561BFF"/>
    <w:rsid w:val="4CA85435"/>
    <w:rsid w:val="4D3554E5"/>
    <w:rsid w:val="4D502AE4"/>
    <w:rsid w:val="4D951771"/>
    <w:rsid w:val="4DA85876"/>
    <w:rsid w:val="4F483C48"/>
    <w:rsid w:val="4FB91044"/>
    <w:rsid w:val="52287B99"/>
    <w:rsid w:val="5260419B"/>
    <w:rsid w:val="53FC02D7"/>
    <w:rsid w:val="554E653D"/>
    <w:rsid w:val="557D266E"/>
    <w:rsid w:val="55E27CB3"/>
    <w:rsid w:val="561D2022"/>
    <w:rsid w:val="595E71CB"/>
    <w:rsid w:val="5ABA77FD"/>
    <w:rsid w:val="5B1C2265"/>
    <w:rsid w:val="5B77250D"/>
    <w:rsid w:val="5BD257FC"/>
    <w:rsid w:val="5C1C544A"/>
    <w:rsid w:val="5DCF35BF"/>
    <w:rsid w:val="5F096FA4"/>
    <w:rsid w:val="5F0A1402"/>
    <w:rsid w:val="5F490F15"/>
    <w:rsid w:val="60F630B0"/>
    <w:rsid w:val="627D3787"/>
    <w:rsid w:val="632A3167"/>
    <w:rsid w:val="637846F9"/>
    <w:rsid w:val="638F13C5"/>
    <w:rsid w:val="63C02100"/>
    <w:rsid w:val="64701BC0"/>
    <w:rsid w:val="64746C6E"/>
    <w:rsid w:val="64FB0219"/>
    <w:rsid w:val="6511270F"/>
    <w:rsid w:val="6814039B"/>
    <w:rsid w:val="692A2E22"/>
    <w:rsid w:val="69A43376"/>
    <w:rsid w:val="6AD321A7"/>
    <w:rsid w:val="6D3F4750"/>
    <w:rsid w:val="6ED564CD"/>
    <w:rsid w:val="6F3D5903"/>
    <w:rsid w:val="6F7312F3"/>
    <w:rsid w:val="6FF73972"/>
    <w:rsid w:val="7003534A"/>
    <w:rsid w:val="70C3762A"/>
    <w:rsid w:val="714973E7"/>
    <w:rsid w:val="74E71186"/>
    <w:rsid w:val="76055A4E"/>
    <w:rsid w:val="7844327E"/>
    <w:rsid w:val="79066C2C"/>
    <w:rsid w:val="7A5F258A"/>
    <w:rsid w:val="7AE9619A"/>
    <w:rsid w:val="7B1E3948"/>
    <w:rsid w:val="7C310FCD"/>
    <w:rsid w:val="7C6F7FEF"/>
    <w:rsid w:val="7CD971BB"/>
    <w:rsid w:val="7CDE0A72"/>
    <w:rsid w:val="7D772B72"/>
    <w:rsid w:val="7D9A32CD"/>
    <w:rsid w:val="7E3B17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qFormat="1"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qFormat="1"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iPriority="99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qFormat/>
    <w:uiPriority w:val="0"/>
    <w:pPr>
      <w:keepNext/>
      <w:keepLines/>
      <w:spacing w:before="1000" w:after="400"/>
      <w:jc w:val="center"/>
      <w:outlineLvl w:val="2"/>
    </w:pPr>
    <w:rPr>
      <w:rFonts w:ascii="公文小标宋简" w:eastAsia="公文小标宋简"/>
      <w:sz w:val="44"/>
      <w:szCs w:val="20"/>
    </w:rPr>
  </w:style>
  <w:style w:type="character" w:default="1" w:styleId="15">
    <w:name w:val="Default Paragraph Font"/>
    <w:semiHidden/>
    <w:qFormat/>
    <w:uiPriority w:val="0"/>
  </w:style>
  <w:style w:type="table" w:default="1" w:styleId="1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index 5"/>
    <w:basedOn w:val="1"/>
    <w:next w:val="1"/>
    <w:qFormat/>
    <w:uiPriority w:val="0"/>
    <w:pPr>
      <w:ind w:left="1680"/>
    </w:pPr>
  </w:style>
  <w:style w:type="paragraph" w:styleId="4">
    <w:name w:val="Body Text"/>
    <w:basedOn w:val="1"/>
    <w:next w:val="1"/>
    <w:qFormat/>
    <w:uiPriority w:val="0"/>
    <w:pPr>
      <w:spacing w:after="120" w:line="240" w:lineRule="atLeast"/>
    </w:pPr>
    <w:rPr>
      <w:spacing w:val="-6"/>
      <w:szCs w:val="20"/>
    </w:rPr>
  </w:style>
  <w:style w:type="paragraph" w:styleId="5">
    <w:name w:val="Body Text Indent"/>
    <w:basedOn w:val="1"/>
    <w:next w:val="1"/>
    <w:qFormat/>
    <w:uiPriority w:val="99"/>
    <w:pPr>
      <w:spacing w:after="120"/>
      <w:ind w:left="420" w:leftChars="200"/>
    </w:pPr>
  </w:style>
  <w:style w:type="paragraph" w:styleId="6">
    <w:name w:val="Plain Text"/>
    <w:basedOn w:val="1"/>
    <w:unhideWhenUsed/>
    <w:qFormat/>
    <w:uiPriority w:val="99"/>
    <w:rPr>
      <w:rFonts w:ascii="宋体" w:hAnsi="Courier New"/>
      <w:sz w:val="21"/>
      <w:szCs w:val="21"/>
    </w:rPr>
  </w:style>
  <w:style w:type="paragraph" w:styleId="7">
    <w:name w:val="footer"/>
    <w:basedOn w:val="1"/>
    <w:next w:val="3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8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9">
    <w:name w:val="index 9"/>
    <w:basedOn w:val="1"/>
    <w:next w:val="1"/>
    <w:qFormat/>
    <w:uiPriority w:val="0"/>
    <w:pPr>
      <w:ind w:left="3360"/>
    </w:pPr>
  </w:style>
  <w:style w:type="paragraph" w:styleId="10">
    <w:name w:val="Normal (Web)"/>
    <w:basedOn w:val="1"/>
    <w:next w:val="9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11">
    <w:name w:val="Title"/>
    <w:basedOn w:val="1"/>
    <w:next w:val="1"/>
    <w:qFormat/>
    <w:uiPriority w:val="0"/>
    <w:pPr>
      <w:jc w:val="center"/>
      <w:outlineLvl w:val="0"/>
    </w:pPr>
    <w:rPr>
      <w:rFonts w:ascii="Arial" w:hAnsi="Arial" w:cs="Arial"/>
      <w:bCs/>
      <w:sz w:val="32"/>
      <w:szCs w:val="32"/>
    </w:rPr>
  </w:style>
  <w:style w:type="paragraph" w:styleId="12">
    <w:name w:val="Body Text First Indent 2"/>
    <w:basedOn w:val="5"/>
    <w:next w:val="1"/>
    <w:qFormat/>
    <w:uiPriority w:val="99"/>
    <w:pPr>
      <w:ind w:firstLine="420"/>
    </w:pPr>
  </w:style>
  <w:style w:type="table" w:styleId="14">
    <w:name w:val="Table Grid"/>
    <w:basedOn w:val="1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6">
    <w:name w:val="Strong"/>
    <w:basedOn w:val="15"/>
    <w:qFormat/>
    <w:uiPriority w:val="0"/>
    <w:rPr>
      <w:b/>
    </w:rPr>
  </w:style>
  <w:style w:type="paragraph" w:customStyle="1" w:styleId="17">
    <w:name w:val="WPSOffice手动目录 1"/>
    <w:qFormat/>
    <w:uiPriority w:val="0"/>
    <w:pPr>
      <w:ind w:leftChars="0"/>
    </w:pPr>
    <w:rPr>
      <w:rFonts w:ascii="Times New Roman" w:hAnsi="Times New Roman" w:eastAsia="宋体" w:cs="Times New Roman"/>
      <w:sz w:val="20"/>
      <w:szCs w:val="20"/>
    </w:rPr>
  </w:style>
  <w:style w:type="paragraph" w:customStyle="1" w:styleId="18">
    <w:name w:val="WPSOffice手动目录 2"/>
    <w:qFormat/>
    <w:uiPriority w:val="0"/>
    <w:pPr>
      <w:ind w:leftChars="200"/>
    </w:pPr>
    <w:rPr>
      <w:rFonts w:ascii="Times New Roman" w:hAnsi="Times New Roman" w:eastAsia="宋体" w:cs="Times New Roman"/>
      <w:sz w:val="20"/>
      <w:szCs w:val="20"/>
    </w:rPr>
  </w:style>
  <w:style w:type="paragraph" w:customStyle="1" w:styleId="19">
    <w:name w:val="z正文"/>
    <w:basedOn w:val="6"/>
    <w:qFormat/>
    <w:uiPriority w:val="0"/>
    <w:pPr>
      <w:tabs>
        <w:tab w:val="left" w:pos="525"/>
      </w:tabs>
      <w:snapToGrid w:val="0"/>
      <w:spacing w:line="360" w:lineRule="auto"/>
    </w:pPr>
    <w:rPr>
      <w:rFonts w:ascii="Times New Roman" w:hAnsi="宋体"/>
      <w:sz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22</Pages>
  <Words>11362</Words>
  <Characters>11676</Characters>
  <Lines>0</Lines>
  <Paragraphs>0</Paragraphs>
  <TotalTime>17</TotalTime>
  <ScaleCrop>false</ScaleCrop>
  <LinksUpToDate>false</LinksUpToDate>
  <CharactersWithSpaces>11765</CharactersWithSpaces>
  <Application>WPS Office_11.8.6.8810_F1E327BC-269C-435d-A152-05C5408002CA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2022-04-07T07:15:00Z</dcterms:created>
  <dc:creator>HP</dc:creator>
  <cp:lastModifiedBy>银杏果</cp:lastModifiedBy>
  <cp:lastPrinted>2023-07-03T07:11:00Z</cp:lastPrinted>
  <dcterms:modified xsi:type="dcterms:W3CDTF">2023-08-16T01:47:54Z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2052-11.8.6.8810</vt:lpwstr>
  </property>
  <property fmtid="{D5CDD505-2E9C-101B-9397-08002B2CF9AE}" pid="3" name="ICV">
    <vt:lpwstr>FD072368189C48D8A027899AE524E363_13</vt:lpwstr>
  </property>
</Properties>
</file>